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20"/>
              <w:spacing w:after="0"/>
              <w:rPr>
                <w:sz w:val="20"/>
                <w:szCs w:val="20"/>
                <w:color w:val="auto"/>
              </w:rPr>
            </w:pPr>
            <w:r>
              <w:rPr>
                <w:rFonts w:ascii="Arial" w:cs="Arial" w:eastAsia="Arial" w:hAnsi="Arial"/>
                <w:sz w:val="14"/>
                <w:szCs w:val="14"/>
                <w:i w:val="1"/>
                <w:iCs w:val="1"/>
                <w:color w:val="auto"/>
              </w:rPr>
              <w:t>Commission</w:t>
            </w:r>
          </w:p>
        </w:tc>
        <w:tc>
          <w:tcPr>
            <w:tcW w:w="5240" w:type="dxa"/>
            <w:vAlign w:val="bottom"/>
          </w:tcPr>
          <w:p>
            <w:pPr>
              <w:ind w:left="16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3040" w:type="dxa"/>
            <w:vAlign w:val="bottom"/>
          </w:tcPr>
          <w:p>
            <w:pPr>
              <w:jc w:val="center"/>
              <w:ind w:left="1559"/>
              <w:spacing w:after="0"/>
              <w:rPr>
                <w:sz w:val="20"/>
                <w:szCs w:val="20"/>
                <w:color w:val="auto"/>
              </w:rPr>
            </w:pPr>
            <w:r>
              <w:rPr>
                <w:rFonts w:ascii="Arial" w:cs="Arial" w:eastAsia="Arial" w:hAnsi="Arial"/>
                <w:sz w:val="14"/>
                <w:szCs w:val="14"/>
                <w:i w:val="1"/>
                <w:iCs w:val="1"/>
                <w:color w:val="auto"/>
                <w:w w:val="91"/>
              </w:rPr>
              <w:t>State of</w:t>
            </w:r>
          </w:p>
        </w:tc>
        <w:tc>
          <w:tcPr>
            <w:tcW w:w="2020" w:type="dxa"/>
            <w:vAlign w:val="bottom"/>
          </w:tcPr>
          <w:p>
            <w:pPr>
              <w:jc w:val="center"/>
              <w:ind w:left="119"/>
              <w:spacing w:after="0"/>
              <w:rPr>
                <w:sz w:val="20"/>
                <w:szCs w:val="20"/>
                <w:color w:val="auto"/>
              </w:rPr>
            </w:pPr>
            <w:r>
              <w:rPr>
                <w:rFonts w:ascii="Arial" w:cs="Arial" w:eastAsia="Arial" w:hAnsi="Arial"/>
                <w:sz w:val="14"/>
                <w:szCs w:val="14"/>
                <w:i w:val="1"/>
                <w:iCs w:val="1"/>
                <w:color w:val="auto"/>
                <w:w w:val="85"/>
              </w:rPr>
              <w:t>I.R.S.</w:t>
            </w:r>
          </w:p>
        </w:tc>
      </w:tr>
      <w:tr>
        <w:trPr>
          <w:trHeight w:val="176"/>
        </w:trPr>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File Number</w:t>
            </w:r>
          </w:p>
        </w:tc>
        <w:tc>
          <w:tcPr>
            <w:tcW w:w="5240" w:type="dxa"/>
            <w:vAlign w:val="bottom"/>
            <w:tcBorders>
              <w:bottom w:val="single" w:sz="8" w:color="auto"/>
            </w:tcBorders>
          </w:tcPr>
          <w:p>
            <w:pPr>
              <w:ind w:left="16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3040" w:type="dxa"/>
            <w:vAlign w:val="bottom"/>
            <w:tcBorders>
              <w:bottom w:val="single" w:sz="8" w:color="auto"/>
            </w:tcBorders>
          </w:tcPr>
          <w:p>
            <w:pPr>
              <w:jc w:val="center"/>
              <w:ind w:left="1559"/>
              <w:spacing w:after="0"/>
              <w:rPr>
                <w:sz w:val="20"/>
                <w:szCs w:val="20"/>
                <w:color w:val="auto"/>
              </w:rPr>
            </w:pPr>
            <w:r>
              <w:rPr>
                <w:rFonts w:ascii="Arial" w:cs="Arial" w:eastAsia="Arial" w:hAnsi="Arial"/>
                <w:sz w:val="14"/>
                <w:szCs w:val="14"/>
                <w:i w:val="1"/>
                <w:iCs w:val="1"/>
                <w:color w:val="auto"/>
                <w:w w:val="97"/>
              </w:rPr>
              <w:t>Incorporation</w:t>
            </w:r>
          </w:p>
        </w:tc>
        <w:tc>
          <w:tcPr>
            <w:tcW w:w="202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195"/>
        </w:trPr>
        <w:tc>
          <w:tcPr>
            <w:tcW w:w="1120" w:type="dxa"/>
            <w:vAlign w:val="bottom"/>
          </w:tcPr>
          <w:p>
            <w:pPr>
              <w:jc w:val="right"/>
              <w:ind w:right="59"/>
              <w:spacing w:after="0" w:line="195" w:lineRule="exact"/>
              <w:rPr>
                <w:sz w:val="20"/>
                <w:szCs w:val="20"/>
                <w:color w:val="auto"/>
              </w:rPr>
            </w:pPr>
            <w:r>
              <w:rPr>
                <w:rFonts w:ascii="Arial" w:cs="Arial" w:eastAsia="Arial" w:hAnsi="Arial"/>
                <w:sz w:val="18"/>
                <w:szCs w:val="18"/>
                <w:color w:val="auto"/>
              </w:rPr>
              <w:t>001-37976</w:t>
            </w:r>
          </w:p>
        </w:tc>
        <w:tc>
          <w:tcPr>
            <w:tcW w:w="5240" w:type="dxa"/>
            <w:vAlign w:val="bottom"/>
          </w:tcPr>
          <w:p>
            <w:pPr>
              <w:ind w:left="160"/>
              <w:spacing w:after="0" w:line="195" w:lineRule="exact"/>
              <w:rPr>
                <w:sz w:val="20"/>
                <w:szCs w:val="20"/>
                <w:color w:val="auto"/>
              </w:rPr>
            </w:pPr>
            <w:r>
              <w:rPr>
                <w:rFonts w:ascii="Arial" w:cs="Arial" w:eastAsia="Arial" w:hAnsi="Arial"/>
                <w:sz w:val="18"/>
                <w:szCs w:val="18"/>
                <w:color w:val="auto"/>
              </w:rPr>
              <w:t>Southwest Gas Holdings, Inc.</w:t>
            </w:r>
          </w:p>
        </w:tc>
        <w:tc>
          <w:tcPr>
            <w:tcW w:w="3040" w:type="dxa"/>
            <w:vAlign w:val="bottom"/>
          </w:tcPr>
          <w:p>
            <w:pPr>
              <w:jc w:val="center"/>
              <w:ind w:left="1559"/>
              <w:spacing w:after="0" w:line="195" w:lineRule="exact"/>
              <w:rPr>
                <w:sz w:val="20"/>
                <w:szCs w:val="20"/>
                <w:color w:val="auto"/>
              </w:rPr>
            </w:pPr>
            <w:r>
              <w:rPr>
                <w:rFonts w:ascii="Arial" w:cs="Arial" w:eastAsia="Arial" w:hAnsi="Arial"/>
                <w:sz w:val="18"/>
                <w:szCs w:val="18"/>
                <w:color w:val="auto"/>
                <w:w w:val="94"/>
              </w:rPr>
              <w:t>California</w:t>
            </w:r>
          </w:p>
        </w:tc>
        <w:tc>
          <w:tcPr>
            <w:tcW w:w="2020" w:type="dxa"/>
            <w:vAlign w:val="bottom"/>
          </w:tcPr>
          <w:p>
            <w:pPr>
              <w:jc w:val="center"/>
              <w:ind w:left="119"/>
              <w:spacing w:after="0" w:line="195" w:lineRule="exact"/>
              <w:rPr>
                <w:sz w:val="20"/>
                <w:szCs w:val="20"/>
                <w:color w:val="auto"/>
              </w:rPr>
            </w:pPr>
            <w:r>
              <w:rPr>
                <w:rFonts w:ascii="Arial" w:cs="Arial" w:eastAsia="Arial" w:hAnsi="Arial"/>
                <w:sz w:val="18"/>
                <w:szCs w:val="18"/>
                <w:color w:val="auto"/>
                <w:w w:val="89"/>
              </w:rPr>
              <w:t>81-3881866</w:t>
            </w: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5241 Spring Mountain Road</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Post Office Box 98510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Las Vegas, Nevada 89193-8510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(702) 876-7237</w:t>
            </w:r>
          </w:p>
        </w:tc>
        <w:tc>
          <w:tcPr>
            <w:tcW w:w="30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112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r>
      <w:tr>
        <w:trPr>
          <w:trHeight w:val="195"/>
        </w:trPr>
        <w:tc>
          <w:tcPr>
            <w:tcW w:w="1120" w:type="dxa"/>
            <w:vAlign w:val="bottom"/>
          </w:tcPr>
          <w:p>
            <w:pPr>
              <w:jc w:val="right"/>
              <w:ind w:right="199"/>
              <w:spacing w:after="0" w:line="195" w:lineRule="exact"/>
              <w:rPr>
                <w:sz w:val="20"/>
                <w:szCs w:val="20"/>
                <w:color w:val="auto"/>
              </w:rPr>
            </w:pPr>
            <w:r>
              <w:rPr>
                <w:rFonts w:ascii="Arial" w:cs="Arial" w:eastAsia="Arial" w:hAnsi="Arial"/>
                <w:sz w:val="18"/>
                <w:szCs w:val="18"/>
                <w:color w:val="auto"/>
              </w:rPr>
              <w:t>1-7850</w:t>
            </w:r>
          </w:p>
        </w:tc>
        <w:tc>
          <w:tcPr>
            <w:tcW w:w="5240" w:type="dxa"/>
            <w:vAlign w:val="bottom"/>
          </w:tcPr>
          <w:p>
            <w:pPr>
              <w:ind w:left="160"/>
              <w:spacing w:after="0" w:line="195" w:lineRule="exact"/>
              <w:rPr>
                <w:sz w:val="20"/>
                <w:szCs w:val="20"/>
                <w:color w:val="auto"/>
              </w:rPr>
            </w:pPr>
            <w:r>
              <w:rPr>
                <w:rFonts w:ascii="Arial" w:cs="Arial" w:eastAsia="Arial" w:hAnsi="Arial"/>
                <w:sz w:val="18"/>
                <w:szCs w:val="18"/>
                <w:color w:val="auto"/>
              </w:rPr>
              <w:t>Southwest Gas Corporation</w:t>
            </w:r>
          </w:p>
        </w:tc>
        <w:tc>
          <w:tcPr>
            <w:tcW w:w="3040" w:type="dxa"/>
            <w:vAlign w:val="bottom"/>
          </w:tcPr>
          <w:p>
            <w:pPr>
              <w:jc w:val="center"/>
              <w:ind w:left="1559"/>
              <w:spacing w:after="0" w:line="195" w:lineRule="exact"/>
              <w:rPr>
                <w:sz w:val="20"/>
                <w:szCs w:val="20"/>
                <w:color w:val="auto"/>
              </w:rPr>
            </w:pPr>
            <w:r>
              <w:rPr>
                <w:rFonts w:ascii="Arial" w:cs="Arial" w:eastAsia="Arial" w:hAnsi="Arial"/>
                <w:sz w:val="18"/>
                <w:szCs w:val="18"/>
                <w:color w:val="auto"/>
                <w:w w:val="94"/>
              </w:rPr>
              <w:t>California</w:t>
            </w:r>
          </w:p>
        </w:tc>
        <w:tc>
          <w:tcPr>
            <w:tcW w:w="2020" w:type="dxa"/>
            <w:vAlign w:val="bottom"/>
          </w:tcPr>
          <w:p>
            <w:pPr>
              <w:jc w:val="center"/>
              <w:ind w:left="119"/>
              <w:spacing w:after="0" w:line="195" w:lineRule="exact"/>
              <w:rPr>
                <w:sz w:val="20"/>
                <w:szCs w:val="20"/>
                <w:color w:val="auto"/>
              </w:rPr>
            </w:pPr>
            <w:r>
              <w:rPr>
                <w:rFonts w:ascii="Arial" w:cs="Arial" w:eastAsia="Arial" w:hAnsi="Arial"/>
                <w:sz w:val="18"/>
                <w:szCs w:val="18"/>
                <w:color w:val="auto"/>
                <w:w w:val="89"/>
              </w:rPr>
              <w:t>88-0085720</w:t>
            </w: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5241 Spring Mountain Road</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Post Office Box 98510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Las Vegas, Nevada 89193-8510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(702) 876-7237</w:t>
            </w:r>
          </w:p>
        </w:tc>
        <w:tc>
          <w:tcPr>
            <w:tcW w:w="304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9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4"/>
              </w:rPr>
              <w:t>Southwest Gas Holdings, Inc.:</w:t>
            </w:r>
          </w:p>
        </w:tc>
        <w:tc>
          <w:tcPr>
            <w:tcW w:w="3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58"/>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7"/>
              </w:rPr>
              <w:t>Southwest Gas Corporation:</w:t>
            </w:r>
          </w:p>
        </w:tc>
        <w:tc>
          <w:tcPr>
            <w:tcW w:w="34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44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Southwest Gas Holdings, Inc. Common Stock, $1 Par Value, 47,559,471 shares as of April 28, 2017.</w:t>
      </w:r>
    </w:p>
    <w:p>
      <w:pPr>
        <w:spacing w:after="0" w:line="117"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January 1, 2017.</w:t>
      </w:r>
    </w:p>
    <w:p>
      <w:pPr>
        <w:spacing w:after="0" w:line="58"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and statements of cash flows) for Southwest Gas Holdings, Inc. and Southwest Gas Corporation, in that order. The Notes to Consolidated Financial Statements are presented on a combined basis for both entities. All Items other than Part I – Item 1 are combined for the reporting companies.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60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980" w:type="dxa"/>
            <w:vAlign w:val="bottom"/>
            <w:gridSpan w:val="6"/>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345"/>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98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20" w:type="dxa"/>
            <w:vAlign w:val="bottom"/>
            <w:gridSpan w:val="2"/>
          </w:tcPr>
          <w:p>
            <w:pPr>
              <w:jc w:val="center"/>
              <w:ind w:right="1720"/>
              <w:spacing w:after="0"/>
              <w:rPr>
                <w:sz w:val="20"/>
                <w:szCs w:val="20"/>
                <w:color w:val="auto"/>
              </w:rPr>
            </w:pPr>
            <w:r>
              <w:rPr>
                <w:rFonts w:ascii="Arial" w:cs="Arial" w:eastAsia="Arial" w:hAnsi="Arial"/>
                <w:sz w:val="18"/>
                <w:szCs w:val="18"/>
                <w:color w:val="auto"/>
                <w:w w:val="90"/>
              </w:rPr>
              <w:t>(Thousands of dollars, except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20" w:type="dxa"/>
            <w:vAlign w:val="bottom"/>
            <w:gridSpan w:val="2"/>
          </w:tcPr>
          <w:p>
            <w:pPr>
              <w:jc w:val="center"/>
              <w:ind w:right="172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jc w:val="center"/>
              <w:ind w:right="3220"/>
              <w:spacing w:after="0" w:line="196" w:lineRule="exact"/>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tcPr>
          <w:p>
            <w:pPr>
              <w:spacing w:after="0"/>
              <w:rPr>
                <w:sz w:val="20"/>
                <w:szCs w:val="20"/>
                <w:color w:val="auto"/>
              </w:rPr>
            </w:pPr>
            <w:r>
              <w:rPr>
                <w:rFonts w:ascii="Arial" w:cs="Arial" w:eastAsia="Arial" w:hAnsi="Arial"/>
                <w:sz w:val="18"/>
                <w:szCs w:val="18"/>
                <w:color w:val="auto"/>
              </w:rPr>
              <w:t>Utility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6,280,654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6,193,564</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(2,194,660)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(2,172,966)</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Acquisition adjustments,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23"/>
        </w:trPr>
        <w:tc>
          <w:tcPr>
            <w:tcW w:w="20" w:type="dxa"/>
            <w:vAlign w:val="bottom"/>
          </w:tcPr>
          <w:p>
            <w:pPr>
              <w:spacing w:after="0"/>
              <w:rPr>
                <w:sz w:val="19"/>
                <w:szCs w:val="19"/>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Construction work in progress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111,177</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Net utility plant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4,177,580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4,131,971</w:t>
            </w:r>
          </w:p>
        </w:tc>
        <w:tc>
          <w:tcPr>
            <w:tcW w:w="100" w:type="dxa"/>
            <w:vAlign w:val="bottom"/>
            <w:shd w:val="clear" w:color="auto" w:fill="CCEEFF"/>
          </w:tcPr>
          <w:p>
            <w:pPr>
              <w:spacing w:after="0"/>
              <w:rPr>
                <w:sz w:val="18"/>
                <w:szCs w:val="18"/>
                <w:color w:val="auto"/>
              </w:rPr>
            </w:pPr>
          </w:p>
        </w:tc>
      </w:tr>
      <w:tr>
        <w:trPr>
          <w:trHeight w:val="230"/>
        </w:trPr>
        <w:tc>
          <w:tcPr>
            <w:tcW w:w="8980" w:type="dxa"/>
            <w:vAlign w:val="bottom"/>
            <w:gridSpan w:val="6"/>
          </w:tcPr>
          <w:p>
            <w:pPr>
              <w:spacing w:after="0"/>
              <w:rPr>
                <w:sz w:val="20"/>
                <w:szCs w:val="20"/>
                <w:color w:val="auto"/>
              </w:rPr>
            </w:pPr>
            <w:r>
              <w:rPr>
                <w:rFonts w:ascii="Arial" w:cs="Arial" w:eastAsia="Arial" w:hAnsi="Arial"/>
                <w:sz w:val="18"/>
                <w:szCs w:val="18"/>
                <w:color w:val="auto"/>
              </w:rPr>
              <w:t>Other property and investments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43,401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28,066</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247,179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285,145</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Accrued utility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76,200</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Income taxes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Deferred purchased gas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Prepaids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136,833</w:t>
            </w:r>
          </w:p>
        </w:tc>
      </w:tr>
      <w:tr>
        <w:trPr>
          <w:trHeight w:val="230"/>
        </w:trPr>
        <w:tc>
          <w:tcPr>
            <w:tcW w:w="20" w:type="dxa"/>
            <w:vAlign w:val="bottom"/>
          </w:tcPr>
          <w:p>
            <w:pPr>
              <w:spacing w:after="0"/>
              <w:rPr>
                <w:sz w:val="20"/>
                <w:szCs w:val="20"/>
                <w:color w:val="auto"/>
              </w:rPr>
            </w:pPr>
          </w:p>
        </w:tc>
        <w:tc>
          <w:tcPr>
            <w:tcW w:w="8960" w:type="dxa"/>
            <w:vAlign w:val="bottom"/>
            <w:gridSpan w:val="5"/>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533,307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140,974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139,983</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Deferred charges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426,600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432,234</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568,897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573,505</w:t>
            </w:r>
          </w:p>
        </w:tc>
      </w:tr>
      <w:tr>
        <w:trPr>
          <w:trHeight w:val="223"/>
        </w:trPr>
        <w:tc>
          <w:tcPr>
            <w:tcW w:w="898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5,551,913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5"/>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rPr>
              <w:t>CAPITALIZATION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tcPr>
          <w:p>
            <w:pPr>
              <w:spacing w:after="0"/>
              <w:rPr>
                <w:sz w:val="20"/>
                <w:szCs w:val="20"/>
                <w:color w:val="auto"/>
              </w:rPr>
            </w:pPr>
            <w:r>
              <w:rPr>
                <w:rFonts w:ascii="Arial" w:cs="Arial" w:eastAsia="Arial" w:hAnsi="Arial"/>
                <w:sz w:val="18"/>
                <w:szCs w:val="18"/>
                <w:color w:val="auto"/>
              </w:rPr>
              <w:t>Capitalization: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6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$1 par (authorized - 60,000,000 shares; issued and outstanding - 47,548,985 and 47,482,068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49,179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49,112</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909,362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903,123</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(48,008)</w:t>
            </w:r>
          </w:p>
        </w:tc>
      </w:tr>
      <w:tr>
        <w:trPr>
          <w:trHeight w:val="223"/>
        </w:trPr>
        <w:tc>
          <w:tcPr>
            <w:tcW w:w="20" w:type="dxa"/>
            <w:vAlign w:val="bottom"/>
          </w:tcPr>
          <w:p>
            <w:pPr>
              <w:spacing w:after="0"/>
              <w:rPr>
                <w:sz w:val="19"/>
                <w:szCs w:val="19"/>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803,522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759,263</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Southwest Gas Holdings, Inc.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1,715,381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1,663,490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(2,217)</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1,713,119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1,661,273</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Redeemable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23,525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22,590</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1,564,132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1,549,983</w:t>
            </w:r>
          </w:p>
        </w:tc>
      </w:tr>
      <w:tr>
        <w:trPr>
          <w:trHeight w:val="230"/>
        </w:trPr>
        <w:tc>
          <w:tcPr>
            <w:tcW w:w="20" w:type="dxa"/>
            <w:vAlign w:val="bottom"/>
          </w:tcPr>
          <w:p>
            <w:pPr>
              <w:spacing w:after="0"/>
              <w:rPr>
                <w:sz w:val="20"/>
                <w:szCs w:val="20"/>
                <w:color w:val="auto"/>
              </w:rPr>
            </w:pPr>
          </w:p>
        </w:tc>
        <w:tc>
          <w:tcPr>
            <w:tcW w:w="8960" w:type="dxa"/>
            <w:vAlign w:val="bottom"/>
            <w:gridSpan w:val="5"/>
          </w:tcPr>
          <w:p>
            <w:pPr>
              <w:ind w:left="700"/>
              <w:spacing w:after="0"/>
              <w:rPr>
                <w:sz w:val="20"/>
                <w:szCs w:val="20"/>
                <w:color w:val="auto"/>
              </w:rPr>
            </w:pPr>
            <w:r>
              <w:rPr>
                <w:rFonts w:ascii="Arial" w:cs="Arial" w:eastAsia="Arial" w:hAnsi="Arial"/>
                <w:sz w:val="18"/>
                <w:szCs w:val="18"/>
                <w:color w:val="auto"/>
              </w:rPr>
              <w:t>Total capitalization</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3,300,776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3,233,846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26,064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50,101</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134,238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184,669</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Customer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72,227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72,296</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Accrued general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62,790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42,921</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17,939</w:t>
            </w: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Deferred purchased gas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27,104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90,476</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149,529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168,064</w:t>
            </w:r>
          </w:p>
        </w:tc>
      </w:tr>
      <w:tr>
        <w:trPr>
          <w:trHeight w:val="230"/>
        </w:trPr>
        <w:tc>
          <w:tcPr>
            <w:tcW w:w="20" w:type="dxa"/>
            <w:vAlign w:val="bottom"/>
          </w:tcPr>
          <w:p>
            <w:pPr>
              <w:spacing w:after="0"/>
              <w:rPr>
                <w:sz w:val="20"/>
                <w:szCs w:val="20"/>
                <w:color w:val="auto"/>
              </w:rPr>
            </w:pPr>
          </w:p>
        </w:tc>
        <w:tc>
          <w:tcPr>
            <w:tcW w:w="8960" w:type="dxa"/>
            <w:vAlign w:val="bottom"/>
            <w:gridSpan w:val="5"/>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496,828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628,375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income taxes and other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Deferred income taxes and investment tax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879,631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840,653</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Accumulated removal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308,000</w:t>
            </w:r>
          </w:p>
        </w:tc>
      </w:tr>
      <w:tr>
        <w:trPr>
          <w:trHeight w:val="223"/>
        </w:trPr>
        <w:tc>
          <w:tcPr>
            <w:tcW w:w="20" w:type="dxa"/>
            <w:vAlign w:val="bottom"/>
          </w:tcPr>
          <w:p>
            <w:pPr>
              <w:spacing w:after="0"/>
              <w:rPr>
                <w:sz w:val="19"/>
                <w:szCs w:val="19"/>
                <w:color w:val="auto"/>
              </w:rPr>
            </w:pPr>
          </w:p>
        </w:tc>
        <w:tc>
          <w:tcPr>
            <w:tcW w:w="8960" w:type="dxa"/>
            <w:vAlign w:val="bottom"/>
            <w:gridSpan w:val="5"/>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565,678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570,252</w:t>
            </w:r>
          </w:p>
        </w:tc>
      </w:tr>
      <w:tr>
        <w:trPr>
          <w:trHeight w:val="216"/>
        </w:trPr>
        <w:tc>
          <w:tcPr>
            <w:tcW w:w="20" w:type="dxa"/>
            <w:vAlign w:val="bottom"/>
          </w:tcPr>
          <w:p>
            <w:pPr>
              <w:spacing w:after="0"/>
              <w:rPr>
                <w:sz w:val="18"/>
                <w:szCs w:val="18"/>
                <w:color w:val="auto"/>
              </w:rPr>
            </w:pPr>
          </w:p>
        </w:tc>
        <w:tc>
          <w:tcPr>
            <w:tcW w:w="896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1,754,309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1,718,905</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gridSpan w:val="6"/>
          </w:tcPr>
          <w:p>
            <w:pPr>
              <w:spacing w:after="0"/>
              <w:rPr>
                <w:sz w:val="20"/>
                <w:szCs w:val="20"/>
                <w:color w:val="auto"/>
              </w:rPr>
            </w:pPr>
            <w:r>
              <w:rPr>
                <w:rFonts w:ascii="Arial" w:cs="Arial" w:eastAsia="Arial" w:hAnsi="Arial"/>
                <w:sz w:val="18"/>
                <w:szCs w:val="18"/>
                <w:color w:val="auto"/>
              </w:rPr>
              <w:t>Total capitalization and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5,551,913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8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57" w:right="239" w:bottom="8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73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March 31,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Pr>
          <w:p>
            <w:pPr>
              <w:jc w:val="center"/>
              <w:ind w:left="1030"/>
              <w:spacing w:after="0"/>
              <w:rPr>
                <w:sz w:val="20"/>
                <w:szCs w:val="20"/>
                <w:color w:val="auto"/>
              </w:rPr>
            </w:pPr>
            <w:r>
              <w:rPr>
                <w:rFonts w:ascii="Arial" w:cs="Arial" w:eastAsia="Arial" w:hAnsi="Arial"/>
                <w:sz w:val="18"/>
                <w:szCs w:val="18"/>
                <w:color w:val="auto"/>
                <w:w w:val="88"/>
              </w:rPr>
              <w:t>(In thousands, except per share amounts)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jc w:val="center"/>
              <w:ind w:left="10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7"/>
          </w:tcPr>
          <w:p>
            <w:pPr>
              <w:ind w:left="2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24"/>
                <w:szCs w:val="24"/>
                <w:color w:val="auto"/>
              </w:rPr>
            </w:pPr>
          </w:p>
        </w:tc>
        <w:tc>
          <w:tcPr>
            <w:tcW w:w="1960" w:type="dxa"/>
            <w:vAlign w:val="bottom"/>
            <w:gridSpan w:val="7"/>
          </w:tcPr>
          <w:p>
            <w:pPr>
              <w:jc w:val="right"/>
              <w:ind w:right="16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color w:val="auto"/>
              </w:rPr>
              <w:t>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6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Gas operating revenues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462,602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525,100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1,258,914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192,135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206,148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1,125,065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1,034,029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3"/>
          </w:tcPr>
          <w:p>
            <w:pPr>
              <w:ind w:left="70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654,737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731,248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2,383,979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2,460,653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146,879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213,600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330,400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109,150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100,797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72,478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75,360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286,250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Construction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191,956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193,382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1,022,997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917,235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535,245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597,152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2,102,869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2,167,781</w:t>
            </w:r>
          </w:p>
        </w:tc>
        <w:tc>
          <w:tcPr>
            <w:tcW w:w="0" w:type="dxa"/>
            <w:vAlign w:val="bottom"/>
          </w:tcPr>
          <w:p>
            <w:pPr>
              <w:spacing w:after="0"/>
              <w:rPr>
                <w:sz w:val="1"/>
                <w:szCs w:val="1"/>
                <w:color w:val="auto"/>
              </w:rPr>
            </w:pPr>
          </w:p>
        </w:tc>
      </w:tr>
      <w:tr>
        <w:trPr>
          <w:trHeight w:val="230"/>
        </w:trPr>
        <w:tc>
          <w:tcPr>
            <w:tcW w:w="738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119,492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134,096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281,110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Net interest deductions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(18,714)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(17,721)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(74,653)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income (deductions)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3"/>
          </w:tcPr>
          <w:p>
            <w:pPr>
              <w:ind w:left="700"/>
              <w:spacing w:after="0"/>
              <w:rPr>
                <w:sz w:val="20"/>
                <w:szCs w:val="20"/>
                <w:color w:val="auto"/>
              </w:rPr>
            </w:pPr>
            <w:r>
              <w:rPr>
                <w:rFonts w:ascii="Arial" w:cs="Arial" w:eastAsia="Arial" w:hAnsi="Arial"/>
                <w:sz w:val="18"/>
                <w:szCs w:val="18"/>
                <w:color w:val="auto"/>
              </w:rPr>
              <w:t>Total other income and (expenses)</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(14,849)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104,643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118,096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35,638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42,741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71,365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Southwest Gas Holdings, Inc.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141,780</w:t>
            </w:r>
          </w:p>
        </w:tc>
        <w:tc>
          <w:tcPr>
            <w:tcW w:w="0" w:type="dxa"/>
            <w:vAlign w:val="bottom"/>
          </w:tcPr>
          <w:p>
            <w:pPr>
              <w:spacing w:after="0"/>
              <w:rPr>
                <w:sz w:val="1"/>
                <w:szCs w:val="1"/>
                <w:color w:val="auto"/>
              </w:rPr>
            </w:pPr>
          </w:p>
        </w:tc>
      </w:tr>
      <w:tr>
        <w:trPr>
          <w:trHeight w:val="20"/>
        </w:trPr>
        <w:tc>
          <w:tcPr>
            <w:tcW w:w="7380" w:type="dxa"/>
            <w:vAlign w:val="bottom"/>
            <w:gridSpan w:val="4"/>
            <w:vMerge w:val="restart"/>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7380" w:type="dxa"/>
            <w:vAlign w:val="bottom"/>
            <w:gridSpan w:val="4"/>
            <w:vMerge w:val="restart"/>
          </w:tcPr>
          <w:p>
            <w:pPr>
              <w:spacing w:after="0"/>
              <w:rPr>
                <w:sz w:val="20"/>
                <w:szCs w:val="20"/>
                <w:color w:val="auto"/>
              </w:rPr>
            </w:pPr>
            <w:r>
              <w:rPr>
                <w:rFonts w:ascii="Arial" w:cs="Arial" w:eastAsia="Arial" w:hAnsi="Arial"/>
                <w:sz w:val="18"/>
                <w:szCs w:val="18"/>
                <w:color w:val="auto"/>
              </w:rPr>
              <w:t>Dividends declared per share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47,864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47,763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47,839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47,562</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76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9"/>
              </w:rPr>
              <w:t>March 31,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400" w:type="dxa"/>
            <w:vAlign w:val="bottom"/>
            <w:gridSpan w:val="11"/>
          </w:tcPr>
          <w:p>
            <w:pPr>
              <w:jc w:val="center"/>
              <w:ind w:left="1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jc w:val="center"/>
              <w:ind w:left="79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jc w:val="center"/>
              <w:ind w:left="7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4"/>
                <w:szCs w:val="24"/>
                <w:color w:val="auto"/>
              </w:rPr>
            </w:pPr>
          </w:p>
        </w:tc>
        <w:tc>
          <w:tcPr>
            <w:tcW w:w="1920" w:type="dxa"/>
            <w:vAlign w:val="bottom"/>
            <w:gridSpan w:val="7"/>
          </w:tcPr>
          <w:p>
            <w:pPr>
              <w:jc w:val="right"/>
              <w:ind w:right="14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600"/>
              <w:spacing w:after="0"/>
              <w:rPr>
                <w:sz w:val="20"/>
                <w:szCs w:val="20"/>
                <w:color w:val="auto"/>
              </w:rPr>
            </w:pPr>
            <w:r>
              <w:rPr>
                <w:rFonts w:ascii="Arial" w:cs="Arial" w:eastAsia="Arial" w:hAnsi="Arial"/>
                <w:sz w:val="14"/>
                <w:szCs w:val="14"/>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640"/>
              <w:spacing w:after="0"/>
              <w:rPr>
                <w:sz w:val="20"/>
                <w:szCs w:val="20"/>
                <w:color w:val="auto"/>
              </w:rPr>
            </w:pPr>
            <w:r>
              <w:rPr>
                <w:rFonts w:ascii="Arial" w:cs="Arial" w:eastAsia="Arial" w:hAnsi="Arial"/>
                <w:sz w:val="14"/>
                <w:szCs w:val="14"/>
                <w:color w:val="auto"/>
              </w:rPr>
              <w:t>MARCH 31,</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69,005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142,906</w:t>
            </w:r>
          </w:p>
        </w:tc>
        <w:tc>
          <w:tcPr>
            <w:tcW w:w="100" w:type="dxa"/>
            <w:vAlign w:val="bottom"/>
            <w:shd w:val="clear" w:color="auto" w:fill="CCEEFF"/>
          </w:tcPr>
          <w:p>
            <w:pPr>
              <w:spacing w:after="0"/>
              <w:rPr>
                <w:sz w:val="18"/>
                <w:szCs w:val="18"/>
                <w:color w:val="auto"/>
              </w:rPr>
            </w:pP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tcPr>
          <w:p>
            <w:pPr>
              <w:ind w:left="700"/>
              <w:spacing w:after="0"/>
              <w:rPr>
                <w:sz w:val="20"/>
                <w:szCs w:val="20"/>
                <w:color w:val="auto"/>
              </w:rPr>
            </w:pPr>
            <w:r>
              <w:rPr>
                <w:rFonts w:ascii="Arial" w:cs="Arial" w:eastAsia="Arial" w:hAnsi="Arial"/>
                <w:sz w:val="18"/>
                <w:szCs w:val="18"/>
                <w:color w:val="auto"/>
              </w:rPr>
              <w:t>Net actuarial gain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(18,922)</w:t>
            </w: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r>
      <w:tr>
        <w:trPr>
          <w:trHeight w:val="216"/>
        </w:trPr>
        <w:tc>
          <w:tcPr>
            <w:tcW w:w="20" w:type="dxa"/>
            <w:vAlign w:val="bottom"/>
          </w:tcPr>
          <w:p>
            <w:pPr>
              <w:spacing w:after="0"/>
              <w:rPr>
                <w:sz w:val="18"/>
                <w:szCs w:val="18"/>
                <w:color w:val="auto"/>
              </w:rPr>
            </w:pPr>
          </w:p>
        </w:tc>
        <w:tc>
          <w:tcPr>
            <w:tcW w:w="7600" w:type="dxa"/>
            <w:vAlign w:val="bottom"/>
            <w:gridSpan w:val="3"/>
          </w:tcPr>
          <w:p>
            <w:pPr>
              <w:ind w:left="700"/>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4,196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16,529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20,182</w:t>
            </w: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(2,468)</w:t>
            </w:r>
          </w:p>
        </w:tc>
      </w:tr>
      <w:tr>
        <w:trPr>
          <w:trHeight w:val="230"/>
        </w:trPr>
        <w:tc>
          <w:tcPr>
            <w:tcW w:w="20" w:type="dxa"/>
            <w:vAlign w:val="bottom"/>
          </w:tcPr>
          <w:p>
            <w:pPr>
              <w:spacing w:after="0"/>
              <w:rPr>
                <w:sz w:val="20"/>
                <w:szCs w:val="20"/>
                <w:color w:val="auto"/>
              </w:rPr>
            </w:pPr>
          </w:p>
        </w:tc>
        <w:tc>
          <w:tcPr>
            <w:tcW w:w="7600" w:type="dxa"/>
            <w:vAlign w:val="bottom"/>
            <w:gridSpan w:val="3"/>
          </w:tcPr>
          <w:p>
            <w:pPr>
              <w:ind w:left="1060"/>
              <w:spacing w:after="0"/>
              <w:rPr>
                <w:sz w:val="20"/>
                <w:szCs w:val="20"/>
                <w:color w:val="auto"/>
              </w:rPr>
            </w:pPr>
            <w:r>
              <w:rPr>
                <w:rFonts w:ascii="Arial" w:cs="Arial" w:eastAsia="Arial" w:hAnsi="Arial"/>
                <w:sz w:val="18"/>
                <w:szCs w:val="18"/>
                <w:color w:val="auto"/>
              </w:rPr>
              <w:t>Net defined benefit pension plans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Forward-starting interest rate swaps: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tcPr>
          <w:p>
            <w:pPr>
              <w:ind w:left="700"/>
              <w:spacing w:after="0"/>
              <w:rPr>
                <w:sz w:val="20"/>
                <w:szCs w:val="20"/>
                <w:color w:val="auto"/>
              </w:rPr>
            </w:pPr>
            <w:r>
              <w:rPr>
                <w:rFonts w:ascii="Arial" w:cs="Arial" w:eastAsia="Arial" w:hAnsi="Arial"/>
                <w:sz w:val="18"/>
                <w:szCs w:val="18"/>
                <w:color w:val="auto"/>
              </w:rPr>
              <w:t>Amounts reclassified into 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r>
      <w:tr>
        <w:trPr>
          <w:trHeight w:val="230"/>
        </w:trPr>
        <w:tc>
          <w:tcPr>
            <w:tcW w:w="20" w:type="dxa"/>
            <w:vAlign w:val="bottom"/>
          </w:tcPr>
          <w:p>
            <w:pPr>
              <w:spacing w:after="0"/>
              <w:rPr>
                <w:sz w:val="20"/>
                <w:szCs w:val="20"/>
                <w:color w:val="auto"/>
              </w:rPr>
            </w:pPr>
          </w:p>
        </w:tc>
        <w:tc>
          <w:tcPr>
            <w:tcW w:w="7600" w:type="dxa"/>
            <w:vAlign w:val="bottom"/>
            <w:gridSpan w:val="3"/>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w:t>
            </w: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70,338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148,395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Comprehensive income attributable to Southwest Gas Holdings, Inc.</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70,634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147,607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67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4"/>
              </w:rPr>
              <w:t>March 31,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8"/>
          </w:tcPr>
          <w:p>
            <w:pPr>
              <w:jc w:val="center"/>
              <w:ind w:right="80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0"/>
              </w:rPr>
              <w:t>(Thousands of dollars)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24"/>
                <w:szCs w:val="2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1000"/>
              <w:spacing w:after="0"/>
              <w:rPr>
                <w:sz w:val="20"/>
                <w:szCs w:val="20"/>
                <w:color w:val="auto"/>
              </w:rPr>
            </w:pPr>
            <w:r>
              <w:rPr>
                <w:rFonts w:ascii="Arial" w:cs="Arial" w:eastAsia="Arial" w:hAnsi="Arial"/>
                <w:sz w:val="14"/>
                <w:szCs w:val="14"/>
                <w:color w:val="auto"/>
              </w:rPr>
              <w:t>MARCH 31</w:t>
            </w:r>
          </w:p>
        </w:tc>
        <w:tc>
          <w:tcPr>
            <w:tcW w:w="100" w:type="dxa"/>
            <w:vAlign w:val="bottom"/>
          </w:tcPr>
          <w:p>
            <w:pPr>
              <w:spacing w:after="0"/>
              <w:rPr>
                <w:sz w:val="14"/>
                <w:szCs w:val="14"/>
                <w:color w:val="auto"/>
              </w:rPr>
            </w:pPr>
          </w:p>
        </w:tc>
        <w:tc>
          <w:tcPr>
            <w:tcW w:w="2000" w:type="dxa"/>
            <w:vAlign w:val="bottom"/>
            <w:gridSpan w:val="6"/>
          </w:tcPr>
          <w:p>
            <w:pPr>
              <w:jc w:val="right"/>
              <w:ind w:right="76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69,005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75,355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146,705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72,478</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75,360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286,250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45,525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Accrued utility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29,600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Deferred purchased gas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(69,906)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58,977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(55,298)</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(35,126)</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20,397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38,196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Other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21,099</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Gains on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undistributed stock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10,173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AFUDC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other assets and deferred charges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Changes in other liabilities and deferred credits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161,843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314,551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Construction expenditures and property additions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(115,790)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(112,561)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(532,760)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Changes in customer advances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Miscellaneous inflows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16,634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(110,012)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(107,774)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(527,830)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(486,225)</w:t>
            </w:r>
          </w:p>
        </w:tc>
        <w:tc>
          <w:tcPr>
            <w:tcW w:w="0" w:type="dxa"/>
            <w:vAlign w:val="bottom"/>
          </w:tcPr>
          <w:p>
            <w:pPr>
              <w:spacing w:after="0"/>
              <w:rPr>
                <w:sz w:val="1"/>
                <w:szCs w:val="1"/>
                <w:color w:val="auto"/>
              </w:rPr>
            </w:pPr>
          </w:p>
        </w:tc>
      </w:tr>
      <w:tr>
        <w:trPr>
          <w:trHeight w:val="223"/>
        </w:trPr>
        <w:tc>
          <w:tcPr>
            <w:tcW w:w="6780" w:type="dxa"/>
            <w:vAlign w:val="bottom"/>
            <w:gridSpan w:val="4"/>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common stock,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(21,397)</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(19,220)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(85,494)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Centuri distribution to redeemable noncontrolling interest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Issuance of long-term debt,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26,280</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49,375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400,851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Retirement of long-term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(47,763)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(260,724)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 in credit facility and commercial paper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(150,000)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short-term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Withholding remittance - share-based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(181,924)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(131,550)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Effects of currency translation on cash and cash equivalents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24,812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28,066</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35,997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60,809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60,809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3"/>
            <w:vMerge w:val="restart"/>
          </w:tcPr>
          <w:p>
            <w:pPr>
              <w:ind w:left="340"/>
              <w:spacing w:after="0"/>
              <w:rPr>
                <w:sz w:val="20"/>
                <w:szCs w:val="20"/>
                <w:color w:val="auto"/>
              </w:rPr>
            </w:pPr>
            <w:r>
              <w:rPr>
                <w:rFonts w:ascii="Arial" w:cs="Arial" w:eastAsia="Arial" w:hAnsi="Arial"/>
                <w:sz w:val="18"/>
                <w:szCs w:val="18"/>
                <w:color w:val="auto"/>
              </w:rPr>
              <w:t>Supplemental information: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(19,341)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43,260</w:t>
            </w:r>
          </w:p>
        </w:tc>
        <w:tc>
          <w:tcPr>
            <w:tcW w:w="0" w:type="dxa"/>
            <w:vAlign w:val="bottom"/>
          </w:tcPr>
          <w:p>
            <w:pPr>
              <w:spacing w:after="0"/>
              <w:rPr>
                <w:sz w:val="1"/>
                <w:szCs w:val="1"/>
                <w:color w:val="auto"/>
              </w:rPr>
            </w:pP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9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March 31, 2017</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jc w:val="center"/>
              <w:ind w:right="39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tcPr>
          <w:p>
            <w:pPr>
              <w:jc w:val="center"/>
              <w:ind w:right="3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60" w:type="dxa"/>
            <w:vAlign w:val="bottom"/>
            <w:shd w:val="clear" w:color="auto" w:fill="CCEEFF"/>
          </w:tcPr>
          <w:p>
            <w:pPr>
              <w:jc w:val="center"/>
              <w:ind w:right="3130"/>
              <w:spacing w:after="0" w:line="196" w:lineRule="exact"/>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Utility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6,280,654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(2,194,660)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(2,172,966)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adjustments,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Construction work in progress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utility plant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4,177,580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4"/>
          </w:tcPr>
          <w:p>
            <w:pPr>
              <w:spacing w:after="0"/>
              <w:rPr>
                <w:sz w:val="20"/>
                <w:szCs w:val="20"/>
                <w:color w:val="auto"/>
              </w:rPr>
            </w:pPr>
            <w:r>
              <w:rPr>
                <w:rFonts w:ascii="Arial" w:cs="Arial" w:eastAsia="Arial" w:hAnsi="Arial"/>
                <w:sz w:val="18"/>
                <w:szCs w:val="18"/>
                <w:color w:val="auto"/>
              </w:rPr>
              <w:t>Other property and investments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30,950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Accrued utility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 from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Prepaids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94,817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302,526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340,495</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Deferred charges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405,294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Discontinued operations - construction services -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gridSpan w:val="3"/>
          </w:tcPr>
          <w:p>
            <w:pPr>
              <w:ind w:left="700"/>
              <w:spacing w:after="0"/>
              <w:rPr>
                <w:sz w:val="20"/>
                <w:szCs w:val="20"/>
                <w:color w:val="auto"/>
              </w:rPr>
            </w:pPr>
            <w:r>
              <w:rPr>
                <w:rFonts w:ascii="Arial" w:cs="Arial" w:eastAsia="Arial" w:hAnsi="Arial"/>
                <w:sz w:val="18"/>
                <w:szCs w:val="18"/>
                <w:color w:val="auto"/>
              </w:rPr>
              <w:t>Total noncurrent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415,389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5,006,891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gridSpan w:val="3"/>
            <w:vMerge w:val="restart"/>
          </w:tcPr>
          <w:p>
            <w:pPr>
              <w:jc w:val="center"/>
              <w:ind w:right="230"/>
              <w:spacing w:after="0"/>
              <w:rPr>
                <w:sz w:val="20"/>
                <w:szCs w:val="20"/>
                <w:color w:val="auto"/>
              </w:rPr>
            </w:pPr>
            <w:r>
              <w:rPr>
                <w:rFonts w:ascii="Arial" w:cs="Arial" w:eastAsia="Arial" w:hAnsi="Arial"/>
                <w:sz w:val="18"/>
                <w:szCs w:val="18"/>
                <w:b w:val="1"/>
                <w:bCs w:val="1"/>
                <w:color w:val="auto"/>
              </w:rPr>
              <w:t>CAPITALIZATION AND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Common stock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49,112</w:t>
            </w: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903,252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(44,526)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642,501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700"/>
              <w:spacing w:after="0"/>
              <w:rPr>
                <w:sz w:val="20"/>
                <w:szCs w:val="20"/>
                <w:color w:val="auto"/>
              </w:rPr>
            </w:pPr>
            <w:r>
              <w:rPr>
                <w:rFonts w:ascii="Arial" w:cs="Arial" w:eastAsia="Arial" w:hAnsi="Arial"/>
                <w:sz w:val="18"/>
                <w:szCs w:val="18"/>
                <w:color w:val="auto"/>
              </w:rPr>
              <w:t>Total Southwest Gas Corporation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1,550,339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Discontinued operations - construction services non-owner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1,385,315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capitalization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2,935,654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3,058,943</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93,494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Accrued general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62,790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27,104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Payable to parent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73,550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95,999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376,239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482,316</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Deferred income taxes and other credits: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846,918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Accumulated removal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309,000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539,080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3"/>
          </w:tcPr>
          <w:p>
            <w:pPr>
              <w:ind w:left="340"/>
              <w:spacing w:after="0"/>
              <w:rPr>
                <w:sz w:val="20"/>
                <w:szCs w:val="20"/>
                <w:color w:val="auto"/>
              </w:rPr>
            </w:pPr>
            <w:r>
              <w:rPr>
                <w:rFonts w:ascii="Arial" w:cs="Arial" w:eastAsia="Arial" w:hAnsi="Arial"/>
                <w:sz w:val="18"/>
                <w:szCs w:val="18"/>
                <w:color w:val="auto"/>
              </w:rPr>
              <w:t>Discontinued operations - construction services -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1,694,998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2,039,867</w:t>
            </w:r>
          </w:p>
        </w:tc>
        <w:tc>
          <w:tcPr>
            <w:tcW w:w="0" w:type="dxa"/>
            <w:vAlign w:val="bottom"/>
          </w:tcPr>
          <w:p>
            <w:pPr>
              <w:spacing w:after="0"/>
              <w:rPr>
                <w:sz w:val="1"/>
                <w:szCs w:val="1"/>
                <w:color w:val="auto"/>
              </w:rPr>
            </w:pPr>
          </w:p>
        </w:tc>
      </w:tr>
      <w:tr>
        <w:trPr>
          <w:trHeight w:val="223"/>
        </w:trPr>
        <w:tc>
          <w:tcPr>
            <w:tcW w:w="8980" w:type="dxa"/>
            <w:vAlign w:val="bottom"/>
            <w:gridSpan w:val="4"/>
          </w:tcPr>
          <w:p>
            <w:pPr>
              <w:spacing w:after="0"/>
              <w:rPr>
                <w:sz w:val="20"/>
                <w:szCs w:val="20"/>
                <w:color w:val="auto"/>
              </w:rPr>
            </w:pPr>
            <w:r>
              <w:rPr>
                <w:rFonts w:ascii="Arial" w:cs="Arial" w:eastAsia="Arial" w:hAnsi="Arial"/>
                <w:sz w:val="18"/>
                <w:szCs w:val="18"/>
                <w:color w:val="auto"/>
              </w:rPr>
              <w:t>Total capitalization and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5,006,891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57"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1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r>
      <w:tr>
        <w:trPr>
          <w:trHeight w:val="196"/>
        </w:trPr>
        <w:tc>
          <w:tcPr>
            <w:tcW w:w="46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9"/>
              </w:rPr>
              <w:t>March 31,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40" w:type="dxa"/>
            <w:vAlign w:val="bottom"/>
            <w:gridSpan w:val="2"/>
          </w:tcPr>
          <w:p>
            <w:pPr>
              <w:jc w:val="center"/>
              <w:ind w:right="768"/>
              <w:spacing w:after="0"/>
              <w:rPr>
                <w:sz w:val="20"/>
                <w:szCs w:val="20"/>
                <w:color w:val="auto"/>
              </w:rPr>
            </w:pPr>
            <w:r>
              <w:rPr>
                <w:rFonts w:ascii="Arial" w:cs="Arial" w:eastAsia="Arial" w:hAnsi="Arial"/>
                <w:sz w:val="18"/>
                <w:szCs w:val="18"/>
                <w:color w:val="auto"/>
                <w:w w:val="90"/>
              </w:rPr>
              <w:t>(In thousands)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40" w:type="dxa"/>
            <w:vAlign w:val="bottom"/>
            <w:gridSpan w:val="2"/>
          </w:tcPr>
          <w:p>
            <w:pPr>
              <w:jc w:val="center"/>
              <w:ind w:right="788"/>
              <w:spacing w:after="0"/>
              <w:rPr>
                <w:sz w:val="20"/>
                <w:szCs w:val="20"/>
                <w:color w:val="auto"/>
              </w:rPr>
            </w:pPr>
            <w:r>
              <w:rPr>
                <w:rFonts w:ascii="Arial" w:cs="Arial" w:eastAsia="Arial" w:hAnsi="Arial"/>
                <w:sz w:val="18"/>
                <w:szCs w:val="18"/>
                <w:color w:val="auto"/>
                <w:w w:val="91"/>
              </w:rPr>
              <w:t>(Unaudited)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00" w:type="dxa"/>
            <w:vAlign w:val="bottom"/>
            <w:gridSpan w:val="7"/>
          </w:tcPr>
          <w:p>
            <w:pPr>
              <w:jc w:val="right"/>
              <w:ind w:right="240"/>
              <w:spacing w:after="0"/>
              <w:rPr>
                <w:sz w:val="20"/>
                <w:szCs w:val="20"/>
                <w:color w:val="auto"/>
              </w:rPr>
            </w:pPr>
            <w:r>
              <w:rPr>
                <w:rFonts w:ascii="Arial" w:cs="Arial" w:eastAsia="Arial" w:hAnsi="Arial"/>
                <w:sz w:val="14"/>
                <w:szCs w:val="14"/>
                <w:color w:val="auto"/>
                <w:w w:val="99"/>
              </w:rPr>
              <w:t>THREE MONTHS ENDED</w:t>
            </w:r>
          </w:p>
        </w:tc>
        <w:tc>
          <w:tcPr>
            <w:tcW w:w="1980" w:type="dxa"/>
            <w:vAlign w:val="bottom"/>
            <w:gridSpan w:val="7"/>
          </w:tcPr>
          <w:p>
            <w:pPr>
              <w:jc w:val="right"/>
              <w:ind w:right="16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680"/>
              <w:spacing w:after="0"/>
              <w:rPr>
                <w:sz w:val="20"/>
                <w:szCs w:val="20"/>
                <w:color w:val="auto"/>
              </w:rPr>
            </w:pPr>
            <w:r>
              <w:rPr>
                <w:rFonts w:ascii="Arial" w:cs="Arial" w:eastAsia="Arial" w:hAnsi="Arial"/>
                <w:sz w:val="14"/>
                <w:szCs w:val="14"/>
                <w:color w:val="auto"/>
              </w:rPr>
              <w:t>MARCH 31,</w:t>
            </w:r>
          </w:p>
        </w:tc>
        <w:tc>
          <w:tcPr>
            <w:tcW w:w="100" w:type="dxa"/>
            <w:vAlign w:val="bottom"/>
          </w:tcPr>
          <w:p>
            <w:pPr>
              <w:spacing w:after="0"/>
              <w:rPr>
                <w:sz w:val="14"/>
                <w:szCs w:val="1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color w:val="auto"/>
              </w:rPr>
              <w:t>MARCH 31,</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2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Gas operating revenues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462,602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525,100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1,258,914</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1,426,624</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146,879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213,600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330,400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523,647</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108,679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100,797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409,606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398,486</w:t>
            </w: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61,195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60,745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233,913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220,525</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53,145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50,409</w:t>
            </w:r>
          </w:p>
        </w:tc>
      </w:tr>
      <w:tr>
        <w:trPr>
          <w:trHeight w:val="230"/>
        </w:trPr>
        <w:tc>
          <w:tcPr>
            <w:tcW w:w="20" w:type="dxa"/>
            <w:vAlign w:val="bottom"/>
          </w:tcPr>
          <w:p>
            <w:pPr>
              <w:spacing w:after="0"/>
              <w:rPr>
                <w:sz w:val="20"/>
                <w:szCs w:val="20"/>
                <w:color w:val="auto"/>
              </w:rPr>
            </w:pPr>
          </w:p>
        </w:tc>
        <w:tc>
          <w:tcPr>
            <w:tcW w:w="4600" w:type="dxa"/>
            <w:vAlign w:val="bottom"/>
            <w:gridSpan w:val="3"/>
          </w:tcPr>
          <w:p>
            <w:pPr>
              <w:ind w:left="700"/>
              <w:spacing w:after="0"/>
              <w:rPr>
                <w:sz w:val="20"/>
                <w:szCs w:val="20"/>
                <w:color w:val="auto"/>
              </w:rPr>
            </w:pPr>
            <w:r>
              <w:rPr>
                <w:rFonts w:ascii="Arial" w:cs="Arial" w:eastAsia="Arial" w:hAnsi="Arial"/>
                <w:sz w:val="18"/>
                <w:szCs w:val="18"/>
                <w:color w:val="auto"/>
              </w:rPr>
              <w:t>Total operating expenses</w:t>
            </w:r>
          </w:p>
        </w:tc>
        <w:tc>
          <w:tcPr>
            <w:tcW w:w="2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331,535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389,155</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1,027,064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1,193,067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131,067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135,945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233,557</w:t>
            </w:r>
          </w:p>
        </w:tc>
      </w:tr>
      <w:tr>
        <w:trPr>
          <w:trHeight w:val="223"/>
        </w:trPr>
        <w:tc>
          <w:tcPr>
            <w:tcW w:w="4620" w:type="dxa"/>
            <w:vAlign w:val="bottom"/>
            <w:gridSpan w:val="4"/>
          </w:tcPr>
          <w:p>
            <w:pPr>
              <w:spacing w:after="0"/>
              <w:rPr>
                <w:sz w:val="20"/>
                <w:szCs w:val="20"/>
                <w:color w:val="auto"/>
              </w:rPr>
            </w:pPr>
            <w:r>
              <w:rPr>
                <w:rFonts w:ascii="Arial" w:cs="Arial" w:eastAsia="Arial" w:hAnsi="Arial"/>
                <w:sz w:val="18"/>
                <w:szCs w:val="18"/>
                <w:color w:val="auto"/>
              </w:rPr>
              <w:t>Other income and (expenses):</w:t>
            </w:r>
          </w:p>
        </w:tc>
        <w:tc>
          <w:tcPr>
            <w:tcW w:w="2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interest deductions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(64,229)</w:t>
            </w:r>
          </w:p>
        </w:tc>
      </w:tr>
      <w:tr>
        <w:trPr>
          <w:trHeight w:val="223"/>
        </w:trPr>
        <w:tc>
          <w:tcPr>
            <w:tcW w:w="20" w:type="dxa"/>
            <w:vAlign w:val="bottom"/>
          </w:tcPr>
          <w:p>
            <w:pPr>
              <w:spacing w:after="0"/>
              <w:rPr>
                <w:sz w:val="19"/>
                <w:szCs w:val="19"/>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Other income (deductions)</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other income and (expenses)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(62,784)</w:t>
            </w:r>
          </w:p>
        </w:tc>
      </w:tr>
      <w:tr>
        <w:trPr>
          <w:trHeight w:val="223"/>
        </w:trPr>
        <w:tc>
          <w:tcPr>
            <w:tcW w:w="462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117,468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121,470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43,887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55,227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60,486</w:t>
            </w: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2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77,583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construction services: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 (loss) before income taxes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56,890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52,804</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21,030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20,185</w:t>
            </w:r>
          </w:p>
        </w:tc>
      </w:tr>
      <w:tr>
        <w:trPr>
          <w:trHeight w:val="223"/>
        </w:trPr>
        <w:tc>
          <w:tcPr>
            <w:tcW w:w="20" w:type="dxa"/>
            <w:vAlign w:val="bottom"/>
          </w:tcPr>
          <w:p>
            <w:pPr>
              <w:spacing w:after="0"/>
              <w:rPr>
                <w:sz w:val="19"/>
                <w:szCs w:val="19"/>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 (loss)</w:t>
            </w:r>
          </w:p>
        </w:tc>
        <w:tc>
          <w:tcPr>
            <w:tcW w:w="2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r>
      <w:tr>
        <w:trPr>
          <w:trHeight w:val="230"/>
        </w:trPr>
        <w:tc>
          <w:tcPr>
            <w:tcW w:w="20" w:type="dxa"/>
            <w:vAlign w:val="bottom"/>
          </w:tcPr>
          <w:p>
            <w:pPr>
              <w:spacing w:after="0"/>
              <w:rPr>
                <w:sz w:val="20"/>
                <w:szCs w:val="20"/>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 (loss) - discontinued operations</w:t>
            </w:r>
          </w:p>
        </w:tc>
        <w:tc>
          <w:tcPr>
            <w:tcW w:w="2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76,938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141,780</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730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9"/>
              </w:rPr>
              <w:t>March 31, 2017</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400" w:type="dxa"/>
            <w:vAlign w:val="bottom"/>
            <w:gridSpan w:val="10"/>
          </w:tcPr>
          <w:p>
            <w:pPr>
              <w:jc w:val="center"/>
              <w:ind w:left="1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jc w:val="center"/>
              <w:ind w:left="1130"/>
              <w:spacing w:after="0"/>
              <w:rPr>
                <w:sz w:val="20"/>
                <w:szCs w:val="20"/>
                <w:color w:val="auto"/>
              </w:rPr>
            </w:pPr>
            <w:r>
              <w:rPr>
                <w:rFonts w:ascii="Arial" w:cs="Arial" w:eastAsia="Arial" w:hAnsi="Arial"/>
                <w:sz w:val="18"/>
                <w:szCs w:val="18"/>
                <w:color w:val="auto"/>
                <w:w w:val="90"/>
              </w:rPr>
              <w:t>(In thousands)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jc w:val="center"/>
              <w:ind w:left="111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6"/>
          </w:tcPr>
          <w:p>
            <w:pPr>
              <w:ind w:left="2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4"/>
                <w:szCs w:val="24"/>
                <w:color w:val="auto"/>
              </w:rPr>
            </w:pPr>
          </w:p>
        </w:tc>
        <w:tc>
          <w:tcPr>
            <w:tcW w:w="1920" w:type="dxa"/>
            <w:vAlign w:val="bottom"/>
            <w:gridSpan w:val="7"/>
          </w:tcPr>
          <w:p>
            <w:pPr>
              <w:jc w:val="right"/>
              <w:ind w:right="14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color w:val="auto"/>
              </w:rPr>
              <w:t>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640"/>
              <w:spacing w:after="0"/>
              <w:rPr>
                <w:sz w:val="20"/>
                <w:szCs w:val="20"/>
                <w:color w:val="auto"/>
              </w:rPr>
            </w:pPr>
            <w:r>
              <w:rPr>
                <w:rFonts w:ascii="Arial" w:cs="Arial" w:eastAsia="Arial" w:hAnsi="Arial"/>
                <w:sz w:val="14"/>
                <w:szCs w:val="14"/>
                <w:color w:val="auto"/>
              </w:rPr>
              <w:t>MARCH 31,</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76,938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77,583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118,778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110,287</w:t>
            </w: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340"/>
              <w:spacing w:after="0"/>
              <w:rPr>
                <w:sz w:val="20"/>
                <w:szCs w:val="20"/>
                <w:color w:val="auto"/>
              </w:rPr>
            </w:pPr>
            <w:r>
              <w:rPr>
                <w:rFonts w:ascii="Arial" w:cs="Arial" w:eastAsia="Arial" w:hAnsi="Arial"/>
                <w:sz w:val="18"/>
                <w:szCs w:val="18"/>
                <w:color w:val="auto"/>
              </w:rPr>
              <w:t>Defined benefit pension plans: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actuarial gain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(18,922)</w:t>
            </w:r>
          </w:p>
        </w:tc>
      </w:tr>
      <w:tr>
        <w:trPr>
          <w:trHeight w:val="216"/>
        </w:trPr>
        <w:tc>
          <w:tcPr>
            <w:tcW w:w="20" w:type="dxa"/>
            <w:vAlign w:val="bottom"/>
          </w:tcPr>
          <w:p>
            <w:pPr>
              <w:spacing w:after="0"/>
              <w:rPr>
                <w:sz w:val="18"/>
                <w:szCs w:val="18"/>
                <w:color w:val="auto"/>
              </w:rPr>
            </w:pPr>
          </w:p>
        </w:tc>
        <w:tc>
          <w:tcPr>
            <w:tcW w:w="7280" w:type="dxa"/>
            <w:vAlign w:val="bottom"/>
            <w:gridSpan w:val="3"/>
          </w:tcPr>
          <w:p>
            <w:pPr>
              <w:ind w:left="700"/>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20,182</w:t>
            </w:r>
          </w:p>
        </w:tc>
      </w:tr>
      <w:tr>
        <w:trPr>
          <w:trHeight w:val="216"/>
        </w:trPr>
        <w:tc>
          <w:tcPr>
            <w:tcW w:w="20" w:type="dxa"/>
            <w:vAlign w:val="bottom"/>
          </w:tcPr>
          <w:p>
            <w:pPr>
              <w:spacing w:after="0"/>
              <w:rPr>
                <w:sz w:val="18"/>
                <w:szCs w:val="18"/>
                <w:color w:val="auto"/>
              </w:rPr>
            </w:pPr>
          </w:p>
        </w:tc>
        <w:tc>
          <w:tcPr>
            <w:tcW w:w="7280" w:type="dxa"/>
            <w:vAlign w:val="bottom"/>
            <w:gridSpan w:val="3"/>
          </w:tcPr>
          <w:p>
            <w:pPr>
              <w:ind w:left="700"/>
              <w:spacing w:after="0"/>
              <w:rPr>
                <w:sz w:val="20"/>
                <w:szCs w:val="20"/>
                <w:color w:val="auto"/>
              </w:rPr>
            </w:pPr>
            <w:r>
              <w:rPr>
                <w:rFonts w:ascii="Arial" w:cs="Arial" w:eastAsia="Arial" w:hAnsi="Arial"/>
                <w:sz w:val="18"/>
                <w:szCs w:val="18"/>
                <w:color w:val="auto"/>
              </w:rPr>
              <w:t>Regulatory adjustment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(3,556)</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(2,468)</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defined benefit pension plans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r>
      <w:tr>
        <w:trPr>
          <w:trHeight w:val="223"/>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8"/>
                <w:szCs w:val="18"/>
                <w:color w:val="auto"/>
              </w:rPr>
              <w:t>Forward-starting interest rate swaps: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Amounts reclassified into net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r>
      <w:tr>
        <w:trPr>
          <w:trHeight w:val="230"/>
        </w:trPr>
        <w:tc>
          <w:tcPr>
            <w:tcW w:w="20" w:type="dxa"/>
            <w:vAlign w:val="bottom"/>
          </w:tcPr>
          <w:p>
            <w:pPr>
              <w:spacing w:after="0"/>
              <w:rPr>
                <w:sz w:val="20"/>
                <w:szCs w:val="20"/>
                <w:color w:val="auto"/>
              </w:rPr>
            </w:pPr>
          </w:p>
        </w:tc>
        <w:tc>
          <w:tcPr>
            <w:tcW w:w="7280" w:type="dxa"/>
            <w:vAlign w:val="bottom"/>
            <w:gridSpan w:val="3"/>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net of tax from continuing operations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r>
      <w:tr>
        <w:trPr>
          <w:trHeight w:val="230"/>
        </w:trPr>
        <w:tc>
          <w:tcPr>
            <w:tcW w:w="7300" w:type="dxa"/>
            <w:vAlign w:val="bottom"/>
            <w:gridSpan w:val="4"/>
          </w:tcPr>
          <w:p>
            <w:pPr>
              <w:spacing w:after="0"/>
              <w:rPr>
                <w:sz w:val="20"/>
                <w:szCs w:val="20"/>
                <w:color w:val="auto"/>
              </w:rPr>
            </w:pPr>
            <w:r>
              <w:rPr>
                <w:rFonts w:ascii="Arial" w:cs="Arial" w:eastAsia="Arial" w:hAnsi="Arial"/>
                <w:sz w:val="18"/>
                <w:szCs w:val="18"/>
                <w:color w:val="auto"/>
              </w:rPr>
              <w:t>Comprehensive income from continuing operations</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78,051</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120,869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construction services: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ind w:left="3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34,755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31,493</w:t>
            </w: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7280" w:type="dxa"/>
            <w:vAlign w:val="bottom"/>
            <w:gridSpan w:val="3"/>
          </w:tcPr>
          <w:p>
            <w:pPr>
              <w:ind w:left="340"/>
              <w:spacing w:after="0"/>
              <w:rPr>
                <w:sz w:val="20"/>
                <w:szCs w:val="20"/>
                <w:color w:val="auto"/>
              </w:rPr>
            </w:pPr>
            <w:r>
              <w:rPr>
                <w:rFonts w:ascii="Arial" w:cs="Arial" w:eastAsia="Arial" w:hAnsi="Arial"/>
                <w:sz w:val="18"/>
                <w:szCs w:val="18"/>
                <w:color w:val="auto"/>
                <w:w w:val="94"/>
              </w:rPr>
              <w:t>Comprehensive income (loss) attributable to discontinued operations - construction services</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78,051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155,024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143,571</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5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74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367"/>
        </w:trPr>
        <w:tc>
          <w:tcPr>
            <w:tcW w:w="2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0"/>
              </w:rPr>
              <w:t>(Thousands of dollars)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ind w:left="101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6"/>
          </w:tcPr>
          <w:p>
            <w:pPr>
              <w:jc w:val="right"/>
              <w:ind w:right="16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4"/>
                <w:szCs w:val="24"/>
                <w:color w:val="auto"/>
              </w:rPr>
            </w:pPr>
          </w:p>
        </w:tc>
        <w:tc>
          <w:tcPr>
            <w:tcW w:w="1920" w:type="dxa"/>
            <w:vAlign w:val="bottom"/>
            <w:gridSpan w:val="7"/>
          </w:tcPr>
          <w:p>
            <w:pPr>
              <w:jc w:val="right"/>
              <w:ind w:right="140"/>
              <w:spacing w:after="0"/>
              <w:rPr>
                <w:sz w:val="20"/>
                <w:szCs w:val="20"/>
                <w:color w:val="auto"/>
              </w:rPr>
            </w:pPr>
            <w:r>
              <w:rPr>
                <w:rFonts w:ascii="Arial" w:cs="Arial" w:eastAsia="Arial" w:hAnsi="Arial"/>
                <w:sz w:val="14"/>
                <w:szCs w:val="14"/>
                <w:color w:val="auto"/>
              </w:rPr>
              <w:t>TWELVE MONTHS ENDED</w:t>
            </w:r>
          </w:p>
        </w:tc>
      </w:tr>
      <w:tr>
        <w:trPr>
          <w:trHeight w:val="167"/>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color w:val="auto"/>
              </w:rPr>
              <w:t>MARCH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660"/>
              <w:spacing w:after="0"/>
              <w:rPr>
                <w:sz w:val="20"/>
                <w:szCs w:val="20"/>
                <w:color w:val="auto"/>
              </w:rPr>
            </w:pPr>
            <w:r>
              <w:rPr>
                <w:rFonts w:ascii="Arial" w:cs="Arial" w:eastAsia="Arial" w:hAnsi="Arial"/>
                <w:sz w:val="14"/>
                <w:szCs w:val="14"/>
                <w:color w:val="auto"/>
              </w:rPr>
              <w:t>MARCH 31</w:t>
            </w:r>
          </w:p>
        </w:tc>
      </w:tr>
      <w:tr>
        <w:trPr>
          <w:trHeight w:val="142"/>
        </w:trPr>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74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76,938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75,355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154,638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142,906</w:t>
            </w: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32,619</w:t>
            </w:r>
          </w:p>
        </w:tc>
      </w:tr>
      <w:tr>
        <w:trPr>
          <w:trHeight w:val="223"/>
        </w:trPr>
        <w:tc>
          <w:tcPr>
            <w:tcW w:w="7400" w:type="dxa"/>
            <w:vAlign w:val="bottom"/>
            <w:gridSpan w:val="3"/>
          </w:tcPr>
          <w:p>
            <w:pPr>
              <w:ind w:left="7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76,938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118,778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110,287</w:t>
            </w:r>
          </w:p>
        </w:tc>
        <w:tc>
          <w:tcPr>
            <w:tcW w:w="100" w:type="dxa"/>
            <w:vAlign w:val="bottom"/>
          </w:tcPr>
          <w:p>
            <w:pPr>
              <w:spacing w:after="0"/>
              <w:rPr>
                <w:sz w:val="19"/>
                <w:szCs w:val="19"/>
                <w:color w:val="auto"/>
              </w:rPr>
            </w:pP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gridSpan w:val="3"/>
          </w:tcPr>
          <w:p>
            <w:pPr>
              <w:ind w:left="10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61,195</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233,913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220,525</w:t>
            </w:r>
          </w:p>
        </w:tc>
      </w:tr>
      <w:tr>
        <w:trPr>
          <w:trHeight w:val="216"/>
        </w:trPr>
        <w:tc>
          <w:tcPr>
            <w:tcW w:w="74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62,733</w:t>
            </w:r>
          </w:p>
        </w:tc>
      </w:tr>
      <w:tr>
        <w:trPr>
          <w:trHeight w:val="216"/>
        </w:trPr>
        <w:tc>
          <w:tcPr>
            <w:tcW w:w="7400" w:type="dxa"/>
            <w:vAlign w:val="bottom"/>
            <w:gridSpan w:val="3"/>
          </w:tcPr>
          <w:p>
            <w:pPr>
              <w:ind w:left="1080"/>
              <w:spacing w:after="0"/>
              <w:rPr>
                <w:sz w:val="20"/>
                <w:szCs w:val="20"/>
                <w:color w:val="auto"/>
              </w:rPr>
            </w:pPr>
            <w:r>
              <w:rPr>
                <w:rFonts w:ascii="Arial" w:cs="Arial" w:eastAsia="Arial" w:hAnsi="Arial"/>
                <w:sz w:val="18"/>
                <w:szCs w:val="18"/>
                <w:color w:val="auto"/>
              </w:rPr>
              <w:t>Changes in current assets and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Accounts receivable, net of allowances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25,724</w:t>
            </w:r>
          </w:p>
        </w:tc>
      </w:tr>
      <w:tr>
        <w:trPr>
          <w:trHeight w:val="216"/>
        </w:trPr>
        <w:tc>
          <w:tcPr>
            <w:tcW w:w="7400" w:type="dxa"/>
            <w:vAlign w:val="bottom"/>
            <w:gridSpan w:val="3"/>
          </w:tcPr>
          <w:p>
            <w:pPr>
              <w:ind w:left="1440"/>
              <w:spacing w:after="0"/>
              <w:rPr>
                <w:sz w:val="20"/>
                <w:szCs w:val="20"/>
                <w:color w:val="auto"/>
              </w:rPr>
            </w:pPr>
            <w:r>
              <w:rPr>
                <w:rFonts w:ascii="Arial" w:cs="Arial" w:eastAsia="Arial" w:hAnsi="Arial"/>
                <w:sz w:val="18"/>
                <w:szCs w:val="18"/>
                <w:color w:val="auto"/>
              </w:rPr>
              <w:t>Accrued utility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r>
      <w:tr>
        <w:trPr>
          <w:trHeight w:val="216"/>
        </w:trPr>
        <w:tc>
          <w:tcPr>
            <w:tcW w:w="740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Deferred purchased gas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129,120</w:t>
            </w:r>
          </w:p>
        </w:tc>
      </w:tr>
      <w:tr>
        <w:trPr>
          <w:trHeight w:val="216"/>
        </w:trPr>
        <w:tc>
          <w:tcPr>
            <w:tcW w:w="7400" w:type="dxa"/>
            <w:vAlign w:val="bottom"/>
            <w:gridSpan w:val="3"/>
          </w:tcPr>
          <w:p>
            <w:pPr>
              <w:ind w:left="14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(44,736)</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(32,324)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1,578</w:t>
            </w:r>
          </w:p>
        </w:tc>
      </w:tr>
      <w:tr>
        <w:trPr>
          <w:trHeight w:val="216"/>
        </w:trPr>
        <w:tc>
          <w:tcPr>
            <w:tcW w:w="740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(18,047)</w:t>
            </w:r>
          </w:p>
        </w:tc>
      </w:tr>
      <w:tr>
        <w:trPr>
          <w:trHeight w:val="216"/>
        </w:trPr>
        <w:tc>
          <w:tcPr>
            <w:tcW w:w="7400" w:type="dxa"/>
            <w:vAlign w:val="bottom"/>
            <w:gridSpan w:val="3"/>
          </w:tcPr>
          <w:p>
            <w:pPr>
              <w:ind w:left="1440"/>
              <w:spacing w:after="0"/>
              <w:rPr>
                <w:sz w:val="20"/>
                <w:szCs w:val="20"/>
                <w:color w:val="auto"/>
              </w:rPr>
            </w:pPr>
            <w:r>
              <w:rPr>
                <w:rFonts w:ascii="Arial" w:cs="Arial" w:eastAsia="Arial" w:hAnsi="Arial"/>
                <w:sz w:val="18"/>
                <w:szCs w:val="18"/>
                <w:color w:val="auto"/>
              </w:rPr>
              <w:t>Other current assets and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37,342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r>
      <w:tr>
        <w:trPr>
          <w:trHeight w:val="216"/>
        </w:trPr>
        <w:tc>
          <w:tcPr>
            <w:tcW w:w="74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Changes in undistributed stock compensation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3,846</w:t>
            </w:r>
          </w:p>
        </w:tc>
      </w:tr>
      <w:tr>
        <w:trPr>
          <w:trHeight w:val="216"/>
        </w:trPr>
        <w:tc>
          <w:tcPr>
            <w:tcW w:w="7400" w:type="dxa"/>
            <w:vAlign w:val="bottom"/>
            <w:gridSpan w:val="3"/>
          </w:tcPr>
          <w:p>
            <w:pPr>
              <w:ind w:left="1080"/>
              <w:spacing w:after="0"/>
              <w:rPr>
                <w:sz w:val="20"/>
                <w:szCs w:val="20"/>
                <w:color w:val="auto"/>
              </w:rPr>
            </w:pPr>
            <w:r>
              <w:rPr>
                <w:rFonts w:ascii="Arial" w:cs="Arial" w:eastAsia="Arial" w:hAnsi="Arial"/>
                <w:sz w:val="18"/>
                <w:szCs w:val="18"/>
                <w:color w:val="auto"/>
              </w:rPr>
              <w:t>AFUDC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(3,144)</w:t>
            </w:r>
          </w:p>
        </w:tc>
      </w:tr>
      <w:tr>
        <w:trPr>
          <w:trHeight w:val="216"/>
        </w:trPr>
        <w:tc>
          <w:tcPr>
            <w:tcW w:w="74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Changes in other assets and deferred charges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w:t>
            </w:r>
          </w:p>
        </w:tc>
      </w:tr>
      <w:tr>
        <w:trPr>
          <w:trHeight w:val="216"/>
        </w:trPr>
        <w:tc>
          <w:tcPr>
            <w:tcW w:w="7400" w:type="dxa"/>
            <w:vAlign w:val="bottom"/>
            <w:gridSpan w:val="3"/>
          </w:tcPr>
          <w:p>
            <w:pPr>
              <w:ind w:left="1080"/>
              <w:spacing w:after="0"/>
              <w:rPr>
                <w:sz w:val="20"/>
                <w:szCs w:val="20"/>
                <w:color w:val="auto"/>
              </w:rPr>
            </w:pPr>
            <w:r>
              <w:rPr>
                <w:rFonts w:ascii="Arial" w:cs="Arial" w:eastAsia="Arial" w:hAnsi="Arial"/>
                <w:sz w:val="18"/>
                <w:szCs w:val="18"/>
                <w:color w:val="auto"/>
              </w:rPr>
              <w:t>Changes in other liabilities and deferred credits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(18,968)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11,706</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147,633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288,599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368,377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536,587</w:t>
            </w: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Construction expenditures and property additions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(101,007)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(468,413)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(444,494)</w:t>
            </w: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Changes in customer advances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16,515</w:t>
            </w: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Miscellaneous inflows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w:t>
            </w: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Dividends received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9,660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5,602</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(450,402)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(419,052)</w:t>
            </w: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Issuance of common stock,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27,006</w:t>
            </w: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(18,500)</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(82,597)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(76,445)</w:t>
            </w: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Issuance of long-term debt,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296,469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Retirement of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(149,855)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(51,200)</w:t>
            </w: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Change in credit facility and commercial paper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Change in short-term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Withholding remittance - share-based compensation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w:t>
            </w: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(188,575)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(103,847)</w:t>
            </w: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104,744</w:t>
            </w:r>
          </w:p>
        </w:tc>
        <w:tc>
          <w:tcPr>
            <w:tcW w:w="100" w:type="dxa"/>
            <w:vAlign w:val="bottom"/>
          </w:tcPr>
          <w:p>
            <w:pPr>
              <w:spacing w:after="0"/>
              <w:rPr>
                <w:sz w:val="19"/>
                <w:szCs w:val="19"/>
                <w:color w:val="auto"/>
              </w:rPr>
            </w:pPr>
          </w:p>
        </w:tc>
      </w:tr>
      <w:tr>
        <w:trPr>
          <w:trHeight w:val="216"/>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discontinued investing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(67,173)</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Net cash provided by (used in) discontinued financing activities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6,651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(11,385)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(27,703)</w:t>
            </w:r>
          </w:p>
        </w:tc>
      </w:tr>
      <w:tr>
        <w:trPr>
          <w:trHeight w:val="216"/>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Effects of currency translation on cash and cash equivalents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w:t>
            </w: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color w:val="auto"/>
              </w:rPr>
              <w:t>Change in cash and cash equivalents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22,796</w:t>
            </w:r>
          </w:p>
        </w:tc>
        <w:tc>
          <w:tcPr>
            <w:tcW w:w="100" w:type="dxa"/>
            <w:vAlign w:val="bottom"/>
          </w:tcPr>
          <w:p>
            <w:pPr>
              <w:spacing w:after="0"/>
              <w:rPr>
                <w:sz w:val="19"/>
                <w:szCs w:val="19"/>
                <w:color w:val="auto"/>
              </w:rPr>
            </w:pPr>
          </w:p>
        </w:tc>
      </w:tr>
      <w:tr>
        <w:trPr>
          <w:trHeight w:val="202"/>
        </w:trPr>
        <w:tc>
          <w:tcPr>
            <w:tcW w:w="7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cash and cash equivalents of discontinued operations included in discontinued operations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construction services assets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(9,108)</w:t>
            </w: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color w:val="auto"/>
              </w:rPr>
              <w:t>Change in cash and cash equivalents of continuing operations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Pr>
          <w:p>
            <w:pPr>
              <w:spacing w:after="0"/>
              <w:rPr>
                <w:sz w:val="19"/>
                <w:szCs w:val="19"/>
                <w:color w:val="auto"/>
              </w:rPr>
            </w:pPr>
          </w:p>
        </w:tc>
      </w:tr>
      <w:tr>
        <w:trPr>
          <w:trHeight w:val="216"/>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25,172</w:t>
            </w: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38,860</w:t>
            </w:r>
          </w:p>
        </w:tc>
        <w:tc>
          <w:tcPr>
            <w:tcW w:w="10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gridSpan w:val="3"/>
          </w:tcPr>
          <w:p>
            <w:pPr>
              <w:ind w:left="360"/>
              <w:spacing w:after="0"/>
              <w:rPr>
                <w:sz w:val="20"/>
                <w:szCs w:val="20"/>
                <w:color w:val="auto"/>
              </w:rPr>
            </w:pPr>
            <w:r>
              <w:rPr>
                <w:rFonts w:ascii="Arial" w:cs="Arial" w:eastAsia="Arial" w:hAnsi="Arial"/>
                <w:sz w:val="18"/>
                <w:szCs w:val="18"/>
                <w:color w:val="auto"/>
              </w:rPr>
              <w:t>Interest paid, net of amounts capitalized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61,212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59,515</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taxes paid (received)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21,437</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7"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Southwest Gas Holdings, Inc. is a holding company, owning all of the shares of common stock of Southwest Gas Corporation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96.6% of the common stock of Centuri Construction Group Inc. In January 2017, a previously contemplated and approved reorganization under a holding company structure was made effective. The reorganization is designed to provide further separation between regulated and unregulated businesses, and to provide additional financing flexibility. Coincident with the effective date of the reorganization, existing shareholders of Southwest Gas Corporation became shareholders of Southwest Gas Holdings, Inc., on a one-for-one basis, with the same number of shares and same ownership percentage as they held immediately prior to the reorganization. At the same time, Southwest Gas Corporation and Centuri Construction Group Inc. (“Centuri” or the “construction services” segment) each became subsidiaries of the publicly traded holding company; whereas, historically, Centuri had been a direct subsidiary of Southwest Gas Corporation. Southwest Gas Corporation (“Southwest” or the “natural gas operations segment”)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 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primarily for energy services utilities. Centuri operations are generally conducted under the business names of NPL Construction Co. (“NPL”), NPL Canada Ltd. (“NPL Canada”, formerly Link-Line Contractors Ltd.), W.S. Nicholls Construction, Inc. and related companies (“W.S. Nicholls”), and Brigadier Pipelines Inc. (“Brigadier”). Typically, Centuri revenues are lowest during the first quarter of the year due to unfavorable winter weather conditions. Operating revenues typically improve as more favorable weather conditions occur during the summer and fall months.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condensed consolidated financial statements for Southwest Gas Holdings, Inc. and subsidiaries (the “Company”) and Southwest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included herein have been prepared pursuant to the rules and regulations of the Securities and Exchange Commission (the “SEC”). Certain information and footnote disclosures normally included in financial statements prepared in accordance with United States generally accepted accounting principles (“U.S. GAAP”) have been condensed or omitted pursuant to such rules and regulations. As indicated above, in connection with the holding company reorganization, Centuri ceased to be a subsidiary of Southwest and became a subsidiary Southwest Gas Holdings, Inc. To give effect to this change, the separate condensed consolidated financial statements related to Southwest Gas Corporation, which are included in this Form 10-Q, depict Centuri-related amounts for periods prior to January 1, 2017 as discontinued operations. Because the transfer of Centuri from Southwest Gas Corporation to Southwest Gas Holdings, Inc. was effectuated as an equity transaction and not a sale, assets and liabilities subject to the discontinued operations presentation have been reflected as noncurrent on the Southwest Gas Corporation Balance Sheet. Those assets and liabilities are detailed in </w:t>
      </w:r>
      <w:r>
        <w:rPr>
          <w:rFonts w:ascii="Arial" w:cs="Arial" w:eastAsia="Arial" w:hAnsi="Arial"/>
          <w:sz w:val="16"/>
          <w:szCs w:val="16"/>
          <w:b w:val="1"/>
          <w:bCs w:val="1"/>
          <w:color w:val="auto"/>
        </w:rPr>
        <w:t>Note 10 – Reorganization Impacts – Discontinued Operations</w:t>
      </w:r>
      <w:r>
        <w:rPr>
          <w:rFonts w:ascii="Arial" w:cs="Arial" w:eastAsia="Arial" w:hAnsi="Arial"/>
          <w:sz w:val="16"/>
          <w:szCs w:val="16"/>
          <w:color w:val="auto"/>
        </w:rPr>
        <w:t xml:space="preserve"> </w:t>
      </w:r>
      <w:r>
        <w:rPr>
          <w:rFonts w:ascii="Arial" w:cs="Arial" w:eastAsia="Arial" w:hAnsi="Arial"/>
          <w:sz w:val="16"/>
          <w:szCs w:val="16"/>
          <w:b w:val="1"/>
          <w:bCs w:val="1"/>
          <w:color w:val="auto"/>
        </w:rPr>
        <w:t>Solely Related to Southwest Gas Corporation</w:t>
      </w:r>
      <w:r>
        <w:rPr>
          <w:rFonts w:ascii="Arial" w:cs="Arial" w:eastAsia="Arial" w:hAnsi="Arial"/>
          <w:sz w:val="16"/>
          <w:szCs w:val="16"/>
          <w:color w:val="auto"/>
        </w:rPr>
        <w:t>, and include both current and non-current amounts.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No substantive change has occurred with regard to the Company’s business segments on the whole, or in the primary businesses comprising those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Centuri operations continue to be part of continuing operations and of the consolidated financial statements of Southwest Gas Holdings, Inc.</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presentation of results for the interim periods, have been made. It is suggested that these condensed consolidated financial statements be read in conjunction with the consolidated financial statements and the notes thereto included in the 2016 Annual Report to Shareholders, which is incorporated by reference into the 2016 Form 10-K.</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Prepaids and other current assets. </w:t>
      </w:r>
      <w:r>
        <w:rPr>
          <w:rFonts w:ascii="Arial" w:cs="Arial" w:eastAsia="Arial" w:hAnsi="Arial"/>
          <w:sz w:val="18"/>
          <w:szCs w:val="18"/>
          <w:color w:val="auto"/>
        </w:rPr>
        <w:t>Prepaids and other current assets includes gas pipe materials and operating supplies of $35 million at March 31,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$30 million at December 31, 2016 (carried at weighted average cost), and also includes natural gas stored underground and liquefied natural gas, in addition to prepaid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For purposes of reporting consolidated cash flows, cash and cash equivalents include cash on hand and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purchase-date maturity of three months or less. In general, cash and cash equivalents fall within Level 1 (quoted prices for identical financial instruments) of the three-level fair value hierarchy that ranks the inputs, used to measure fair value, by their reliability. However, cash and cash equivalents at March 31, 2017 and December 31, 2016 also include a money market fund investment of approximately $14.1 million and $5.3 million, respectively, which falls within Level 2 (significant other observable inputs) of the fair value hierarchy, due to the asset valuation methods used by money market funds.</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Significant non-cash investing and financing activities for the natural gas operations segment included the following: Upon contract expiration, customer advances of approximately $477,000 and $900,000, during the first three months of 2017 and 2016, respectively, were applied as contributions toward utility construction activity and represent non-cash investing activity.</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Adoption of Accounting Standards Update (“ASU”) No. 2016-09. </w:t>
      </w:r>
      <w:r>
        <w:rPr>
          <w:rFonts w:ascii="Arial" w:cs="Arial" w:eastAsia="Arial" w:hAnsi="Arial"/>
          <w:sz w:val="17"/>
          <w:szCs w:val="17"/>
          <w:color w:val="auto"/>
        </w:rPr>
        <w:t>As of January 1, 2017, the Company adopted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ASU No. 2016-09 “Compensation—Stock Compensation (Topic 718): Improvements to Employee Share-Based Payment Accounting”. The adoption of this update is considered a change in accounting principle. Among other things, the update clarifies that all cash payments made to taxing authorities on the employees’ behalf for withheld shares should be presented as financing activities on the statement of cash flows. This change is required to be presented in the cash flow statement retrospectively. A new category, Withholding remittance – share-based compensation has been added to the Cash Flow from Financing Activities section of the Condensed Consolidated Statements of Cash Flows for both Southwest Gas Holdings, Inc. and Southwest Gas Corporation. The withheld taxes were included in the Accrued taxes line item of the Condensed Consolidated Statement of Cash Flows in previous periods. Therefore, upon adoption, amounts presented as cash inflows from Accrued taxes under the Cash Flow from Operating Activities section of the Southwest Gas Holdings, Inc. Consolidated Cash Flow Statements were revised from $36.3 million to $38.2 million for the three months ended March 31, 2016 and outflows in the same category for the twelve months ended March 31, 2016 were revised from $21.9 million to $18.1 million. In addition, while standalone financial statements were not previously presented for natural gas operations, for reasons related to the holding company reorganization discussed above, they are being presented commencing with this Form 10-Q. Therefore, upon adoption of this standard, the Cash Flow from Operating Activities section of the Southwest Gas Corporation Cash Flow Statements reflect a restatement of cash inflows from Accrued taxes from $34.2 million to $36 million for the three months ended March 31, 2016 and cash outflows in the same category were revised from $21.8 million to $18 million for the twelve months ended March 31, 2016.</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new guidance, the Company can withhold any amount between the minimum and maximum individual statutory tax rates and still treat the entire award as equity. The Company intends to administer withholding such that awards under stock compensation programs will continue to be treated as equity awards.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the update requires all income tax-related cash flows resulting from share-based payments (unrelated to employee withholding) be reported as operating activities on the statement of cash flows, a change from the current requirement to present windfall tax benefits as an inflow from financing activities and an outflow from operating activities. The Company chose to apply this presentation requirement of the update prospectively as permitted. Therefore, prior periods were not impacted in implementing this provision of the update.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Amendments related to the timing of when excess tax benefits are recognized, minimum statutory withholding requirements, forfeitures, and intrinsic value are required to be applied using a modified retrospective transition method by means of a cumulative-effect adjustment to equity as of the beginning of the period in which the guidance is adopted. The Company had no previously unrecognized tax benefits as a result of these changes; therefore, no cumulative effect adjustment to the Company’s opening retained earnings was required.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assessed each October for impairment (required annually by U.S. GAAP), or otherwise, if circumstances indicate impairment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carrying value of goodwill may have occurred. In consideration of the holding company reorganization, management of the Company considered its reporting units and segments and determined that historic judgments regarding its segments and reporting units continue to apply, and that no change was necessary with regard to the level at which goodwill is assessed for impairment. No impairment was deemed to have occurred in the first three months of 2017.</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69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March 31, 2017</w:t>
            </w:r>
          </w:p>
        </w:tc>
        <w:tc>
          <w:tcPr>
            <w:tcW w:w="0" w:type="dxa"/>
            <w:vAlign w:val="bottom"/>
          </w:tcPr>
          <w:p>
            <w:pPr>
              <w:spacing w:after="0"/>
              <w:rPr>
                <w:sz w:val="1"/>
                <w:szCs w:val="1"/>
                <w:color w:val="auto"/>
              </w:rPr>
            </w:pPr>
          </w:p>
        </w:tc>
      </w:tr>
      <w:tr>
        <w:trPr>
          <w:trHeight w:val="295"/>
        </w:trPr>
        <w:tc>
          <w:tcPr>
            <w:tcW w:w="9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Natural Gas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280" w:type="dxa"/>
            <w:vAlign w:val="bottom"/>
          </w:tcPr>
          <w:p>
            <w:pPr>
              <w:spacing w:after="0"/>
              <w:rPr>
                <w:sz w:val="24"/>
                <w:szCs w:val="24"/>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020" w:type="dxa"/>
            <w:vAlign w:val="bottom"/>
            <w:gridSpan w:val="3"/>
          </w:tcPr>
          <w:p>
            <w:pPr>
              <w:spacing w:after="0"/>
              <w:rPr>
                <w:sz w:val="20"/>
                <w:szCs w:val="20"/>
                <w:color w:val="auto"/>
              </w:rPr>
            </w:pPr>
            <w:r>
              <w:rPr>
                <w:rFonts w:ascii="Arial" w:cs="Arial" w:eastAsia="Arial" w:hAnsi="Arial"/>
                <w:sz w:val="14"/>
                <w:szCs w:val="14"/>
                <w:color w:val="auto"/>
              </w:rPr>
              <w:t>(In thousands of dollars)</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0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139,983</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130,879</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140,974</w:t>
            </w:r>
          </w:p>
        </w:tc>
        <w:tc>
          <w:tcPr>
            <w:tcW w:w="9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3 – 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208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Centuri accounts receivable for services provided to Southwest</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were not eliminated during consolidation in accordance with accounting treatment for rate-regulated entities.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Southwest Gas Holdings, Inc. Condensed Consolidated Balance Sheets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of dollars):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March 31, 2017</w:t>
            </w: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w w:val="99"/>
              </w:rPr>
              <w:t>December 31, 2016</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Centuri property and equipment</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462,094</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Centuri accumulated provision for depreciation and amortization</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(233,731)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(228,374)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surrender value of COLI policies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106,744</w:t>
            </w:r>
          </w:p>
        </w:tc>
        <w:tc>
          <w:tcPr>
            <w:tcW w:w="12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Other property</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120" w:type="dxa"/>
            <w:vAlign w:val="bottom"/>
          </w:tcPr>
          <w:p>
            <w:pPr>
              <w:spacing w:after="0"/>
              <w:rPr>
                <w:sz w:val="19"/>
                <w:szCs w:val="19"/>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351,032</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342,343</w:t>
            </w:r>
          </w:p>
        </w:tc>
        <w:tc>
          <w:tcPr>
            <w:tcW w:w="12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6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7"/>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4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Southwest Gas Corporation - natural gas operations segment:</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Change in COLI policies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$ 2,800</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900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9,300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Equity AFUDC</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Miscellaneous income and (expense)</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(3,446)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(2,336)</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Southwest Gas Corporation - total other income (deductions)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10,132</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Construction services segment: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transaction gain (loss)</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Miscellaneous income and (expense)</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1,493</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Centuri total other income (deductions)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Consolidated Southwest Gas Holdings, Inc. - total other income (deductions)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$ 3,865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11,613</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is the change in cash surrender values of company-owned life insurance (“COLI”) policies (including net death benefits recognized). These life insurance policies on members of management and other key employees are used by Southwest to indemnify itself against the loss of talent, expertise, and knowledge, as well as to provide indirect funding for certain nonqualified benefit plans. Current tax regulations provide for tax-free treatment of life insurance (death benefit) proceeds. Therefore, changes in the cash surrender values of COLI policies, as they progress towards the ultimate death benefits, are also recorded without tax consequences.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5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8" w:lineRule="auto"/>
        <w:rPr>
          <w:sz w:val="20"/>
          <w:szCs w:val="20"/>
          <w:color w:val="auto"/>
        </w:rPr>
      </w:pPr>
      <w:r>
        <w:rPr>
          <w:rFonts w:ascii="Arial" w:cs="Arial" w:eastAsia="Arial" w:hAnsi="Arial"/>
          <w:sz w:val="17"/>
          <w:szCs w:val="17"/>
          <w:i w:val="1"/>
          <w:iCs w:val="1"/>
          <w:color w:val="auto"/>
        </w:rPr>
        <w:t xml:space="preserve">Recently Issued Accounting Standards Updates. </w:t>
      </w:r>
      <w:r>
        <w:rPr>
          <w:rFonts w:ascii="Arial" w:cs="Arial" w:eastAsia="Arial" w:hAnsi="Arial"/>
          <w:sz w:val="17"/>
          <w:szCs w:val="17"/>
          <w:color w:val="auto"/>
        </w:rPr>
        <w:t>In May 2014, the FASB issued the update “Revenue from Contracts with Customers (Topic 606).” The</w:t>
      </w:r>
      <w:r>
        <w:rPr>
          <w:rFonts w:ascii="Arial" w:cs="Arial" w:eastAsia="Arial" w:hAnsi="Arial"/>
          <w:sz w:val="17"/>
          <w:szCs w:val="17"/>
          <w:i w:val="1"/>
          <w:iCs w:val="1"/>
          <w:color w:val="auto"/>
        </w:rPr>
        <w:t xml:space="preserve"> </w:t>
      </w:r>
      <w:r>
        <w:rPr>
          <w:rFonts w:ascii="Arial" w:cs="Arial" w:eastAsia="Arial" w:hAnsi="Arial"/>
          <w:sz w:val="17"/>
          <w:szCs w:val="17"/>
          <w:color w:val="auto"/>
        </w:rPr>
        <w:t>update replaces much of the current guidance regarding revenue recognition including most industry-specific guidance. In accordance with the update, an entity will be required to identify the contract with the customer, identify the performance obligations in the contract, determine the transaction price, allocate the transaction price to the performance obligations in the contract, and recognize revenue when (or as) the entity satisfies a performance obligation. In addition to the new revenue recognition requirements, entities will be required to disclose sufficient information to enable users of financial statements to understand the nature, amount, timing, and uncertainty of revenue and cash flows arising from contracts with customers. Entities may choose between two retrospective transition methods when applying the update. In July 2015, the FASB approved a one-year deferral of the effective date (annual periods beginning after December 15, 2017). In March, April, May, and December of 2016, the FASB issued updates to Topic 606 related to “Principal versus Agent Considerations (Reporting Revenue Gross versus Net)”, “Identifying Performance Obligations and Licensing”, “Narrow-Scope Improvements and Practical Expedients”, and certain “Technical Corrections and Improvements”. The amendments in the first two updates, respectively, provide guidance when another party, along with the entity, is involved in providing a good or service to a customer, and provide clarification with regard to identifying performance obligations and of the licensing implementation guidance in Topic 606. The third update includes improvements to the guidance on collectability, noncash consideration, and completed contracts at transition. In addition, a practical expedient is provided for contract modifications at transition and an accounting policy election related to the presentation of sales taxes and other similar taxes collected from customers. The fourth update affects narrow aspects of the guidance as issued to date. Management plans to adopt all of these updates at the required adoption date, which is for interim and annual reporting periods commencing January 2018.</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Management has substantially completed the evaluation of the sources of revenue and is currently assessing the effect of the new guidance on its financial position, results of operations and cash flows. The final assessment is contingent, in part, upon the completion of reviews related to customers with negotiated and unique billing terms. Deliberations have been ongoing by the utility industry, notably in connection with efforts to produce an accounting guide intended to be developed by the American Institute of Certified Public Accountants (“AICPA”). In association with this undertaking, the AICPA formed a number of industry task forces, including a Power &amp; Utilities (“P&amp;U”) Task Force, on which Company personnel actively participate via formal membership. Industry representatives and organizations, the largest auditing firms, the AICPA’s Revenue Recognition Working Group and its Financial Reporting Executive Committee have undertaken, and continue to undertake, consideration of several items relevant to the utility industry. Where applicable or necessary, the FASB’s Transition Resource Group (“TRG”) is also participating. Through the P&amp;U Task Force undertakings to date, general determinations have been made that contributions received in aid of construction (“CIAC”) efforts related to the industry’s pipe distribution and transmission systems are reimbursements of expenditures rather than revenue (consistent with current accounting practices). Furthermore, regarding the “collectibility” criterion in the update that must be met for revenue recognition, general determinations have been made that contracts for utility service (including service to lower income or lower credit quality customers) represent genuine and valid contracts for which revenue is able to be recognized when service is rendered (consistent with current accounting practices). These determinations by the P&amp;U industry are based on the various measures our industry takes to help ensure collectibility (e.g., proof of creditworthiness, customer deposits, late fee assessment, disconnection, service re-establishment fees, collection processes, etc.), in addition to the regulatory mechanisms established under rate regulation to mitigate the impacts of individual customer nonpayment. A timeline for the resolution of all deliberations of P&amp;U efforts has not been established. Southwest continues to actively work with its peers in the rate-regulated natural gas industry and with the public accounting profession to finalize the accounting treatment for several other issues that are not expected to be addressed by the P&amp;U Task Force.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5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93" w:lineRule="auto"/>
        <w:rPr>
          <w:sz w:val="20"/>
          <w:szCs w:val="20"/>
          <w:color w:val="auto"/>
        </w:rPr>
      </w:pPr>
      <w:r>
        <w:rPr>
          <w:rFonts w:ascii="Arial" w:cs="Arial" w:eastAsia="Arial" w:hAnsi="Arial"/>
          <w:sz w:val="16"/>
          <w:szCs w:val="16"/>
          <w:color w:val="auto"/>
        </w:rPr>
        <w:t>As of March 31, 2017, the construction services segment has substantially completed the evaluation of sources of revenue and continues to assess the effect of the new guidance on financial position, results of operations and cash flows. The principals of the new revenue recognition guidance are very similar to existing guidance for construction contractors. Similar to the P&amp;U Task Force noted above, the AICPA formed the Engineering and Construction Contractors Task Force to assist the construction industry with implementing the new guidance. The accounting guide the AICPA intends to release is expected to provide implementation guidance related to several issues including 1) combining contracts and separating performance obligations; 2) estimating change orders, incentives, penalties, liquidated damages and other variable consideration items and 3) acceptable measures of progress when recognizing revenue over time.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uncertainty with respect to the conclusions that might arise from the ongoing deliberations on issues associated with both the natural gas and construction services segments, the Company is currently unable to determine the effect the new guidance will have on its financial position, results of operations, cash flows, business processes, or the transition method it will utilize to adopt the new guidance. However, conclusions reached regarding CIAC and collectability criterion with regard to utility service are significant and are aligned with current practices and recognition.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2016, the FASB issued the update “Financial Instruments – Overall (Subtopic 825-10): Recognition and Measurement of Financial Assets and Financial Liabilities” in order to improve the recognition and measurement of financial instruments. The update makes targeted improvements to existing U.S. GAAP by: 1) requiring equity investments to be measured at fair value with changes in fair value recognized in net income; 2) requiring the use of the exit price notion when measuring the fair value of financial instruments for disclosure purposes; 3) requiring separate presentation of financial assets and financial liabilities by measurement category and form of financial asset on the balance sheet or the accompanying notes to the financial statements; 4) eliminating the requirement to disclose the method(s) and significant assumptions used to estimate the fair value that is required to be disclosed for financial instruments measured at amortized cost on the balance sheet; and 5) requiring a reporting entity to present separately in other comprehensive income the portion of the total change in the fair value of a liability resulting from a change in instrument-specific credit risk when the organization has elected to measure the liability at fair value in accordance with the fair value option for financial instruments. The update is effective for fiscal years beginning after December 15, 2017, including interim periods within those fiscal years. All entities can early adopt the provision to record fair value changes for financial liabilities under the fair value option resulting from instrument-specific credit risk in other comprehensive income. Management is evaluating what impact, if any, this update might have on its consolidated financial statements and disclosures.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FASB issued the update “Leases (Topic 842)”. Under the update, lessees will be required to recognize the following for all leases (with the exception of short-term leases) at the commencement date:</w:t>
      </w:r>
    </w:p>
    <w:p>
      <w:pPr>
        <w:spacing w:after="0" w:line="76"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of contractual obligations, leases (with terms longer than a year) will no longer exist off-balance sheet.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Early application is permitted. Management currently plans to adopt the update at the required adoption date, which is for interim and annual reporting periods commencing January 1, 2019. Existing leases have been documented by both segments and management is in the process of determining if special software will be necessary to implement the standard. In addition, management is evaluating the potential impacts of various natural gas industry-related issues in light of the leasing standard. Given the uncertainty with respect to the conclusions that might arise from these deliberations, management is currently unable to determine the effect the new guidance will have on its financial position, results of operations, cash flows, or business processes.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5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9" w:lineRule="auto"/>
        <w:rPr>
          <w:sz w:val="20"/>
          <w:szCs w:val="20"/>
          <w:color w:val="auto"/>
        </w:rPr>
      </w:pPr>
      <w:r>
        <w:rPr>
          <w:rFonts w:ascii="Arial" w:cs="Arial" w:eastAsia="Arial" w:hAnsi="Arial"/>
          <w:sz w:val="17"/>
          <w:szCs w:val="17"/>
          <w:color w:val="auto"/>
        </w:rPr>
        <w:t>In June 2016, the FASB issued the update “Financial Instruments—Credit Losses (Topic 326): Measurement of Credit Losses on Financial Instruments”. The update amends guidance on reporting credit losses for financial assets held at amortized cost basis and available for sale debt securities. For assets held at amortized cost basis, the update eliminates the “probable” threshold for initial recognition of credit losses in current U.S. GAAP and, instead, requires an entity to reflect its current estimate of all expected credit losses. The allowance for credit losses is a valuation account that is deducted from the amortized cost basis of the financial asset to present the net amount expected to be collected. For available for sale debt securities, credit losses should be measured in a manner similar to current U.S. GAAP, however the update will require that credit losses be presented as an allowance rather than as a write-down. This update affects entities holding financial assets and net investment in leases that are not accounted for at fair value through net income. The update affects loans, debt securities, trade receivables, net investments in leases, off-balance sheet credit exposures, reinsurance receivables, and any other financial assets not excluded from the scope that have the contractual right to receive cash.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its consolidated financial statements and disclosures.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2016, the FASB issued the update “Classification of Certain Cash Receipts and Cash Payments”. This update addresses the following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(“COLI”) policies; distributions received from equity method investees; beneficial interests in securitization transactions; and separately identifiable cash flows, including identification of the predominant nature in cases where cash receipts and payments have aspects of more than one class of cash flows. The update is effective for fiscal years beginning after December 15, 2017, including interim periods within those fiscal years. Early adoption is permitted. Management is evaluating the impacts this update might have on its consolidated cash flow statements and disclosures.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2016, the FASB issued the update “Accounting for Income Taxes: Intra-Entity Asset Transfers of Assets Other than Inventory.” This update eliminates the current U.S. GAAP exception for all intra-entity sales of assets other than inventory. As a result, a reporting entity would recognize the tax expense from the sale of the asset in the seller’s tax jurisdiction when the transfer occurs, even though the pre-tax effects of that transaction are eliminated in consolidation. Any deferred tax asset that arises in the buyer’s jurisdiction would also be recognized at the time of the transfer. The update is effective for fiscal years beginning after December 15, 2017, including interim periods within those fiscal years. Early adoption is permitted; however, the guidance can only be adopted in the first interim period of a fiscal year. No such election to adopt early was made by management. The modified retrospective approach will be required for transition to the new guidance, with a cumulative-effect adjustment recorded in retained earnings as of the beginning of the period of adoption. Management is evaluating the impacts this update might have on its consolidated financial statements.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the FASB issued the update “Intangibles—Goodwill and Other (Topic 350): Simplifying the Test for Goodwill Impairment.” The update eliminates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on the carrying amount of the reporting unit should be considered when measuring the goodwill impairment loss, if applicable. The update also eliminates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amendments should be applied on a prospective basis. The update is effective for fiscal and interim periods beginning after December 15, 2019. Early adoption is permitted for interim or annual goodwill impairment tests performed on testing dates after January 1, 2017. Management has determined that this update would have had no impact on the consolidated financial statements for the periods presented if it had been effective during those periods.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5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5" w:lineRule="auto"/>
        <w:rPr>
          <w:sz w:val="20"/>
          <w:szCs w:val="20"/>
          <w:color w:val="auto"/>
        </w:rPr>
      </w:pPr>
      <w:r>
        <w:rPr>
          <w:rFonts w:ascii="Arial" w:cs="Arial" w:eastAsia="Arial" w:hAnsi="Arial"/>
          <w:sz w:val="16"/>
          <w:szCs w:val="16"/>
          <w:color w:val="auto"/>
        </w:rPr>
        <w:t>In March 2017, the FASB issued the update “Compensation – Retirement Benefits (Topic 715): Improving the Presentation of Net Periodic Pension Cost and Net Periodic Postretirement Benefit Cost.” The update applies to all employers that offer to their employees defined benefit pension plans, other postretirement benefit plans, or other types of benefits accounted for under Topic 715, Compensation – Retirement Benefits. The update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and be appropriately described (or disclosed in the notes when one is not presented). The update also allows only the service cost component (and not the other components of periodic benefit costs) to be eligible for capitalization when applicable, making no exception for specialized industries, including rate-regulated industries. Southwest is a rate-regulated utility offering pension and postretirement benefits to retired employees. Rate-regulated entities providing utility and transmission services have historically capitalized a portion of periodic benefit costs (including non-service cost components) in utility infrastructure (for instance, when productive labor is also charged to capital work orders). The portion capitalized becomes a component of depreciation rate development by efforts of companies and their regulatory commissions. The industry is currently evaluating whether this update could cause a difference (not currently existing), between accounting reflected in general purpose financial statements versus financial statements and information utilized for regulatory reporting and ratemaking purposes. Deliberations center on whether companies will be able to implement the provisions of the update for all purposes, only for general purpose financial reporting purposes, or whether regulatory reporting and economics will give effect to other related changes necessary in general purpose financial statements. If the provisions of the update cannot be implemented for all purposes, substantial effort could be required to maintain separate records and to provide reasonable reconciliation means for users of both. The update is effective for fiscal years beginning after December 15, 2017, including interim periods within those fiscal years. Early adoption is permitted. Due to the industry deliberations noted above, management has not fully completed its evaluation at this time. As efforts continue, management will be evaluating the various impacts this update will have on its consolidated financial statements and disclosures.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5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periodic benefit costs included in the table below are components of an overhead loading process associated with the cost of labor. The overhead process ultimately results in allocation of net periodic benefit costs to the same accounts to which productive labor is charged. As a result, net periodic benefit costs become components of various accounts, primarily operations and maintenance expense, net utility plant, and deferred charges and other assets for both the Company and Southwest.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5"/>
              </w:rPr>
              <w:t>Qualified Retirement Plan</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95"/>
              </w:rPr>
              <w:t>Period Ended March 31,</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768"/>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660" w:type="dxa"/>
            <w:vAlign w:val="bottom"/>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(Thousands of dollars)</w:t>
            </w:r>
          </w:p>
        </w:tc>
        <w:tc>
          <w:tcPr>
            <w:tcW w:w="3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5,709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46,041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(13,799)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2"/>
              </w:rPr>
              <w:t>(14,140)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(56,217)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9,392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37,746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SERP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95"/>
              </w:rPr>
              <w:t>Period Ended March 31,</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768"/>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660" w:type="dxa"/>
            <w:vAlign w:val="bottom"/>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(Thousands of dollars)</w:t>
            </w:r>
          </w:p>
        </w:tc>
        <w:tc>
          <w:tcPr>
            <w:tcW w:w="3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PBOP</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95"/>
              </w:rPr>
              <w:t>Period Ended March 31,</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768"/>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660" w:type="dxa"/>
            <w:vAlign w:val="bottom"/>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(Thousands of dollars)</w:t>
            </w:r>
          </w:p>
        </w:tc>
        <w:tc>
          <w:tcPr>
            <w:tcW w:w="3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3,192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1,335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20" w:type="dxa"/>
            <w:vAlign w:val="bottom"/>
            <w:vMerge w:val="restart"/>
          </w:tcPr>
          <w:p>
            <w:pPr>
              <w:jc w:val="right"/>
              <w:ind w:right="15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construction services. Southwest has a single reportable segment that is referred to herein as the natural gas operations segment of the company. In order to reconcile to net income as disclosed in the Condensed Consolidated Income Statements, an Other column is included associated with impacts related to corporate and administrative activities related to Southwest Gas Holdings, Inc. The following tables present revenues from external customers, intersegment revenues, and segment net income for the two reportable segments (thousands of dollars):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Natural Gas</w:t>
            </w:r>
          </w:p>
        </w:tc>
        <w:tc>
          <w:tcPr>
            <w:tcW w:w="3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14"/>
                <w:szCs w:val="14"/>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Operations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Services</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462,602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170,839</w:t>
            </w: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633,441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21,296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21,296</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462,602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76,938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(7,334)</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69,308</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525,100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183,961</w:t>
            </w: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709,061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22,187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525,100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206,148</w:t>
            </w: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731,248</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Segment net income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Natural Gas</w:t>
            </w:r>
          </w:p>
        </w:tc>
        <w:tc>
          <w:tcPr>
            <w:tcW w:w="3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24"/>
                <w:szCs w:val="24"/>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Operations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Services</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March 31, 2017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8"/>
              </w:rPr>
              <w:t>$1,258,914</w:t>
            </w:r>
          </w:p>
        </w:tc>
        <w:tc>
          <w:tcPr>
            <w:tcW w:w="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$1,027,835</w:t>
            </w:r>
          </w:p>
        </w:tc>
        <w:tc>
          <w:tcPr>
            <w:tcW w:w="26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2,286,749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97,230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97,230</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1,258,914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1,125,065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2,383,979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118,778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27,421</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145,903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Twelve months ended March 31, 2016</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$1,426,624</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927,742</w:t>
            </w: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2,354,366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106,287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1,426,624</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1,034,029</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2,460,653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Segment net income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110,287</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Derivatives and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have no significant market value. The Swaps are recorded at fair value.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April 2017 through March 2019.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2017</w:t>
            </w:r>
          </w:p>
        </w:tc>
        <w:tc>
          <w:tcPr>
            <w:tcW w:w="2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2016</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notional amounts</w:t>
            </w:r>
          </w:p>
        </w:tc>
        <w:tc>
          <w:tcPr>
            <w:tcW w:w="1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8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Southwest does not utilize derivative financial instruments for speculative purposes, nor does it have trading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5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The following table sets forth the gains and (losses) recognized on the Swaps (derivatives) for the three- and twelve-month periods ended March 31, 2017 and 2016 and their location in the Condensed Consolidated Statements of Income for both the Company and Southwest:</w:t>
      </w:r>
    </w:p>
    <w:p>
      <w:pPr>
        <w:sectPr>
          <w:pgSz w:w="11900" w:h="16838" w:orient="portrait"/>
          <w:cols w:equalWidth="0" w:num="1">
            <w:col w:w="11420"/>
          </w:cols>
          <w:pgMar w:left="240" w:top="257"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Gains (losses) recognized in income for derivatives not designated as hedging instruments: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Instrument</w:t>
            </w:r>
          </w:p>
        </w:tc>
        <w:tc>
          <w:tcPr>
            <w:tcW w:w="3480" w:type="dxa"/>
            <w:vAlign w:val="bottom"/>
          </w:tcPr>
          <w:p>
            <w:pPr>
              <w:jc w:val="center"/>
              <w:ind w:left="1188"/>
              <w:spacing w:after="0"/>
              <w:rPr>
                <w:sz w:val="20"/>
                <w:szCs w:val="20"/>
                <w:color w:val="auto"/>
              </w:rPr>
            </w:pPr>
            <w:r>
              <w:rPr>
                <w:rFonts w:ascii="Arial" w:cs="Arial" w:eastAsia="Arial" w:hAnsi="Arial"/>
                <w:sz w:val="14"/>
                <w:szCs w:val="14"/>
                <w:b w:val="1"/>
                <w:bCs w:val="1"/>
                <w:color w:val="auto"/>
                <w:w w:val="92"/>
              </w:rPr>
              <w:t>Location of Gain or (Loss)</w:t>
            </w:r>
          </w:p>
        </w:tc>
        <w:tc>
          <w:tcPr>
            <w:tcW w:w="0" w:type="dxa"/>
            <w:vAlign w:val="bottom"/>
          </w:tcPr>
          <w:p>
            <w:pPr>
              <w:spacing w:after="0"/>
              <w:rPr>
                <w:sz w:val="1"/>
                <w:szCs w:val="1"/>
                <w:color w:val="auto"/>
              </w:rPr>
            </w:pPr>
          </w:p>
        </w:tc>
      </w:tr>
      <w:tr>
        <w:trPr>
          <w:trHeight w:val="185"/>
        </w:trPr>
        <w:tc>
          <w:tcPr>
            <w:tcW w:w="1980" w:type="dxa"/>
            <w:vAlign w:val="bottom"/>
            <w:vMerge w:val="continue"/>
          </w:tcPr>
          <w:p>
            <w:pPr>
              <w:spacing w:after="0"/>
              <w:rPr>
                <w:sz w:val="16"/>
                <w:szCs w:val="16"/>
                <w:color w:val="auto"/>
              </w:rPr>
            </w:pPr>
          </w:p>
        </w:tc>
        <w:tc>
          <w:tcPr>
            <w:tcW w:w="3480" w:type="dxa"/>
            <w:vAlign w:val="bottom"/>
          </w:tcPr>
          <w:p>
            <w:pPr>
              <w:jc w:val="center"/>
              <w:ind w:left="1188"/>
              <w:spacing w:after="0"/>
              <w:rPr>
                <w:sz w:val="20"/>
                <w:szCs w:val="20"/>
                <w:color w:val="auto"/>
              </w:rPr>
            </w:pPr>
            <w:r>
              <w:rPr>
                <w:rFonts w:ascii="Arial" w:cs="Arial" w:eastAsia="Arial" w:hAnsi="Arial"/>
                <w:sz w:val="14"/>
                <w:szCs w:val="14"/>
                <w:b w:val="1"/>
                <w:bCs w:val="1"/>
                <w:color w:val="auto"/>
                <w:w w:val="92"/>
              </w:rPr>
              <w:t>Recognized in Income on Derivative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13970</wp:posOffset>
            </wp:positionV>
            <wp:extent cx="934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-3175</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60"/>
        <w:spacing w:after="0" w:line="233" w:lineRule="auto"/>
        <w:tabs>
          <w:tab w:leader="none" w:pos="9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13970</wp:posOffset>
            </wp:positionV>
            <wp:extent cx="977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-3175</wp:posOffset>
            </wp:positionV>
            <wp:extent cx="977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ind w:left="60"/>
        <w:spacing w:after="0" w:line="233" w:lineRule="auto"/>
        <w:tabs>
          <w:tab w:leader="none" w:pos="10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p>
    <w:p>
      <w:pPr>
        <w:sectPr>
          <w:pgSz w:w="11900" w:h="16838" w:orient="portrait"/>
          <w:cols w:equalWidth="0" w:num="3">
            <w:col w:w="7300" w:space="720"/>
            <w:col w:w="1300" w:space="500"/>
            <w:col w:w="1600"/>
          </w:cols>
          <w:pgMar w:left="240" w:top="25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Swaps</w:t>
            </w:r>
          </w:p>
        </w:tc>
        <w:tc>
          <w:tcPr>
            <w:tcW w:w="200" w:type="dxa"/>
            <w:vAlign w:val="bottom"/>
            <w:shd w:val="clear" w:color="auto" w:fill="CCEEFF"/>
          </w:tcPr>
          <w:p>
            <w:pPr>
              <w:spacing w:after="0"/>
              <w:rPr>
                <w:sz w:val="16"/>
                <w:szCs w:val="16"/>
                <w:color w:val="auto"/>
              </w:rPr>
            </w:pPr>
          </w:p>
        </w:tc>
        <w:tc>
          <w:tcPr>
            <w:tcW w:w="6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cost of gas sold</w:t>
            </w: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w w:val="87"/>
              </w:rPr>
              <w:t>(5,137)</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w w:val="87"/>
              </w:rPr>
              <w:t>(1,212)</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1,081</w:t>
            </w:r>
          </w:p>
        </w:tc>
        <w:tc>
          <w:tcPr>
            <w:tcW w:w="2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w w:val="87"/>
              </w:rPr>
              <w:t>(6,696)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Swaps</w:t>
            </w: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Net cost of gas sold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Represents the impact of regulatory deferral accounting treatment under U.S. GAAP for rate-regulated entities.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The second FSIRS terminated in March 2012. Losses on both FSIRS are being amortized over ten-year periods from Accumulated other comprehensive income (loss) into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values of the Swaps and their location in the Condensed Consolidated Balance Sheets for both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Southwest (thousands of 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values of derivatives not designated as hedging instruments:</w:t>
      </w:r>
    </w:p>
    <w:p>
      <w:pPr>
        <w:sectPr>
          <w:pgSz w:w="11900" w:h="16838" w:orient="portrait"/>
          <w:cols w:equalWidth="0" w:num="1">
            <w:col w:w="11420"/>
          </w:cols>
          <w:pgMar w:left="240" w:top="257" w:right="239" w:bottom="1440" w:gutter="0" w:footer="0" w:header="0"/>
          <w:type w:val="continuous"/>
        </w:sectPr>
      </w:pP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March 31, 2017</w:t>
            </w: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rPr>
              <w:t>Instrument</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ind w:left="2020"/>
              <w:spacing w:after="0" w:line="151" w:lineRule="exact"/>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21"/>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Swaps</w:t>
            </w:r>
          </w:p>
        </w:tc>
        <w:tc>
          <w:tcPr>
            <w:tcW w:w="460" w:type="dxa"/>
            <w:vAlign w:val="bottom"/>
            <w:vMerge w:val="restart"/>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1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Prepaids and other current assets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Swaps</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Swaps</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Other deferred credits</w:t>
            </w:r>
          </w:p>
        </w:tc>
        <w:tc>
          <w:tcPr>
            <w:tcW w:w="0" w:type="dxa"/>
            <w:vAlign w:val="bottom"/>
          </w:tcPr>
          <w:p>
            <w:pPr>
              <w:spacing w:after="0"/>
              <w:rPr>
                <w:sz w:val="1"/>
                <w:szCs w:val="1"/>
                <w:color w:val="auto"/>
              </w:rPr>
            </w:pP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2016</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Instrument</w:t>
            </w:r>
          </w:p>
        </w:tc>
        <w:tc>
          <w:tcPr>
            <w:tcW w:w="460" w:type="dxa"/>
            <w:vAlign w:val="bottom"/>
          </w:tcPr>
          <w:p>
            <w:pPr>
              <w:spacing w:after="0"/>
              <w:rPr>
                <w:sz w:val="14"/>
                <w:szCs w:val="14"/>
                <w:color w:val="auto"/>
              </w:rPr>
            </w:pPr>
          </w:p>
        </w:tc>
        <w:tc>
          <w:tcPr>
            <w:tcW w:w="5460" w:type="dxa"/>
            <w:vAlign w:val="bottom"/>
          </w:tcPr>
          <w:p>
            <w:pPr>
              <w:ind w:left="2020"/>
              <w:spacing w:after="0" w:line="151" w:lineRule="exact"/>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21"/>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Swaps</w:t>
            </w:r>
          </w:p>
        </w:tc>
        <w:tc>
          <w:tcPr>
            <w:tcW w:w="460" w:type="dxa"/>
            <w:vAlign w:val="bottom"/>
            <w:vMerge w:val="restart"/>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1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Deferred charges and other assets</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Swaps</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rPr>
              <w:t>Prepaids and other current assets</w:t>
            </w:r>
          </w:p>
        </w:tc>
        <w:tc>
          <w:tcPr>
            <w:tcW w:w="0" w:type="dxa"/>
            <w:vAlign w:val="bottom"/>
          </w:tcPr>
          <w:p>
            <w:pPr>
              <w:spacing w:after="0"/>
              <w:rPr>
                <w:sz w:val="1"/>
                <w:szCs w:val="1"/>
                <w:color w:val="auto"/>
              </w:rPr>
            </w:pP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-1397000</wp:posOffset>
            </wp:positionV>
            <wp:extent cx="666369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-1114425</wp:posOffset>
            </wp:positionV>
            <wp:extent cx="666369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-436880</wp:posOffset>
            </wp:positionV>
            <wp:extent cx="666369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-136525</wp:posOffset>
            </wp:positionV>
            <wp:extent cx="6663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3"/>
                <w:szCs w:val="13"/>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w:t>
            </w:r>
          </w:p>
        </w:tc>
      </w:tr>
      <w:tr>
        <w:trPr>
          <w:trHeight w:val="171"/>
        </w:trPr>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Derivatives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w:t>
            </w:r>
          </w:p>
        </w:tc>
        <w:tc>
          <w:tcPr>
            <w:tcW w:w="50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(736)</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24"/>
                <w:szCs w:val="2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w:t>
            </w:r>
          </w:p>
        </w:tc>
      </w:tr>
      <w:tr>
        <w:trPr>
          <w:trHeight w:val="171"/>
        </w:trPr>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Derivatives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4"/>
                <w:szCs w:val="14"/>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899</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w:t>
            </w:r>
          </w:p>
        </w:tc>
        <w:tc>
          <w:tcPr>
            <w:tcW w:w="50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845</w:t>
            </w: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3,551</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3,532</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4,450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400"/>
            <w:col w:w="3480"/>
          </w:cols>
          <w:pgMar w:left="240" w:top="257" w:right="239" w:bottom="1440" w:gutter="0" w:footer="0" w:header="0"/>
          <w:type w:val="continuous"/>
        </w:sectPr>
      </w:pPr>
    </w:p>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purchased gas adjustment (“PGA”) mechanism in determining its deferred PGA balances. Neither changes in fair value, nor settled amounts, of Swaps have a direct effect on earnings or other comprehensive income.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57"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66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March 31, 2017</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642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20" w:type="dxa"/>
            <w:vAlign w:val="bottom"/>
            <w:gridSpan w:val="9"/>
          </w:tcPr>
          <w:p>
            <w:pPr>
              <w:spacing w:after="0"/>
              <w:rPr>
                <w:sz w:val="20"/>
                <w:szCs w:val="20"/>
                <w:color w:val="auto"/>
              </w:rPr>
            </w:pPr>
            <w:r>
              <w:rPr>
                <w:rFonts w:ascii="Arial" w:cs="Arial" w:eastAsia="Arial" w:hAnsi="Arial"/>
                <w:sz w:val="18"/>
                <w:szCs w:val="18"/>
                <w:color w:val="auto"/>
                <w:w w:val="91"/>
              </w:rPr>
              <w:t>The following table shows the amounts Southwest paid to and received from counterparties for settlements of matured Swaps.</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5720" w:type="dxa"/>
            <w:vAlign w:val="bottom"/>
            <w:gridSpan w:val="3"/>
          </w:tcPr>
          <w:p>
            <w:pPr>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2"/>
          </w:tcPr>
          <w:p>
            <w:pPr>
              <w:jc w:val="right"/>
              <w:ind w:right="109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Paid to counterparties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Received from counterparties</w:t>
            </w: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720" w:type="dxa"/>
            <w:vAlign w:val="bottom"/>
            <w:gridSpan w:val="3"/>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following table details the regulatory assets/(liabilities) offsetting the derivatives at fair value in the Condensed Consolidated Balance Sheets for both the Company and Southwest (thousands of dollars).</w:t>
      </w:r>
    </w:p>
    <w:p>
      <w:pPr>
        <w:sectPr>
          <w:pgSz w:w="11900" w:h="16838" w:orient="portrait"/>
          <w:cols w:equalWidth="0" w:num="1">
            <w:col w:w="11420"/>
          </w:cols>
          <w:pgMar w:left="240" w:top="257" w:right="239" w:bottom="1440" w:gutter="0" w:footer="0" w:header="0"/>
        </w:sectPr>
      </w:pPr>
    </w:p>
    <w:p>
      <w:pPr>
        <w:spacing w:after="0" w:line="189"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March 31, 2017</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-3175</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Swaps</w:t>
      </w:r>
    </w:p>
    <w:p>
      <w:pPr>
        <w:spacing w:after="0" w:line="202"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December 31, 2016</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-3175</wp:posOffset>
            </wp:positionV>
            <wp:extent cx="7372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Swaps</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Swaps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860" w:type="dxa"/>
            <w:vAlign w:val="bottom"/>
          </w:tcPr>
          <w:p>
            <w:pPr>
              <w:ind w:left="220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Net Total</w:t>
            </w:r>
          </w:p>
        </w:tc>
      </w:tr>
      <w:tr>
        <w:trPr>
          <w:trHeight w:val="195"/>
        </w:trPr>
        <w:tc>
          <w:tcPr>
            <w:tcW w:w="20" w:type="dxa"/>
            <w:vAlign w:val="bottom"/>
          </w:tcPr>
          <w:p>
            <w:pPr>
              <w:spacing w:after="0"/>
              <w:rPr>
                <w:sz w:val="16"/>
                <w:szCs w:val="16"/>
                <w:color w:val="auto"/>
              </w:rPr>
            </w:pPr>
          </w:p>
        </w:tc>
        <w:tc>
          <w:tcPr>
            <w:tcW w:w="5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6"/>
                <w:szCs w:val="16"/>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Prepaids and other 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20"/>
                <w:szCs w:val="20"/>
                <w:color w:val="auto"/>
              </w:rPr>
            </w:pPr>
          </w:p>
        </w:tc>
      </w:tr>
      <w:tr>
        <w:trPr>
          <w:trHeight w:val="554"/>
        </w:trPr>
        <w:tc>
          <w:tcPr>
            <w:tcW w:w="20" w:type="dxa"/>
            <w:vAlign w:val="bottom"/>
          </w:tcPr>
          <w:p>
            <w:pPr>
              <w:spacing w:after="0"/>
              <w:rPr>
                <w:sz w:val="24"/>
                <w:szCs w:val="24"/>
                <w:color w:val="auto"/>
              </w:rPr>
            </w:pPr>
          </w:p>
        </w:tc>
        <w:tc>
          <w:tcPr>
            <w:tcW w:w="5860" w:type="dxa"/>
            <w:vAlign w:val="bottom"/>
          </w:tcPr>
          <w:p>
            <w:pPr>
              <w:ind w:left="220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Net Total</w:t>
            </w:r>
          </w:p>
        </w:tc>
      </w:tr>
      <w:tr>
        <w:trPr>
          <w:trHeight w:val="195"/>
        </w:trPr>
        <w:tc>
          <w:tcPr>
            <w:tcW w:w="20" w:type="dxa"/>
            <w:vAlign w:val="bottom"/>
          </w:tcPr>
          <w:p>
            <w:pPr>
              <w:spacing w:after="0"/>
              <w:rPr>
                <w:sz w:val="16"/>
                <w:szCs w:val="16"/>
                <w:color w:val="auto"/>
              </w:rPr>
            </w:pPr>
          </w:p>
        </w:tc>
        <w:tc>
          <w:tcPr>
            <w:tcW w:w="5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Other deferred credits</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(845)</w:t>
            </w:r>
          </w:p>
        </w:tc>
        <w:tc>
          <w:tcPr>
            <w:tcW w:w="60" w:type="dxa"/>
            <w:vAlign w:val="bottom"/>
          </w:tcPr>
          <w:p>
            <w:pPr>
              <w:spacing w:after="0"/>
              <w:rPr>
                <w:sz w:val="16"/>
                <w:szCs w:val="16"/>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-1054100</wp:posOffset>
            </wp:positionV>
            <wp:extent cx="550545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-770890</wp:posOffset>
            </wp:positionV>
            <wp:extent cx="55054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-282575</wp:posOffset>
            </wp:positionV>
            <wp:extent cx="550545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540"/>
            <w:col w:w="8340"/>
          </w:cols>
          <w:pgMar w:left="240" w:top="257"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Southwest’s Swaps were determined at March 31, 2017 and December 31, 2016 using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Mercantile Exchange (“NYMEX”) futures settlement prices for delivery of natural gas at Henry Hub adjusted by the price of NYMEX ClearPort basis Swaps, which reflect the difference between the price of natural gas at a given delivery basin and the Henry Hub pricing points. These Level 2 inputs (inputs, other than quoted prices, for similar assets or liabilities) are observable in the marketplace throughout the full term of the Swaps, but have been credit-risk adjusted with no significant impact to the overall fair value measurement.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the financial assets and liabilities that were accounted for at fair value by both the Company and Southwest: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2 - Significant other observable inputs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2720" w:type="dxa"/>
            <w:vAlign w:val="bottom"/>
            <w:gridSpan w:val="4"/>
          </w:tcPr>
          <w:p>
            <w:pPr>
              <w:ind w:left="1300"/>
              <w:spacing w:after="0"/>
              <w:rPr>
                <w:sz w:val="20"/>
                <w:szCs w:val="20"/>
                <w:color w:val="auto"/>
              </w:rPr>
            </w:pPr>
            <w:r>
              <w:rPr>
                <w:rFonts w:ascii="Arial" w:cs="Arial" w:eastAsia="Arial" w:hAnsi="Arial"/>
                <w:sz w:val="14"/>
                <w:szCs w:val="14"/>
                <w:b w:val="1"/>
                <w:bCs w:val="1"/>
                <w:color w:val="auto"/>
              </w:rPr>
              <w:t>March 31, 2017</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at fair value:</w:t>
            </w:r>
          </w:p>
        </w:tc>
        <w:tc>
          <w:tcPr>
            <w:tcW w:w="1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Prepaids and other current assets - Swaps</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 - Swaps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Liabilities at fair value: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 - Swaps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deferred credits - Swaps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(736)</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(Liabilities)</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(1,144)</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financial assets or liabilities associated with the Swaps, which were accounted for at fair value, fell within Level 1 (quoted prices in active markets for identical financial assets) or Level 3 (significant unobservable inputs) of the fair value hierarchy.</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With regard to the fair values of assets associated with pension and postretirement benefit plans, asset values were last updated as required as of December 2016. Refer to Note 10 – Pension and Other Post Retirement Benefits in the 2016 Annual Report to Shareholders on Form 10-K.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57"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5 – Common Stock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the holding company reorganization was made effective and each outstanding share of Southwest Gas Corporation common stock was converted into a share of common stock in Southwest Gas Holdings, Inc., on a one-for-one basis. The ticker symbol of the stock, “SWX,” remained unchanged, and Southwest Gas Corporation became a wholly owned subsidiary of Southwest Gas Holdings, Inc.</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2017, the Company filed with the Securities Exchange Commission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No shares of the Company’s common stock have been sold under that registration statement.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2017, the Company issued approximately 67,000 shares of common stock through the Restricted Stock/Unit Plan and Management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Carrying amounts of long-term debt and related estimated fair values as of March 31, 2017 and December 31, 2016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 rates. The fair values of Southwest’s debentures, senior notes, and fixed-rate IDRBs were determined utilizing a market-based valuation approach, where fair market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market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Since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5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7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March 31, 2017</w:t>
            </w:r>
          </w:p>
        </w:tc>
      </w:tr>
      <w:tr>
        <w:trPr>
          <w:trHeight w:val="318"/>
        </w:trPr>
        <w:tc>
          <w:tcPr>
            <w:tcW w:w="4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5"/>
          </w:tcPr>
          <w:p>
            <w:pPr>
              <w:ind w:left="38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2016</w:t>
            </w:r>
          </w:p>
        </w:tc>
      </w:tr>
      <w:tr>
        <w:trPr>
          <w:trHeight w:val="119"/>
        </w:trPr>
        <w:tc>
          <w:tcPr>
            <w:tcW w:w="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Carrying</w:t>
            </w:r>
          </w:p>
        </w:tc>
        <w:tc>
          <w:tcPr>
            <w:tcW w:w="74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Market</w:t>
            </w:r>
          </w:p>
        </w:tc>
        <w:tc>
          <w:tcPr>
            <w:tcW w:w="460" w:type="dxa"/>
            <w:vAlign w:val="bottom"/>
          </w:tcPr>
          <w:p>
            <w:pPr>
              <w:spacing w:after="0"/>
              <w:rPr>
                <w:sz w:val="10"/>
                <w:szCs w:val="10"/>
                <w:color w:val="auto"/>
              </w:rPr>
            </w:pPr>
          </w:p>
        </w:tc>
      </w:tr>
      <w:tr>
        <w:trPr>
          <w:trHeight w:val="171"/>
        </w:trPr>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r>
      <w:tr>
        <w:trPr>
          <w:trHeight w:val="196"/>
        </w:trPr>
        <w:tc>
          <w:tcPr>
            <w:tcW w:w="460" w:type="dxa"/>
            <w:vAlign w:val="bottom"/>
          </w:tcPr>
          <w:p>
            <w:pPr>
              <w:spacing w:after="0"/>
              <w:rPr>
                <w:sz w:val="17"/>
                <w:szCs w:val="17"/>
                <w:color w:val="auto"/>
              </w:rPr>
            </w:pPr>
          </w:p>
        </w:tc>
        <w:tc>
          <w:tcPr>
            <w:tcW w:w="6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Southwest Gas Corporation: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4.45%, due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$130,193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$129,703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6.1%, due 2041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149,734</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3.875%, due 2022</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257,328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250,000</w:t>
            </w:r>
          </w:p>
        </w:tc>
        <w:tc>
          <w:tcPr>
            <w:tcW w:w="740" w:type="dxa"/>
            <w:vAlign w:val="bottom"/>
          </w:tcPr>
          <w:p>
            <w:pPr>
              <w:jc w:val="right"/>
              <w:spacing w:after="0"/>
              <w:rPr>
                <w:sz w:val="20"/>
                <w:szCs w:val="20"/>
                <w:color w:val="auto"/>
              </w:rPr>
            </w:pPr>
            <w:r>
              <w:rPr>
                <w:rFonts w:ascii="Arial" w:cs="Arial" w:eastAsia="Arial" w:hAnsi="Arial"/>
                <w:sz w:val="18"/>
                <w:szCs w:val="18"/>
                <w:color w:val="auto"/>
              </w:rPr>
              <w:t>254,900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4.875%, due 2043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264,968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266,793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3.8%, due 2046</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282,501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300,000</w:t>
            </w:r>
          </w:p>
        </w:tc>
        <w:tc>
          <w:tcPr>
            <w:tcW w:w="740" w:type="dxa"/>
            <w:vAlign w:val="bottom"/>
          </w:tcPr>
          <w:p>
            <w:pPr>
              <w:jc w:val="right"/>
              <w:spacing w:after="0"/>
              <w:rPr>
                <w:sz w:val="20"/>
                <w:szCs w:val="20"/>
                <w:color w:val="auto"/>
              </w:rPr>
            </w:pPr>
            <w:r>
              <w:rPr>
                <w:rFonts w:ascii="Arial" w:cs="Arial" w:eastAsia="Arial" w:hAnsi="Arial"/>
                <w:sz w:val="18"/>
                <w:szCs w:val="18"/>
                <w:color w:val="auto"/>
              </w:rPr>
              <w:t>283,029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8% Series, due 2026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94,691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Medium-term notes, 7.59% series, due 2017</w:t>
            </w: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Pr>
          <w:p>
            <w:pPr>
              <w:jc w:val="right"/>
              <w:spacing w:after="0"/>
              <w:rPr>
                <w:sz w:val="20"/>
                <w:szCs w:val="20"/>
                <w:color w:val="auto"/>
              </w:rPr>
            </w:pPr>
            <w:r>
              <w:rPr>
                <w:rFonts w:ascii="Arial" w:cs="Arial" w:eastAsia="Arial" w:hAnsi="Arial"/>
                <w:sz w:val="18"/>
                <w:szCs w:val="18"/>
                <w:color w:val="auto"/>
              </w:rPr>
              <w:t>25,040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Medium-term notes, 7.78% series, due 2022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Medium-term notes, 7.92% series, due 2027</w:t>
            </w:r>
          </w:p>
        </w:tc>
        <w:tc>
          <w:tcPr>
            <w:tcW w:w="1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25,000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31,947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Pr>
          <w:p>
            <w:pPr>
              <w:jc w:val="right"/>
              <w:spacing w:after="0"/>
              <w:rPr>
                <w:sz w:val="20"/>
                <w:szCs w:val="20"/>
                <w:color w:val="auto"/>
              </w:rPr>
            </w:pPr>
            <w:r>
              <w:rPr>
                <w:rFonts w:ascii="Arial" w:cs="Arial" w:eastAsia="Arial" w:hAnsi="Arial"/>
                <w:sz w:val="18"/>
                <w:szCs w:val="18"/>
                <w:color w:val="auto"/>
              </w:rPr>
              <w:t>31,905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Medium-term notes, 6.76% series, due 2027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46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(9,788)</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(9,931)</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1,172,712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1,197,569</w:t>
            </w: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6720" w:type="dxa"/>
            <w:vAlign w:val="bottom"/>
            <w:gridSpan w:val="4"/>
          </w:tcPr>
          <w:p>
            <w:pPr>
              <w:ind w:left="460"/>
              <w:spacing w:after="0"/>
              <w:rPr>
                <w:sz w:val="20"/>
                <w:szCs w:val="20"/>
                <w:color w:val="auto"/>
              </w:rPr>
            </w:pPr>
            <w:r>
              <w:rPr>
                <w:rFonts w:ascii="Arial" w:cs="Arial" w:eastAsia="Arial" w:hAnsi="Arial"/>
                <w:sz w:val="18"/>
                <w:szCs w:val="18"/>
                <w:color w:val="auto"/>
              </w:rPr>
              <w:t>Revolving credit facility and commercial paper</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development revenue bonds: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Variable-rate bonds: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Tax-exempt Series A, due 2028</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720"/>
              <w:spacing w:after="0"/>
              <w:rPr>
                <w:sz w:val="20"/>
                <w:szCs w:val="20"/>
                <w:color w:val="auto"/>
              </w:rPr>
            </w:pPr>
            <w:r>
              <w:rPr>
                <w:rFonts w:ascii="Arial" w:cs="Arial" w:eastAsia="Arial" w:hAnsi="Arial"/>
                <w:sz w:val="18"/>
                <w:szCs w:val="18"/>
                <w:color w:val="auto"/>
              </w:rPr>
              <w:t>2003 Series A, due 2038</w:t>
            </w:r>
          </w:p>
        </w:tc>
        <w:tc>
          <w:tcPr>
            <w:tcW w:w="1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2008 Series A, due 2038</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720"/>
              <w:spacing w:after="0"/>
              <w:rPr>
                <w:sz w:val="20"/>
                <w:szCs w:val="20"/>
                <w:color w:val="auto"/>
              </w:rPr>
            </w:pPr>
            <w:r>
              <w:rPr>
                <w:rFonts w:ascii="Arial" w:cs="Arial" w:eastAsia="Arial" w:hAnsi="Arial"/>
                <w:sz w:val="18"/>
                <w:szCs w:val="18"/>
                <w:color w:val="auto"/>
              </w:rPr>
              <w:t>2009 Series A, due 2039</w:t>
            </w:r>
          </w:p>
        </w:tc>
        <w:tc>
          <w:tcPr>
            <w:tcW w:w="1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(2,397)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(2,489)</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197,603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197,511</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6720" w:type="dxa"/>
            <w:vAlign w:val="bottom"/>
            <w:gridSpan w:val="4"/>
          </w:tcPr>
          <w:p>
            <w:pPr>
              <w:ind w:left="460"/>
              <w:spacing w:after="0"/>
              <w:rPr>
                <w:sz w:val="20"/>
                <w:szCs w:val="20"/>
                <w:color w:val="auto"/>
              </w:rPr>
            </w:pPr>
            <w:r>
              <w:rPr>
                <w:rFonts w:ascii="Arial" w:cs="Arial" w:eastAsia="Arial" w:hAnsi="Arial"/>
                <w:sz w:val="18"/>
                <w:szCs w:val="18"/>
                <w:b w:val="1"/>
                <w:bCs w:val="1"/>
                <w:color w:val="auto"/>
              </w:rPr>
              <w:t>Long-term debt, less current maturities - Southwest Gas Corporation</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1,385,315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1,375,080</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Centuri:</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Centuri term loan facility</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105,358</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105,944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106,700</w:t>
            </w:r>
          </w:p>
        </w:tc>
        <w:tc>
          <w:tcPr>
            <w:tcW w:w="740" w:type="dxa"/>
            <w:vAlign w:val="bottom"/>
          </w:tcPr>
          <w:p>
            <w:pPr>
              <w:jc w:val="right"/>
              <w:spacing w:after="0"/>
              <w:rPr>
                <w:sz w:val="20"/>
                <w:szCs w:val="20"/>
                <w:color w:val="auto"/>
              </w:rPr>
            </w:pPr>
            <w:r>
              <w:rPr>
                <w:rFonts w:ascii="Arial" w:cs="Arial" w:eastAsia="Arial" w:hAnsi="Arial"/>
                <w:sz w:val="18"/>
                <w:szCs w:val="18"/>
                <w:color w:val="auto"/>
              </w:rPr>
              <w:t>106,819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(485)</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104,873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106,184</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Centuri secured revolving credit facility</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51,054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41,185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Centuri other debt obligations</w:t>
            </w:r>
          </w:p>
        </w:tc>
        <w:tc>
          <w:tcPr>
            <w:tcW w:w="1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48,954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49,078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52,635</w:t>
            </w:r>
          </w:p>
        </w:tc>
        <w:tc>
          <w:tcPr>
            <w:tcW w:w="740" w:type="dxa"/>
            <w:vAlign w:val="bottom"/>
          </w:tcPr>
          <w:p>
            <w:pPr>
              <w:jc w:val="right"/>
              <w:spacing w:after="0"/>
              <w:rPr>
                <w:sz w:val="20"/>
                <w:szCs w:val="20"/>
                <w:color w:val="auto"/>
              </w:rPr>
            </w:pPr>
            <w:r>
              <w:rPr>
                <w:rFonts w:ascii="Arial" w:cs="Arial" w:eastAsia="Arial" w:hAnsi="Arial"/>
                <w:sz w:val="18"/>
                <w:szCs w:val="18"/>
                <w:color w:val="auto"/>
              </w:rPr>
              <w:t>52,840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(26,064)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(25,101)</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6720" w:type="dxa"/>
            <w:vAlign w:val="bottom"/>
            <w:gridSpan w:val="4"/>
          </w:tcPr>
          <w:p>
            <w:pPr>
              <w:ind w:left="460"/>
              <w:spacing w:after="0"/>
              <w:rPr>
                <w:sz w:val="20"/>
                <w:szCs w:val="20"/>
                <w:color w:val="auto"/>
              </w:rPr>
            </w:pPr>
            <w:r>
              <w:rPr>
                <w:rFonts w:ascii="Arial" w:cs="Arial" w:eastAsia="Arial" w:hAnsi="Arial"/>
                <w:sz w:val="18"/>
                <w:szCs w:val="18"/>
                <w:b w:val="1"/>
                <w:bCs w:val="1"/>
                <w:color w:val="auto"/>
              </w:rPr>
              <w:t>Long-term debt, less current maturities - Centuri</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178,817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174,903</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Southwest Gas Holdings, Inc.:</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1,590,196</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1,600,084</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(26,064)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(50,101)</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6720" w:type="dxa"/>
            <w:vAlign w:val="bottom"/>
            <w:gridSpan w:val="4"/>
          </w:tcPr>
          <w:p>
            <w:pPr>
              <w:ind w:left="460"/>
              <w:spacing w:after="0"/>
              <w:rPr>
                <w:sz w:val="20"/>
                <w:szCs w:val="20"/>
                <w:color w:val="auto"/>
              </w:rPr>
            </w:pPr>
            <w:r>
              <w:rPr>
                <w:rFonts w:ascii="Arial" w:cs="Arial" w:eastAsia="Arial" w:hAnsi="Arial"/>
                <w:sz w:val="18"/>
                <w:szCs w:val="18"/>
                <w:b w:val="1"/>
                <w:bCs w:val="1"/>
                <w:color w:val="auto"/>
              </w:rPr>
              <w:t>Long-term debt, less current maturities - Southwest Gas Holdings,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1,564,132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1,549,983</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2" w:lineRule="auto"/>
        <w:rPr>
          <w:sz w:val="20"/>
          <w:szCs w:val="20"/>
          <w:color w:val="auto"/>
        </w:rPr>
      </w:pPr>
      <w:r>
        <w:rPr>
          <w:rFonts w:ascii="Arial" w:cs="Arial" w:eastAsia="Arial" w:hAnsi="Arial"/>
          <w:sz w:val="17"/>
          <w:szCs w:val="17"/>
          <w:color w:val="auto"/>
        </w:rPr>
        <w:t>In March 2017, Southwest amended its credit facility, increasing the borrowing capacity from $300 million to $400 million. Also, the facility was previously scheduled to expire in March 2021 and was extended to March 2022. Southwest continues to designate $150 million of capacity related to the facility as long-term debt and with the total capacity now available, has designated the remaining $250 million for working capital purposes. Interest rates for the credit facility are calculated at either the London Interbank Offered Rate (“LIBOR”) or an “alternate base rate,” plus in each case an applicable margin that is determined based on the Southwest’s senior unsecured debt rating. At March 31, 2017, the applicable margin is 1% for loans bearing interest with reference to LIBOR and 0% for loans bearing interest with reference to the alternative base rate. At March 31, 2017, $15 million was outstanding on the long-term and no borrowings were outstanding on the short-term portions of this credit facility.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5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Centuri has a $300 million secured revolving credit and term loan facility that is scheduled to expire in October 2019. At March 31, 2017, $156 million in borrowings were outstanding on the Centuri facility. Centuri assets securing the facility at March 31, 2017 totaled $412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Short-Term Debt</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2017, Southwest Gas Holdings, Inc. entered into a credit facility with a borrowing capacity of $100 million that expires in March 2022. The Company intends to utilize this facility for short-term financing needs. Interest rates for this facility are calculated at either the LIBOR or the “alternate base rate,” plus in each case an applicable margin that is determined based on the Company’s senior unsecured debt rating. The applicable margin ranges from 0.75% to 1.5% for loans bearing interest with reference to LIBOR and from 0% to 0.5% for loans bearing interest with reference to the alternative base rate. The Company is also required to pay a commitment fee on the unfunded portion of the commitments based on its senior unsecured long-term debt rating. The commitment fee ranges from 0.075% to 0.2% per annum. At March 31, 2017, no borrowings were outstanding on this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Equity, Other Comprehensive Income, and Accumulated Other Comprehensive Income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provides details of activity in equity and the redeemable noncontrolling interest for Southwest Gas Holdings, Inc. on a consolidated basis during the three months ended March 31,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w w:val="93"/>
              </w:rPr>
              <w:t>Southwest Gas Holdings, Inc. Equity</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23"/>
        </w:trPr>
        <w:tc>
          <w:tcPr>
            <w:tcW w:w="23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jc w:val="center"/>
              <w:ind w:right="120"/>
              <w:spacing w:after="0" w:line="123" w:lineRule="exact"/>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Other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Non-</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6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120" w:type="dxa"/>
            <w:vAlign w:val="bottom"/>
            <w:gridSpan w:val="5"/>
          </w:tcPr>
          <w:p>
            <w:pPr>
              <w:jc w:val="right"/>
              <w:ind w:right="140"/>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Paid-in</w:t>
            </w:r>
          </w:p>
        </w:tc>
        <w:tc>
          <w:tcPr>
            <w:tcW w:w="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Comprehensive</w:t>
            </w:r>
          </w:p>
        </w:tc>
        <w:tc>
          <w:tcPr>
            <w:tcW w:w="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Retained</w:t>
            </w:r>
          </w:p>
        </w:tc>
        <w:tc>
          <w:tcPr>
            <w:tcW w:w="740" w:type="dxa"/>
            <w:vAlign w:val="bottom"/>
            <w:gridSpan w:val="3"/>
          </w:tcPr>
          <w:p>
            <w:pPr>
              <w:spacing w:after="0"/>
              <w:rPr>
                <w:sz w:val="20"/>
                <w:szCs w:val="20"/>
                <w:color w:val="auto"/>
              </w:rPr>
            </w:pPr>
            <w:r>
              <w:rPr>
                <w:rFonts w:ascii="Arial" w:cs="Arial" w:eastAsia="Arial" w:hAnsi="Arial"/>
                <w:sz w:val="14"/>
                <w:szCs w:val="14"/>
                <w:color w:val="auto"/>
              </w:rPr>
              <w:t>controlling</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49"/>
        </w:trPr>
        <w:tc>
          <w:tcPr>
            <w:tcW w:w="4780" w:type="dxa"/>
            <w:vAlign w:val="bottom"/>
            <w:gridSpan w:val="2"/>
            <w:vMerge w:val="continue"/>
          </w:tcPr>
          <w:p>
            <w:pPr>
              <w:spacing w:after="0"/>
              <w:rPr>
                <w:sz w:val="12"/>
                <w:szCs w:val="12"/>
                <w:color w:val="auto"/>
              </w:rPr>
            </w:pPr>
          </w:p>
        </w:tc>
        <w:tc>
          <w:tcPr>
            <w:tcW w:w="58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29" w:lineRule="exact"/>
              <w:rPr>
                <w:sz w:val="20"/>
                <w:szCs w:val="20"/>
                <w:color w:val="auto"/>
              </w:rPr>
            </w:pPr>
            <w:r>
              <w:rPr>
                <w:rFonts w:ascii="Arial" w:cs="Arial" w:eastAsia="Arial" w:hAnsi="Arial"/>
                <w:sz w:val="14"/>
                <w:szCs w:val="14"/>
                <w:color w:val="auto"/>
                <w:w w:val="91"/>
              </w:rPr>
              <w:t>Capital</w:t>
            </w:r>
          </w:p>
        </w:tc>
        <w:tc>
          <w:tcPr>
            <w:tcW w:w="60" w:type="dxa"/>
            <w:vAlign w:val="bottom"/>
          </w:tcPr>
          <w:p>
            <w:pPr>
              <w:spacing w:after="0"/>
              <w:rPr>
                <w:sz w:val="12"/>
                <w:szCs w:val="12"/>
                <w:color w:val="auto"/>
              </w:rPr>
            </w:pPr>
          </w:p>
        </w:tc>
        <w:tc>
          <w:tcPr>
            <w:tcW w:w="1040" w:type="dxa"/>
            <w:vAlign w:val="bottom"/>
            <w:gridSpan w:val="3"/>
          </w:tcPr>
          <w:p>
            <w:pPr>
              <w:jc w:val="center"/>
              <w:ind w:right="120"/>
              <w:spacing w:after="0" w:line="129" w:lineRule="exact"/>
              <w:rPr>
                <w:sz w:val="20"/>
                <w:szCs w:val="20"/>
                <w:color w:val="auto"/>
              </w:rPr>
            </w:pPr>
            <w:r>
              <w:rPr>
                <w:rFonts w:ascii="Arial" w:cs="Arial" w:eastAsia="Arial" w:hAnsi="Arial"/>
                <w:sz w:val="14"/>
                <w:szCs w:val="14"/>
                <w:color w:val="auto"/>
                <w:w w:val="94"/>
              </w:rPr>
              <w:t>Income (Loss)</w:t>
            </w:r>
          </w:p>
        </w:tc>
        <w:tc>
          <w:tcPr>
            <w:tcW w:w="40" w:type="dxa"/>
            <w:vAlign w:val="bottom"/>
          </w:tcPr>
          <w:p>
            <w:pPr>
              <w:spacing w:after="0"/>
              <w:rPr>
                <w:sz w:val="12"/>
                <w:szCs w:val="12"/>
                <w:color w:val="auto"/>
              </w:rPr>
            </w:pPr>
          </w:p>
        </w:tc>
        <w:tc>
          <w:tcPr>
            <w:tcW w:w="740" w:type="dxa"/>
            <w:vAlign w:val="bottom"/>
            <w:gridSpan w:val="2"/>
          </w:tcPr>
          <w:p>
            <w:pPr>
              <w:jc w:val="right"/>
              <w:ind w:right="200"/>
              <w:spacing w:after="0" w:line="129" w:lineRule="exact"/>
              <w:rPr>
                <w:sz w:val="20"/>
                <w:szCs w:val="20"/>
                <w:color w:val="auto"/>
              </w:rPr>
            </w:pPr>
            <w:r>
              <w:rPr>
                <w:rFonts w:ascii="Arial" w:cs="Arial" w:eastAsia="Arial" w:hAnsi="Arial"/>
                <w:sz w:val="14"/>
                <w:szCs w:val="14"/>
                <w:color w:val="auto"/>
                <w:w w:val="94"/>
              </w:rPr>
              <w:t>Earnings</w:t>
            </w:r>
          </w:p>
        </w:tc>
        <w:tc>
          <w:tcPr>
            <w:tcW w:w="80" w:type="dxa"/>
            <w:vAlign w:val="bottom"/>
          </w:tcPr>
          <w:p>
            <w:pPr>
              <w:spacing w:after="0"/>
              <w:rPr>
                <w:sz w:val="12"/>
                <w:szCs w:val="12"/>
                <w:color w:val="auto"/>
              </w:rPr>
            </w:pPr>
          </w:p>
        </w:tc>
        <w:tc>
          <w:tcPr>
            <w:tcW w:w="660" w:type="dxa"/>
            <w:vAlign w:val="bottom"/>
            <w:gridSpan w:val="2"/>
          </w:tcPr>
          <w:p>
            <w:pPr>
              <w:jc w:val="right"/>
              <w:ind w:right="179"/>
              <w:spacing w:after="0" w:line="129" w:lineRule="exact"/>
              <w:rPr>
                <w:sz w:val="20"/>
                <w:szCs w:val="20"/>
                <w:color w:val="auto"/>
              </w:rPr>
            </w:pPr>
            <w:r>
              <w:rPr>
                <w:rFonts w:ascii="Arial" w:cs="Arial" w:eastAsia="Arial" w:hAnsi="Arial"/>
                <w:sz w:val="14"/>
                <w:szCs w:val="14"/>
                <w:color w:val="auto"/>
                <w:w w:val="89"/>
              </w:rPr>
              <w:t>Interest</w:t>
            </w: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12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5"/>
              </w:rPr>
              <w:t>(Temporary Equity)</w:t>
            </w:r>
          </w:p>
        </w:tc>
        <w:tc>
          <w:tcPr>
            <w:tcW w:w="0" w:type="dxa"/>
            <w:vAlign w:val="bottom"/>
          </w:tcPr>
          <w:p>
            <w:pPr>
              <w:spacing w:after="0"/>
              <w:rPr>
                <w:sz w:val="1"/>
                <w:szCs w:val="1"/>
                <w:color w:val="auto"/>
              </w:rPr>
            </w:pPr>
          </w:p>
        </w:tc>
      </w:tr>
      <w:tr>
        <w:trPr>
          <w:trHeight w:val="136"/>
        </w:trPr>
        <w:tc>
          <w:tcPr>
            <w:tcW w:w="23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DECEMBER 31, 2016</w:t>
            </w:r>
          </w:p>
        </w:tc>
        <w:tc>
          <w:tcPr>
            <w:tcW w:w="24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47,482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$ 49,112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8"/>
              </w:rPr>
              <w:t>903,123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(48,008)</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2"/>
              </w:rPr>
              <w:t>$759,263</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(2,217)</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$1,661,273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22,590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Common stock issuances</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6,239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6,306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income (loss)</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69,308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(45)</w:t>
            </w:r>
          </w:p>
        </w:tc>
        <w:tc>
          <w:tcPr>
            <w:tcW w:w="8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69,263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4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Redemption value adjustments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(1,288)</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Foreign currency exchange translation adj.</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Other comprehensive income (loss):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8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Net actuarial gain (loss) arising during period, less amortization of</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unamortized benefit plan cost, net of tax</w:t>
            </w: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595</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Amounts reclassified to net income, net of tax (FSIRS)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518</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Centuri dividend to redeemable noncontrolling interest</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4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Dividends declared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Common: $0.495 per share</w:t>
            </w: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(23,761)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(23,761)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MARCH 31, 2017</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47,549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$ 49,179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909,362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(46,682)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803,522</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(2,262</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$ 1,713,119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57"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The table below provides details of activity in equity for Southwest Gas Corporation during the three months ended March 31, 2017. Effective in January 2017, Southwest became subsidiary of Southwest Gas Holdings, Inc., and only equity shares of the latter are publicly traded, under the ticker symbol “SWX.”</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Southwest Gas Corporation Equity</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220" w:type="dxa"/>
            <w:vAlign w:val="bottom"/>
            <w:gridSpan w:val="5"/>
          </w:tcPr>
          <w:p>
            <w:pPr>
              <w:ind w:left="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Paid-in</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Comprehensive</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Retained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3"/>
            <w:vMerge w:val="continue"/>
          </w:tcPr>
          <w:p>
            <w:pPr>
              <w:spacing w:after="0"/>
              <w:rPr>
                <w:sz w:val="12"/>
                <w:szCs w:val="12"/>
                <w:color w:val="auto"/>
              </w:rPr>
            </w:pPr>
          </w:p>
        </w:tc>
        <w:tc>
          <w:tcPr>
            <w:tcW w:w="52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color w:val="auto"/>
                <w:w w:val="90"/>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Capital</w:t>
            </w:r>
          </w:p>
        </w:tc>
        <w:tc>
          <w:tcPr>
            <w:tcW w:w="1120" w:type="dxa"/>
            <w:vAlign w:val="bottom"/>
            <w:gridSpan w:val="3"/>
          </w:tcPr>
          <w:p>
            <w:pPr>
              <w:jc w:val="center"/>
              <w:ind w:right="200"/>
              <w:spacing w:after="0" w:line="129" w:lineRule="exact"/>
              <w:rPr>
                <w:sz w:val="20"/>
                <w:szCs w:val="20"/>
                <w:color w:val="auto"/>
              </w:rPr>
            </w:pPr>
            <w:r>
              <w:rPr>
                <w:rFonts w:ascii="Arial" w:cs="Arial" w:eastAsia="Arial" w:hAnsi="Arial"/>
                <w:sz w:val="14"/>
                <w:szCs w:val="14"/>
                <w:color w:val="auto"/>
                <w:w w:val="94"/>
              </w:rPr>
              <w:t>Income (Loss)</w:t>
            </w:r>
          </w:p>
        </w:tc>
        <w:tc>
          <w:tcPr>
            <w:tcW w:w="72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w w:val="97"/>
              </w:rPr>
              <w:t>Earnings</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DECEMBER 31, 2016</w:t>
            </w:r>
          </w:p>
        </w:tc>
        <w:tc>
          <w:tcPr>
            <w:tcW w:w="44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7"/>
              </w:rPr>
              <w:t>47,482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86"/>
              </w:rPr>
              <w:t>$49,112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897,346</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(45,639)</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8"/>
              </w:rPr>
              <w:t>767,061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$1,667,880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76,938</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76,938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(loss):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40" w:type="dxa"/>
            <w:vAlign w:val="bottom"/>
            <w:gridSpan w:val="2"/>
          </w:tcPr>
          <w:p>
            <w:pPr>
              <w:ind w:left="560"/>
              <w:spacing w:after="0" w:line="130" w:lineRule="exact"/>
              <w:rPr>
                <w:sz w:val="20"/>
                <w:szCs w:val="20"/>
                <w:color w:val="auto"/>
              </w:rPr>
            </w:pPr>
            <w:r>
              <w:rPr>
                <w:rFonts w:ascii="Arial" w:cs="Arial" w:eastAsia="Arial" w:hAnsi="Arial"/>
                <w:sz w:val="14"/>
                <w:szCs w:val="14"/>
                <w:color w:val="auto"/>
                <w:w w:val="96"/>
              </w:rPr>
              <w:t>Net actuarial gain (loss) arising during period, less amortization of unamortized benefit plan cost, net of</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40" w:type="dxa"/>
            <w:vAlign w:val="bottom"/>
            <w:gridSpan w:val="2"/>
          </w:tcPr>
          <w:p>
            <w:pPr>
              <w:ind w:left="70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595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Amounts reclassified to net income, net of tax (FSIRS)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Distribution to Southwest Gas Holdings, Inc. investment in discontinued operations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(182,773)</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(182,773)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(a)</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5,906</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Dividends declared to Southwest Gas Holdings, Inc.</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(18,530)</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 2017</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47,482</w:t>
            </w:r>
          </w:p>
        </w:tc>
        <w:tc>
          <w:tcPr>
            <w:tcW w:w="7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49,112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903,252</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642,501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1,550,339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Stock-based compensation is based on stock awards of Southwest Gas Corporation to be issued in shares of Southwest Gas Holdings, Inc.</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table above gives effect to the holding company reorganization whereby Southwest and Centuri became subsidiaries of the Company. The historic investment in Centuri was distributed to the parent holding company. This presentation is only applicable to Southwest and not to the Company overall, as Centuri continues to be included in the continuing operations of the Company. Also in connection with the holding company creation, compensation plans of Southwest include programs that will be settled with equity shares issued by Southwest Gas Holdings, Inc. Management has determined that when no consideration is directly exchanged for these programs between Southwest and the Company, the accounting impact at Southwest for these programs is reflected both as compensation expense and as an equity contribution (of the parent) in Southwest.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after-tax, within the Condensed Consolidated Statements of Comprehensive Income, which also impact Accumulated Other Comprehensive Income in the Condensed Consolidated Balance Sheets and the associated column in the equity table above, as well as the Redeemable Noncontrolling Interest. See </w:t>
      </w:r>
      <w:r>
        <w:rPr>
          <w:rFonts w:ascii="Arial" w:cs="Arial" w:eastAsia="Arial" w:hAnsi="Arial"/>
          <w:sz w:val="18"/>
          <w:szCs w:val="18"/>
          <w:b w:val="1"/>
          <w:bCs w:val="1"/>
          <w:color w:val="auto"/>
        </w:rPr>
        <w:t>Note 4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Derivatives and Fair Value Measurements </w:t>
      </w:r>
      <w:r>
        <w:rPr>
          <w:rFonts w:ascii="Arial" w:cs="Arial" w:eastAsia="Arial" w:hAnsi="Arial"/>
          <w:sz w:val="18"/>
          <w:szCs w:val="18"/>
          <w:color w:val="auto"/>
        </w:rPr>
        <w:t>for additional information on the FSIRS.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55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7620" w:type="dxa"/>
            <w:vAlign w:val="bottom"/>
            <w:gridSpan w:val="12"/>
          </w:tcPr>
          <w:p>
            <w:pPr>
              <w:spacing w:after="0"/>
              <w:rPr>
                <w:sz w:val="20"/>
                <w:szCs w:val="20"/>
                <w:color w:val="auto"/>
              </w:rPr>
            </w:pPr>
            <w:r>
              <w:rPr>
                <w:rFonts w:ascii="Arial" w:cs="Arial" w:eastAsia="Arial" w:hAnsi="Arial"/>
                <w:sz w:val="18"/>
                <w:szCs w:val="18"/>
                <w:b w:val="1"/>
                <w:bCs w:val="1"/>
                <w:color w:val="auto"/>
                <w:w w:val="98"/>
              </w:rPr>
              <w:t>Related Tax Effects Allocated to Each Component of Other Comprehensive Income (Loss)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540" w:type="dxa"/>
            <w:vAlign w:val="bottom"/>
            <w:gridSpan w:val="4"/>
          </w:tcPr>
          <w:p>
            <w:pPr>
              <w:spacing w:after="0"/>
              <w:rPr>
                <w:sz w:val="20"/>
                <w:szCs w:val="20"/>
                <w:color w:val="auto"/>
              </w:rPr>
            </w:pPr>
            <w:r>
              <w:rPr>
                <w:rFonts w:ascii="Arial" w:cs="Arial" w:eastAsia="Arial" w:hAnsi="Arial"/>
                <w:sz w:val="18"/>
                <w:szCs w:val="18"/>
                <w:color w:val="auto"/>
              </w:rPr>
              <w:t>(Thousands of dollars)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March 31, 2016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8"/>
              <w:spacing w:after="0" w:line="119" w:lineRule="exact"/>
              <w:rPr>
                <w:sz w:val="20"/>
                <w:szCs w:val="20"/>
                <w:color w:val="auto"/>
              </w:rPr>
            </w:pPr>
            <w:r>
              <w:rPr>
                <w:rFonts w:ascii="Arial" w:cs="Arial" w:eastAsia="Arial" w:hAnsi="Arial"/>
                <w:sz w:val="13"/>
                <w:szCs w:val="13"/>
                <w:b w:val="1"/>
                <w:bCs w:val="1"/>
                <w:color w:val="auto"/>
              </w:rPr>
              <w:t>Before-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68"/>
              <w:spacing w:after="0" w:line="119" w:lineRule="exact"/>
              <w:rPr>
                <w:sz w:val="20"/>
                <w:szCs w:val="20"/>
                <w:color w:val="auto"/>
              </w:rPr>
            </w:pPr>
            <w:r>
              <w:rPr>
                <w:rFonts w:ascii="Arial" w:cs="Arial" w:eastAsia="Arial" w:hAnsi="Arial"/>
                <w:sz w:val="13"/>
                <w:szCs w:val="13"/>
                <w:b w:val="1"/>
                <w:bCs w:val="1"/>
                <w:color w:val="auto"/>
                <w:w w:val="96"/>
              </w:rPr>
              <w:t>Before-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Tax</w:t>
            </w: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or Benefit (1)</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or Benefit (1)</w:t>
            </w:r>
          </w:p>
        </w:tc>
        <w:tc>
          <w:tcPr>
            <w:tcW w:w="6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334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6,767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4,196</w:t>
            </w: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tcPr>
          <w:p>
            <w:pPr>
              <w:spacing w:after="0"/>
              <w:rPr>
                <w:sz w:val="18"/>
                <w:szCs w:val="18"/>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(5,735)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(3,556)</w:t>
            </w:r>
          </w:p>
        </w:tc>
        <w:tc>
          <w:tcPr>
            <w:tcW w:w="80" w:type="dxa"/>
            <w:vAlign w:val="bottom"/>
          </w:tcPr>
          <w:p>
            <w:pPr>
              <w:spacing w:after="0"/>
              <w:rPr>
                <w:sz w:val="18"/>
                <w:szCs w:val="18"/>
                <w:color w:val="auto"/>
              </w:rPr>
            </w:pP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(6,123)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(3,796)</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30"/>
        </w:trPr>
        <w:tc>
          <w:tcPr>
            <w:tcW w:w="20" w:type="dxa"/>
            <w:vAlign w:val="bottom"/>
          </w:tcPr>
          <w:p>
            <w:pPr>
              <w:spacing w:after="0"/>
              <w:rPr>
                <w:sz w:val="20"/>
                <w:szCs w:val="20"/>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FSIRS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Total other comprehensive income (loss) - Southwest Gas Corporation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r>
      <w:tr>
        <w:trPr>
          <w:trHeight w:val="223"/>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30"/>
        </w:trPr>
        <w:tc>
          <w:tcPr>
            <w:tcW w:w="20" w:type="dxa"/>
            <w:vAlign w:val="bottom"/>
          </w:tcPr>
          <w:p>
            <w:pPr>
              <w:spacing w:after="0"/>
              <w:rPr>
                <w:sz w:val="20"/>
                <w:szCs w:val="20"/>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Total other comprehensive income (loss) - 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2,596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gridSpan w:val="7"/>
          </w:tcPr>
          <w:p>
            <w:pPr>
              <w:jc w:val="center"/>
              <w:ind w:right="27"/>
              <w:spacing w:after="0"/>
              <w:rPr>
                <w:sz w:val="20"/>
                <w:szCs w:val="20"/>
                <w:color w:val="auto"/>
              </w:rPr>
            </w:pPr>
            <w:r>
              <w:rPr>
                <w:rFonts w:ascii="Arial" w:cs="Arial" w:eastAsia="Arial" w:hAnsi="Arial"/>
                <w:sz w:val="14"/>
                <w:szCs w:val="14"/>
                <w:b w:val="1"/>
                <w:bCs w:val="1"/>
                <w:color w:val="auto"/>
                <w:w w:val="92"/>
              </w:rPr>
              <w:t>Twelve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March 31, 2016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8"/>
              <w:spacing w:after="0" w:line="119" w:lineRule="exact"/>
              <w:rPr>
                <w:sz w:val="20"/>
                <w:szCs w:val="20"/>
                <w:color w:val="auto"/>
              </w:rPr>
            </w:pPr>
            <w:r>
              <w:rPr>
                <w:rFonts w:ascii="Arial" w:cs="Arial" w:eastAsia="Arial" w:hAnsi="Arial"/>
                <w:sz w:val="13"/>
                <w:szCs w:val="13"/>
                <w:b w:val="1"/>
                <w:bCs w:val="1"/>
                <w:color w:val="auto"/>
              </w:rPr>
              <w:t>Before-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68"/>
              <w:spacing w:after="0" w:line="119" w:lineRule="exact"/>
              <w:rPr>
                <w:sz w:val="20"/>
                <w:szCs w:val="20"/>
                <w:color w:val="auto"/>
              </w:rPr>
            </w:pPr>
            <w:r>
              <w:rPr>
                <w:rFonts w:ascii="Arial" w:cs="Arial" w:eastAsia="Arial" w:hAnsi="Arial"/>
                <w:sz w:val="13"/>
                <w:szCs w:val="13"/>
                <w:b w:val="1"/>
                <w:bCs w:val="1"/>
                <w:color w:val="auto"/>
                <w:w w:val="96"/>
              </w:rPr>
              <w:t>Before-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Tax</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2"/>
                <w:szCs w:val="12"/>
                <w:color w:val="auto"/>
              </w:rPr>
            </w:pPr>
          </w:p>
        </w:tc>
        <w:tc>
          <w:tcPr>
            <w:tcW w:w="7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Tax</w:t>
            </w: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or Benefit (1)</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or Benefit (1)</w:t>
            </w:r>
          </w:p>
        </w:tc>
        <w:tc>
          <w:tcPr>
            <w:tcW w:w="6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Net actuarial gain/(loss)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w w:val="89"/>
              </w:rPr>
              <w:t>(22,770)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(14,118)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w w:val="92"/>
              </w:rPr>
              <w:t>(30,519)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11,597</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(18,922)</w:t>
            </w: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tcPr>
          <w:p>
            <w:pPr>
              <w:spacing w:after="0"/>
              <w:rPr>
                <w:sz w:val="18"/>
                <w:szCs w:val="18"/>
                <w:color w:val="auto"/>
              </w:rPr>
            </w:pPr>
          </w:p>
        </w:tc>
        <w:tc>
          <w:tcPr>
            <w:tcW w:w="700" w:type="dxa"/>
            <w:vAlign w:val="bottom"/>
            <w:gridSpan w:val="3"/>
          </w:tcPr>
          <w:p>
            <w:pPr>
              <w:jc w:val="right"/>
              <w:ind w:right="68"/>
              <w:spacing w:after="0"/>
              <w:rPr>
                <w:sz w:val="20"/>
                <w:szCs w:val="20"/>
                <w:color w:val="auto"/>
              </w:rPr>
            </w:pPr>
            <w:r>
              <w:rPr>
                <w:rFonts w:ascii="Arial" w:cs="Arial" w:eastAsia="Arial" w:hAnsi="Arial"/>
                <w:sz w:val="18"/>
                <w:szCs w:val="18"/>
                <w:color w:val="auto"/>
                <w:w w:val="98"/>
              </w:rPr>
              <w:t>26,660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16,529</w:t>
            </w:r>
          </w:p>
        </w:tc>
        <w:tc>
          <w:tcPr>
            <w:tcW w:w="80" w:type="dxa"/>
            <w:vAlign w:val="bottom"/>
          </w:tcPr>
          <w:p>
            <w:pPr>
              <w:spacing w:after="0"/>
              <w:rPr>
                <w:sz w:val="18"/>
                <w:szCs w:val="18"/>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32,552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20,182</w:t>
            </w: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(2,468)</w:t>
            </w:r>
          </w:p>
        </w:tc>
      </w:tr>
      <w:tr>
        <w:trPr>
          <w:trHeight w:val="223"/>
        </w:trPr>
        <w:tc>
          <w:tcPr>
            <w:tcW w:w="20" w:type="dxa"/>
            <w:vAlign w:val="bottom"/>
          </w:tcPr>
          <w:p>
            <w:pPr>
              <w:spacing w:after="0"/>
              <w:rPr>
                <w:sz w:val="19"/>
                <w:szCs w:val="19"/>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Amounts reclassifed into net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2,074</w:t>
            </w:r>
          </w:p>
        </w:tc>
        <w:tc>
          <w:tcPr>
            <w:tcW w:w="80" w:type="dxa"/>
            <w:vAlign w:val="bottom"/>
          </w:tcPr>
          <w:p>
            <w:pPr>
              <w:spacing w:after="0"/>
              <w:rPr>
                <w:sz w:val="18"/>
                <w:szCs w:val="18"/>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FSIRS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r>
      <w:tr>
        <w:trPr>
          <w:trHeight w:val="230"/>
        </w:trPr>
        <w:tc>
          <w:tcPr>
            <w:tcW w:w="5540" w:type="dxa"/>
            <w:vAlign w:val="bottom"/>
            <w:gridSpan w:val="4"/>
          </w:tcPr>
          <w:p>
            <w:pPr>
              <w:spacing w:after="0"/>
              <w:rPr>
                <w:sz w:val="20"/>
                <w:szCs w:val="20"/>
                <w:color w:val="auto"/>
              </w:rPr>
            </w:pPr>
            <w:r>
              <w:rPr>
                <w:rFonts w:ascii="Arial" w:cs="Arial" w:eastAsia="Arial" w:hAnsi="Arial"/>
                <w:sz w:val="18"/>
                <w:szCs w:val="18"/>
                <w:color w:val="auto"/>
                <w:w w:val="98"/>
              </w:rPr>
              <w:t>Total other comprehensive income (loss) - Southwest Gas Corporation</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tcPr>
          <w:p>
            <w:pPr>
              <w:spacing w:after="0"/>
              <w:rPr>
                <w:sz w:val="18"/>
                <w:szCs w:val="18"/>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5540" w:type="dxa"/>
            <w:vAlign w:val="bottom"/>
            <w:gridSpan w:val="4"/>
          </w:tcPr>
          <w:p>
            <w:pPr>
              <w:spacing w:after="0"/>
              <w:rPr>
                <w:sz w:val="20"/>
                <w:szCs w:val="20"/>
                <w:color w:val="auto"/>
              </w:rPr>
            </w:pPr>
            <w:r>
              <w:rPr>
                <w:rFonts w:ascii="Arial" w:cs="Arial" w:eastAsia="Arial" w:hAnsi="Arial"/>
                <w:sz w:val="18"/>
                <w:szCs w:val="18"/>
                <w:color w:val="auto"/>
                <w:w w:val="95"/>
              </w:rPr>
              <w:t>Total other comprehensive income (loss) - Southwest Gas Holdings,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amounts are calculated using a 38% rate.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as repatriation of earnings is not anticipated.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$2.1 million of realized losses (net of tax) related to the FSIRS, reported in Accumulated other comprehensive income (“AOCI”) at March 31, 2017, will be reclassified into interest expense within the next 12 months as the related interest payments on long-term debt occur.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5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42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9"/>
              </w:rPr>
              <w:t>March 31, 2017</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6480" w:type="dxa"/>
            <w:vAlign w:val="bottom"/>
            <w:gridSpan w:val="2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80" w:type="dxa"/>
            <w:vAlign w:val="bottom"/>
            <w:gridSpan w:val="24"/>
          </w:tcPr>
          <w:p>
            <w:pPr>
              <w:spacing w:after="0"/>
              <w:rPr>
                <w:sz w:val="20"/>
                <w:szCs w:val="20"/>
                <w:color w:val="auto"/>
              </w:rPr>
            </w:pPr>
            <w:r>
              <w:rPr>
                <w:rFonts w:ascii="Arial" w:cs="Arial" w:eastAsia="Arial" w:hAnsi="Arial"/>
                <w:sz w:val="18"/>
                <w:szCs w:val="18"/>
                <w:color w:val="auto"/>
                <w:w w:val="92"/>
              </w:rPr>
              <w:t>The following table represents a rollforward of AOCI, presented on the Company’s Condensed Consolidated Balance Sheets: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AOCI - Rollforward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4"/>
          </w:tcPr>
          <w:p>
            <w:pPr>
              <w:spacing w:after="0"/>
              <w:rPr>
                <w:sz w:val="20"/>
                <w:szCs w:val="20"/>
                <w:color w:val="auto"/>
              </w:rPr>
            </w:pPr>
            <w:r>
              <w:rPr>
                <w:rFonts w:ascii="Arial" w:cs="Arial" w:eastAsia="Arial" w:hAnsi="Arial"/>
                <w:sz w:val="18"/>
                <w:szCs w:val="18"/>
                <w:color w:val="auto"/>
              </w:rPr>
              <w:t>(Thousands of dollars)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8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Defined Benefit Plans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2"/>
              </w:rPr>
              <w:t>FSIRS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Foreign Currency Items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97"/>
              </w:rPr>
              <w:t>Before-</w:t>
            </w:r>
          </w:p>
        </w:tc>
        <w:tc>
          <w:tcPr>
            <w:tcW w:w="140" w:type="dxa"/>
            <w:vAlign w:val="bottom"/>
          </w:tcPr>
          <w:p>
            <w:pPr>
              <w:spacing w:after="0"/>
              <w:rPr>
                <w:sz w:val="10"/>
                <w:szCs w:val="10"/>
                <w:color w:val="auto"/>
              </w:rPr>
            </w:pPr>
          </w:p>
        </w:tc>
        <w:tc>
          <w:tcPr>
            <w:tcW w:w="6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Tax</w:t>
            </w:r>
          </w:p>
        </w:tc>
        <w:tc>
          <w:tcPr>
            <w:tcW w:w="60" w:type="dxa"/>
            <w:vAlign w:val="bottom"/>
          </w:tcPr>
          <w:p>
            <w:pPr>
              <w:spacing w:after="0"/>
              <w:rPr>
                <w:sz w:val="10"/>
                <w:szCs w:val="10"/>
                <w:color w:val="auto"/>
              </w:rPr>
            </w:pPr>
          </w:p>
        </w:tc>
        <w:tc>
          <w:tcPr>
            <w:tcW w:w="64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Before-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Tax</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Tax</w:t>
            </w:r>
          </w:p>
        </w:tc>
        <w:tc>
          <w:tcPr>
            <w:tcW w:w="14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After-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rPr>
              <w:t>(Expense)   After-   Before-</w:t>
            </w:r>
          </w:p>
        </w:tc>
        <w:tc>
          <w:tcPr>
            <w:tcW w:w="7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9"/>
              </w:rPr>
              <w:t>(Expense)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Tax</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Benefit (4)</w:t>
            </w:r>
          </w:p>
        </w:tc>
        <w:tc>
          <w:tcPr>
            <w:tcW w:w="60" w:type="dxa"/>
            <w:vAlign w:val="bottom"/>
          </w:tcPr>
          <w:p>
            <w:pPr>
              <w:spacing w:after="0"/>
              <w:rPr>
                <w:sz w:val="14"/>
                <w:szCs w:val="14"/>
                <w:color w:val="auto"/>
              </w:rPr>
            </w:pPr>
          </w:p>
        </w:tc>
        <w:tc>
          <w:tcPr>
            <w:tcW w:w="64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Benefit (4)</w:t>
            </w: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Benefit</w:t>
            </w:r>
          </w:p>
        </w:tc>
        <w:tc>
          <w:tcPr>
            <w:tcW w:w="14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Tax</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Beginning Balance AOCI December 31, 2016</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(57,613</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21,893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(35,720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(15,999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6,080</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 xml:space="preserve"> (9,919</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 xml:space="preserve"> (2,369</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81"/>
              </w:rPr>
              <w:t>$</w:t>
            </w:r>
            <w:r>
              <w:rPr>
                <w:rFonts w:ascii="Arial" w:cs="Arial" w:eastAsia="Arial" w:hAnsi="Arial"/>
                <w:sz w:val="14"/>
                <w:szCs w:val="14"/>
                <w:color w:val="auto"/>
                <w:w w:val="81"/>
              </w:rPr>
              <w:t xml:space="preserve"> (2,369</w:t>
            </w:r>
          </w:p>
        </w:tc>
        <w:tc>
          <w:tcPr>
            <w:tcW w:w="200" w:type="dxa"/>
            <w:vAlign w:val="bottom"/>
            <w:tcBorders>
              <w:top w:val="single" w:sz="8" w:color="CCEEFF"/>
            </w:tcBorders>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w w:val="84"/>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(48,008</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3"/>
        </w:trPr>
        <w:tc>
          <w:tcPr>
            <w:tcW w:w="4280" w:type="dxa"/>
            <w:vAlign w:val="bottom"/>
            <w:gridSpan w:val="4"/>
          </w:tcPr>
          <w:p>
            <w:pPr>
              <w:spacing w:after="0" w:line="155" w:lineRule="exact"/>
              <w:rPr>
                <w:sz w:val="20"/>
                <w:szCs w:val="20"/>
                <w:color w:val="auto"/>
              </w:rPr>
            </w:pPr>
            <w:r>
              <w:rPr>
                <w:rFonts w:ascii="Arial" w:cs="Arial" w:eastAsia="Arial" w:hAnsi="Arial"/>
                <w:sz w:val="14"/>
                <w:szCs w:val="14"/>
                <w:color w:val="auto"/>
              </w:rPr>
              <w:t>Translation adjustments</w:t>
            </w:r>
          </w:p>
        </w:tc>
        <w:tc>
          <w:tcPr>
            <w:tcW w:w="5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85"/>
              </w:rPr>
              <w:t>220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76"/>
              </w:rPr>
              <w:t>220</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 income before reclassifications</w:t>
            </w:r>
          </w:p>
        </w:tc>
        <w:tc>
          <w:tcPr>
            <w:tcW w:w="7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220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220</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FSIRS amounts reclassified from AOCI (1)</w:t>
            </w:r>
          </w:p>
        </w:tc>
        <w:tc>
          <w:tcPr>
            <w:tcW w:w="7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836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(318)</w:t>
            </w: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518</w:t>
            </w:r>
          </w:p>
        </w:tc>
        <w:tc>
          <w:tcPr>
            <w:tcW w:w="8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(2)</w:t>
            </w:r>
          </w:p>
        </w:tc>
        <w:tc>
          <w:tcPr>
            <w:tcW w:w="7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334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207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Amortization of net actuarial loss (2)</w:t>
            </w:r>
          </w:p>
        </w:tc>
        <w:tc>
          <w:tcPr>
            <w:tcW w:w="7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6,361</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(2,417)</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3,944</w:t>
            </w:r>
          </w:p>
        </w:tc>
        <w:tc>
          <w:tcPr>
            <w:tcW w:w="8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Regulatory adjustment (3)</w:t>
            </w:r>
          </w:p>
        </w:tc>
        <w:tc>
          <w:tcPr>
            <w:tcW w:w="7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(5,735)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2,179</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(3,556)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156"/>
        </w:trPr>
        <w:tc>
          <w:tcPr>
            <w:tcW w:w="4280" w:type="dxa"/>
            <w:vAlign w:val="bottom"/>
            <w:gridSpan w:val="4"/>
          </w:tcPr>
          <w:p>
            <w:pPr>
              <w:spacing w:after="0" w:line="155" w:lineRule="exact"/>
              <w:rPr>
                <w:sz w:val="20"/>
                <w:szCs w:val="20"/>
                <w:color w:val="auto"/>
              </w:rPr>
            </w:pPr>
            <w:r>
              <w:rPr>
                <w:rFonts w:ascii="Arial" w:cs="Arial" w:eastAsia="Arial" w:hAnsi="Arial"/>
                <w:sz w:val="14"/>
                <w:szCs w:val="14"/>
                <w:color w:val="auto"/>
              </w:rPr>
              <w:t>Net current period other comprehensive income (loss)</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960</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ind w:left="320"/>
              <w:spacing w:after="0" w:line="155" w:lineRule="exact"/>
              <w:rPr>
                <w:sz w:val="20"/>
                <w:szCs w:val="20"/>
                <w:color w:val="auto"/>
              </w:rPr>
            </w:pPr>
            <w:r>
              <w:rPr>
                <w:rFonts w:ascii="Arial" w:cs="Arial" w:eastAsia="Arial" w:hAnsi="Arial"/>
                <w:sz w:val="14"/>
                <w:szCs w:val="14"/>
                <w:color w:val="auto"/>
                <w:w w:val="76"/>
              </w:rPr>
              <w:t>595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836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(318)</w:t>
            </w:r>
          </w:p>
        </w:tc>
        <w:tc>
          <w:tcPr>
            <w:tcW w:w="200" w:type="dxa"/>
            <w:vAlign w:val="bottom"/>
          </w:tcPr>
          <w:p>
            <w:pPr>
              <w:spacing w:after="0"/>
              <w:rPr>
                <w:sz w:val="13"/>
                <w:szCs w:val="13"/>
                <w:color w:val="auto"/>
              </w:rPr>
            </w:pPr>
          </w:p>
        </w:tc>
        <w:tc>
          <w:tcPr>
            <w:tcW w:w="46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color w:val="auto"/>
                <w:w w:val="85"/>
              </w:rPr>
              <w:t>518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color w:val="auto"/>
                <w:w w:val="85"/>
              </w:rPr>
              <w:t>220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4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color w:val="auto"/>
                <w:w w:val="76"/>
              </w:rPr>
              <w:t>220</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7"/>
              </w:rPr>
              <w:t>Less: Translation adjustment attributable to redeemable noncontrolling</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72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80" w:type="dxa"/>
            <w:vAlign w:val="bottom"/>
            <w:gridSpan w:val="4"/>
          </w:tcPr>
          <w:p>
            <w:pPr>
              <w:spacing w:after="0" w:line="137" w:lineRule="exact"/>
              <w:rPr>
                <w:sz w:val="20"/>
                <w:szCs w:val="20"/>
                <w:color w:val="auto"/>
              </w:rPr>
            </w:pPr>
            <w:r>
              <w:rPr>
                <w:rFonts w:ascii="Arial" w:cs="Arial" w:eastAsia="Arial" w:hAnsi="Arial"/>
                <w:sz w:val="14"/>
                <w:szCs w:val="14"/>
                <w:color w:val="auto"/>
              </w:rPr>
              <w:t>Net current period other comprehensive income (loss) attributable to</w:t>
            </w: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3"/>
          </w:tcPr>
          <w:p>
            <w:pPr>
              <w:ind w:left="140"/>
              <w:spacing w:after="0"/>
              <w:rPr>
                <w:sz w:val="20"/>
                <w:szCs w:val="20"/>
                <w:color w:val="auto"/>
              </w:rPr>
            </w:pPr>
            <w:r>
              <w:rPr>
                <w:rFonts w:ascii="Arial" w:cs="Arial" w:eastAsia="Arial" w:hAnsi="Arial"/>
                <w:sz w:val="14"/>
                <w:szCs w:val="14"/>
                <w:color w:val="auto"/>
              </w:rPr>
              <w:t>Southwest Gas Holdings, Inc.</w:t>
            </w:r>
          </w:p>
        </w:tc>
        <w:tc>
          <w:tcPr>
            <w:tcW w:w="540" w:type="dxa"/>
            <w:vAlign w:val="bottom"/>
          </w:tcPr>
          <w:p>
            <w:pPr>
              <w:jc w:val="right"/>
              <w:spacing w:after="0"/>
              <w:rPr>
                <w:sz w:val="20"/>
                <w:szCs w:val="20"/>
                <w:color w:val="auto"/>
              </w:rPr>
            </w:pPr>
            <w:r>
              <w:rPr>
                <w:rFonts w:ascii="Arial" w:cs="Arial" w:eastAsia="Arial" w:hAnsi="Arial"/>
                <w:sz w:val="14"/>
                <w:szCs w:val="14"/>
                <w:color w:val="auto"/>
              </w:rPr>
              <w:t>960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(365)</w:t>
            </w:r>
          </w:p>
        </w:tc>
        <w:tc>
          <w:tcPr>
            <w:tcW w:w="580" w:type="dxa"/>
            <w:vAlign w:val="bottom"/>
            <w:gridSpan w:val="2"/>
          </w:tcPr>
          <w:p>
            <w:pPr>
              <w:ind w:left="380"/>
              <w:spacing w:after="0"/>
              <w:rPr>
                <w:sz w:val="20"/>
                <w:szCs w:val="20"/>
                <w:color w:val="auto"/>
              </w:rPr>
            </w:pPr>
            <w:r>
              <w:rPr>
                <w:rFonts w:ascii="Arial" w:cs="Arial" w:eastAsia="Arial" w:hAnsi="Arial"/>
                <w:sz w:val="14"/>
                <w:szCs w:val="14"/>
                <w:color w:val="auto"/>
                <w:w w:val="76"/>
              </w:rPr>
              <w:t>595</w:t>
            </w:r>
          </w:p>
        </w:tc>
        <w:tc>
          <w:tcPr>
            <w:tcW w:w="120" w:type="dxa"/>
            <w:vAlign w:val="bottom"/>
          </w:tcPr>
          <w:p>
            <w:pPr>
              <w:spacing w:after="0"/>
              <w:rPr>
                <w:sz w:val="14"/>
                <w:szCs w:val="14"/>
                <w:color w:val="auto"/>
              </w:rPr>
            </w:pPr>
          </w:p>
        </w:tc>
        <w:tc>
          <w:tcPr>
            <w:tcW w:w="720" w:type="dxa"/>
            <w:vAlign w:val="bottom"/>
            <w:gridSpan w:val="3"/>
          </w:tcPr>
          <w:p>
            <w:pPr>
              <w:ind w:left="380"/>
              <w:spacing w:after="0"/>
              <w:rPr>
                <w:sz w:val="20"/>
                <w:szCs w:val="20"/>
                <w:color w:val="auto"/>
              </w:rPr>
            </w:pPr>
            <w:r>
              <w:rPr>
                <w:rFonts w:ascii="Arial" w:cs="Arial" w:eastAsia="Arial" w:hAnsi="Arial"/>
                <w:sz w:val="14"/>
                <w:szCs w:val="14"/>
                <w:color w:val="auto"/>
              </w:rPr>
              <w:t>836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(318)</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518</w:t>
            </w:r>
          </w:p>
        </w:tc>
        <w:tc>
          <w:tcPr>
            <w:tcW w:w="540" w:type="dxa"/>
            <w:vAlign w:val="bottom"/>
            <w:gridSpan w:val="2"/>
          </w:tcPr>
          <w:p>
            <w:pPr>
              <w:ind w:left="320"/>
              <w:spacing w:after="0"/>
              <w:rPr>
                <w:sz w:val="20"/>
                <w:szCs w:val="20"/>
                <w:color w:val="auto"/>
              </w:rPr>
            </w:pPr>
            <w:r>
              <w:rPr>
                <w:rFonts w:ascii="Arial" w:cs="Arial" w:eastAsia="Arial" w:hAnsi="Arial"/>
                <w:sz w:val="14"/>
                <w:szCs w:val="14"/>
                <w:color w:val="auto"/>
                <w:w w:val="85"/>
              </w:rPr>
              <w:t>213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380"/>
              <w:spacing w:after="0"/>
              <w:rPr>
                <w:sz w:val="20"/>
                <w:szCs w:val="20"/>
                <w:color w:val="auto"/>
              </w:rPr>
            </w:pPr>
            <w:r>
              <w:rPr>
                <w:rFonts w:ascii="Arial" w:cs="Arial" w:eastAsia="Arial" w:hAnsi="Arial"/>
                <w:sz w:val="14"/>
                <w:szCs w:val="14"/>
                <w:color w:val="auto"/>
                <w:w w:val="76"/>
              </w:rPr>
              <w:t>213</w:t>
            </w:r>
          </w:p>
        </w:tc>
        <w:tc>
          <w:tcPr>
            <w:tcW w:w="200" w:type="dxa"/>
            <w:vAlign w:val="bottom"/>
          </w:tcPr>
          <w:p>
            <w:pPr>
              <w:spacing w:after="0"/>
              <w:rPr>
                <w:sz w:val="14"/>
                <w:szCs w:val="14"/>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Ending Balance AOCI March 31, 2017</w:t>
            </w:r>
          </w:p>
        </w:tc>
        <w:tc>
          <w:tcPr>
            <w:tcW w:w="7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(56,653)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21,528</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(35,125)</w:t>
            </w:r>
          </w:p>
        </w:tc>
        <w:tc>
          <w:tcPr>
            <w:tcW w:w="7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(15,163)</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5,762</w:t>
            </w:r>
          </w:p>
        </w:tc>
        <w:tc>
          <w:tcPr>
            <w:tcW w:w="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xml:space="preserve"> (9,401)</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(2,156)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59"/>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(2,156)</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(46,682)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the Company’s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the Company’s Condensed Consolidated Balance Sheets).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amounts are calculated using a 38%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Defined Benefit Plans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FSIRS</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vMerge w:val="restart"/>
          </w:tcPr>
          <w:p>
            <w:pPr>
              <w:jc w:val="center"/>
              <w:ind w:right="88"/>
              <w:spacing w:after="0"/>
              <w:rPr>
                <w:sz w:val="20"/>
                <w:szCs w:val="20"/>
                <w:color w:val="auto"/>
              </w:rPr>
            </w:pPr>
            <w:r>
              <w:rPr>
                <w:rFonts w:ascii="Arial" w:cs="Arial" w:eastAsia="Arial" w:hAnsi="Arial"/>
                <w:sz w:val="14"/>
                <w:szCs w:val="14"/>
                <w:b w:val="1"/>
                <w:bCs w:val="1"/>
                <w:color w:val="auto"/>
                <w:w w:val="93"/>
              </w:rPr>
              <w:t>Before-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Tax</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Before-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Tax</w:t>
            </w:r>
          </w:p>
        </w:tc>
        <w:tc>
          <w:tcPr>
            <w:tcW w:w="2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After-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Benefit (8)</w:t>
            </w:r>
          </w:p>
        </w:tc>
        <w:tc>
          <w:tcPr>
            <w:tcW w:w="120" w:type="dxa"/>
            <w:vAlign w:val="bottom"/>
          </w:tcPr>
          <w:p>
            <w:pPr>
              <w:spacing w:after="0"/>
              <w:rPr>
                <w:sz w:val="14"/>
                <w:szCs w:val="14"/>
                <w:color w:val="auto"/>
              </w:rPr>
            </w:pPr>
          </w:p>
        </w:tc>
        <w:tc>
          <w:tcPr>
            <w:tcW w:w="7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Benefit (8)</w:t>
            </w:r>
          </w:p>
        </w:tc>
        <w:tc>
          <w:tcPr>
            <w:tcW w:w="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Tax</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Beginning Balance AOCI December 31, 2016</w:t>
            </w:r>
          </w:p>
        </w:tc>
        <w:tc>
          <w:tcPr>
            <w:tcW w:w="4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(57,613</w:t>
            </w:r>
          </w:p>
        </w:tc>
        <w:tc>
          <w:tcPr>
            <w:tcW w:w="18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21,893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(35,720</w:t>
            </w:r>
          </w:p>
        </w:tc>
        <w:tc>
          <w:tcPr>
            <w:tcW w:w="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(15,999</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6,080</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 xml:space="preserve"> (9,919</w:t>
            </w:r>
          </w:p>
        </w:tc>
        <w:tc>
          <w:tcPr>
            <w:tcW w:w="300" w:type="dxa"/>
            <w:vAlign w:val="bottom"/>
            <w:tcBorders>
              <w:top w:val="single" w:sz="8" w:color="CCEEFF"/>
            </w:tcBorders>
            <w:shd w:val="clear" w:color="auto" w:fill="CCEEFF"/>
          </w:tcPr>
          <w:p>
            <w:pPr>
              <w:jc w:val="right"/>
              <w:ind w:right="219"/>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(45,639</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FSIRS amounts reclassified from AOCI (5)</w:t>
            </w:r>
          </w:p>
        </w:tc>
        <w:tc>
          <w:tcPr>
            <w:tcW w:w="420" w:type="dxa"/>
            <w:vAlign w:val="bottom"/>
          </w:tcPr>
          <w:p>
            <w:pPr>
              <w:spacing w:after="0"/>
              <w:rPr>
                <w:sz w:val="13"/>
                <w:szCs w:val="13"/>
                <w:color w:val="auto"/>
              </w:rPr>
            </w:pP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ind w:left="300"/>
              <w:spacing w:after="0" w:line="155" w:lineRule="exact"/>
              <w:rPr>
                <w:sz w:val="20"/>
                <w:szCs w:val="20"/>
                <w:color w:val="auto"/>
              </w:rPr>
            </w:pPr>
            <w:r>
              <w:rPr>
                <w:rFonts w:ascii="Arial" w:cs="Arial" w:eastAsia="Arial" w:hAnsi="Arial"/>
                <w:sz w:val="14"/>
                <w:szCs w:val="14"/>
                <w:color w:val="auto"/>
                <w:w w:val="85"/>
              </w:rPr>
              <w:t>836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(318)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240"/>
              <w:spacing w:after="0" w:line="155" w:lineRule="exact"/>
              <w:rPr>
                <w:sz w:val="20"/>
                <w:szCs w:val="20"/>
                <w:color w:val="auto"/>
              </w:rPr>
            </w:pPr>
            <w:r>
              <w:rPr>
                <w:rFonts w:ascii="Arial" w:cs="Arial" w:eastAsia="Arial" w:hAnsi="Arial"/>
                <w:sz w:val="14"/>
                <w:szCs w:val="14"/>
                <w:color w:val="auto"/>
                <w:w w:val="85"/>
              </w:rPr>
              <w:t>518</w:t>
            </w:r>
          </w:p>
        </w:tc>
        <w:tc>
          <w:tcPr>
            <w:tcW w:w="3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(6)</w:t>
            </w:r>
          </w:p>
        </w:tc>
        <w:tc>
          <w:tcPr>
            <w:tcW w:w="1120" w:type="dxa"/>
            <w:vAlign w:val="bottom"/>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82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207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Amortization of net actuarial loss (6)</w:t>
            </w:r>
          </w:p>
        </w:tc>
        <w:tc>
          <w:tcPr>
            <w:tcW w:w="112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6,361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(2,417)</w:t>
            </w:r>
          </w:p>
        </w:tc>
        <w:tc>
          <w:tcPr>
            <w:tcW w:w="82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3,944</w:t>
            </w:r>
          </w:p>
        </w:tc>
        <w:tc>
          <w:tcPr>
            <w:tcW w:w="140" w:type="dxa"/>
            <w:vAlign w:val="bottom"/>
          </w:tcPr>
          <w:p>
            <w:pPr>
              <w:spacing w:after="0"/>
              <w:rPr>
                <w:sz w:val="12"/>
                <w:szCs w:val="12"/>
                <w:color w:val="auto"/>
              </w:rPr>
            </w:pP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adjustment (7)</w:t>
            </w:r>
          </w:p>
        </w:tc>
        <w:tc>
          <w:tcPr>
            <w:tcW w:w="11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(5,735)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2,179</w:t>
            </w:r>
          </w:p>
        </w:tc>
        <w:tc>
          <w:tcPr>
            <w:tcW w:w="82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(3,556)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137"/>
        </w:trPr>
        <w:tc>
          <w:tcPr>
            <w:tcW w:w="5260" w:type="dxa"/>
            <w:vAlign w:val="bottom"/>
            <w:gridSpan w:val="2"/>
          </w:tcPr>
          <w:p>
            <w:pPr>
              <w:spacing w:after="0" w:line="137" w:lineRule="exact"/>
              <w:rPr>
                <w:sz w:val="20"/>
                <w:szCs w:val="20"/>
                <w:color w:val="auto"/>
              </w:rPr>
            </w:pPr>
            <w:r>
              <w:rPr>
                <w:rFonts w:ascii="Arial" w:cs="Arial" w:eastAsia="Arial" w:hAnsi="Arial"/>
                <w:sz w:val="14"/>
                <w:szCs w:val="14"/>
                <w:color w:val="auto"/>
              </w:rPr>
              <w:t>Net current period other comprehensive income (loss) attributable to Southwest Gas</w:t>
            </w:r>
          </w:p>
        </w:tc>
        <w:tc>
          <w:tcPr>
            <w:tcW w:w="4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ind w:left="140"/>
              <w:spacing w:after="0"/>
              <w:rPr>
                <w:sz w:val="20"/>
                <w:szCs w:val="20"/>
                <w:color w:val="auto"/>
              </w:rPr>
            </w:pPr>
            <w:r>
              <w:rPr>
                <w:rFonts w:ascii="Arial" w:cs="Arial" w:eastAsia="Arial" w:hAnsi="Arial"/>
                <w:sz w:val="14"/>
                <w:szCs w:val="14"/>
                <w:color w:val="auto"/>
              </w:rPr>
              <w:t>Corporation</w:t>
            </w:r>
          </w:p>
        </w:tc>
        <w:tc>
          <w:tcPr>
            <w:tcW w:w="420" w:type="dxa"/>
            <w:vAlign w:val="bottom"/>
          </w:tcPr>
          <w:p>
            <w:pPr>
              <w:spacing w:after="0"/>
              <w:rPr>
                <w:sz w:val="14"/>
                <w:szCs w:val="14"/>
                <w:color w:val="auto"/>
              </w:rPr>
            </w:pPr>
          </w:p>
        </w:tc>
        <w:tc>
          <w:tcPr>
            <w:tcW w:w="700" w:type="dxa"/>
            <w:vAlign w:val="bottom"/>
            <w:gridSpan w:val="2"/>
          </w:tcPr>
          <w:p>
            <w:pPr>
              <w:jc w:val="right"/>
              <w:ind w:right="10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(365)</w:t>
            </w:r>
          </w:p>
        </w:tc>
        <w:tc>
          <w:tcPr>
            <w:tcW w:w="820" w:type="dxa"/>
            <w:vAlign w:val="bottom"/>
            <w:gridSpan w:val="3"/>
          </w:tcPr>
          <w:p>
            <w:pPr>
              <w:jc w:val="right"/>
              <w:ind w:right="119"/>
              <w:spacing w:after="0"/>
              <w:rPr>
                <w:sz w:val="20"/>
                <w:szCs w:val="20"/>
                <w:color w:val="auto"/>
              </w:rPr>
            </w:pPr>
            <w:r>
              <w:rPr>
                <w:rFonts w:ascii="Arial" w:cs="Arial" w:eastAsia="Arial" w:hAnsi="Arial"/>
                <w:sz w:val="14"/>
                <w:szCs w:val="14"/>
                <w:color w:val="auto"/>
              </w:rPr>
              <w:t>595</w:t>
            </w:r>
          </w:p>
        </w:tc>
        <w:tc>
          <w:tcPr>
            <w:tcW w:w="840" w:type="dxa"/>
            <w:vAlign w:val="bottom"/>
            <w:gridSpan w:val="3"/>
          </w:tcPr>
          <w:p>
            <w:pPr>
              <w:ind w:left="440"/>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(318)</w:t>
            </w:r>
          </w:p>
        </w:tc>
        <w:tc>
          <w:tcPr>
            <w:tcW w:w="480" w:type="dxa"/>
            <w:vAlign w:val="bottom"/>
            <w:gridSpan w:val="2"/>
          </w:tcPr>
          <w:p>
            <w:pPr>
              <w:ind w:left="260"/>
              <w:spacing w:after="0"/>
              <w:rPr>
                <w:sz w:val="20"/>
                <w:szCs w:val="20"/>
                <w:color w:val="auto"/>
              </w:rPr>
            </w:pPr>
            <w:r>
              <w:rPr>
                <w:rFonts w:ascii="Arial" w:cs="Arial" w:eastAsia="Arial" w:hAnsi="Arial"/>
                <w:sz w:val="14"/>
                <w:szCs w:val="14"/>
                <w:color w:val="auto"/>
                <w:w w:val="85"/>
              </w:rPr>
              <w:t>518</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Ending Balance AOCI March 31, 2017</w:t>
            </w:r>
          </w:p>
        </w:tc>
        <w:tc>
          <w:tcPr>
            <w:tcW w:w="4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(56,653)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21,528</w:t>
            </w:r>
          </w:p>
        </w:tc>
        <w:tc>
          <w:tcPr>
            <w:tcW w:w="82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(35,125)</w:t>
            </w:r>
          </w:p>
        </w:tc>
        <w:tc>
          <w:tcPr>
            <w:tcW w:w="8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(15,163)</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5,762</w:t>
            </w:r>
          </w:p>
        </w:tc>
        <w:tc>
          <w:tcPr>
            <w:tcW w:w="7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(9,401)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(44,526)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Southwest’s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Southwest’s Condensed Consolidated Balance Sheets).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amounts are calculated using a 38% rate.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AOCI (Before Tax)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March 31, 2017</w:t>
            </w: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w w:val="99"/>
              </w:rPr>
              <w:t>December 31, 2016</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(424,612)</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(430,973)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(5,369)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(5,703)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recognized in regulatory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373,328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379,063</w:t>
            </w:r>
          </w:p>
        </w:tc>
        <w:tc>
          <w:tcPr>
            <w:tcW w:w="12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Recognized in AOCI</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(56,653</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(57,613)</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257" w:right="239" w:bottom="1440" w:gutter="0" w:footer="0" w:header="0"/>
        </w:sect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57"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9 – Construction Services Redeemable Noncontrolling Interest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acquisition of the Canadian construction businesses in October 2014, the previous owners of the acquired companies currently hold a 3.4% equity interest in Centuri. The previous owners are able to exit their investment retained by requiring the purchase of a portion of their interest (a portion is already eligible for redemption). Incremental amounts will become eligible each year. The shares subject to the election cumulate (if earlier elections are not made) such that 100% of their interest retained is subject to the election beginning in July 2022. Due to the ability of the noncontrolling parties to redeem their interest for cash, their interest is presented on the Company’s Condensed Consolidated Balance Sheet at March 31, 2017 as a Redeemable noncontrolling interest, a category of mezzanine equity (temporary equity). The following depicts changes to the balance of the redeemable noncontrolling interest between the indicated periods.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color w:val="auto"/>
              </w:rPr>
              <w:t>(Thousands of dollars):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Net income (loss) attributable to redeemable noncontrolling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Centuri dividend to redeemable noncontrolling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redemption value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Balance, March 31, 2017</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Reorganization Impacts – Discontinued Operations Solely Related to Southwest Gas Corporation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substantive change has occurred with regard to the Company’s business segments on the whole, or in the primary businesses comprising those segments (Centuri operations continue to be part of continuing operations of the controlled group of companies), and financial information related to Centuri continues to be included in condensed consolidated financial statements of Southwest Gas Holdings, Inc.</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However, as part of the holding company reorganization effective January 2017, Centuri is no longer a subsidiary of Southwest; whereas historically, Centuri had been a direct subsidiary of Southwest. To give effect to this change, the condensed consolidated financial statements related to Southwest Gas Corporation, which are separately included in this Form 10-Q, depict Centuri-related amounts as discontinued operations for periods prior to January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discontinued operations accounting reflection, the following disclosures provide additional information regarding the assets, liabilities, equity, revenues, and expenses of Centuri which are shown as discontinued operations on the condensed consolidated financial statements of Southwest Gas Corporation for periods prior to the beginning of 2017.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5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following table presents the major categories of assets and liabilities within the amounts reported as discontinued operations – construction services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of Southwest Gas Corporation:</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380" w:type="dxa"/>
            <w:vAlign w:val="bottom"/>
            <w:gridSpan w:val="2"/>
          </w:tcPr>
          <w:p>
            <w:pPr>
              <w:spacing w:after="0"/>
              <w:rPr>
                <w:sz w:val="20"/>
                <w:szCs w:val="20"/>
                <w:color w:val="auto"/>
              </w:rPr>
            </w:pPr>
            <w:r>
              <w:rPr>
                <w:rFonts w:ascii="Arial" w:cs="Arial" w:eastAsia="Arial" w:hAnsi="Arial"/>
                <w:sz w:val="14"/>
                <w:szCs w:val="14"/>
                <w:color w:val="auto"/>
              </w:rPr>
              <w:t>(Thousands of dollars)</w:t>
            </w:r>
          </w:p>
        </w:tc>
        <w:tc>
          <w:tcPr>
            <w:tcW w:w="2380" w:type="dxa"/>
            <w:vAlign w:val="bottom"/>
            <w:gridSpan w:val="4"/>
          </w:tcPr>
          <w:p>
            <w:pPr>
              <w:ind w:left="1160"/>
              <w:spacing w:after="0"/>
              <w:rPr>
                <w:sz w:val="20"/>
                <w:szCs w:val="20"/>
                <w:color w:val="auto"/>
              </w:rPr>
            </w:pPr>
            <w:r>
              <w:rPr>
                <w:rFonts w:ascii="Arial" w:cs="Arial" w:eastAsia="Arial" w:hAnsi="Arial"/>
                <w:sz w:val="14"/>
                <w:szCs w:val="14"/>
                <w:b w:val="1"/>
                <w:bCs w:val="1"/>
                <w:color w:val="auto"/>
                <w:w w:val="95"/>
              </w:rPr>
              <w:t>December 31, 2016</w:t>
            </w: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property and investments</w:t>
            </w:r>
          </w:p>
        </w:tc>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233,774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Accounts receivable, net of allowances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173,300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Prepaids and other current assets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129,888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60" w:type="dxa"/>
            <w:vAlign w:val="bottom"/>
            <w:shd w:val="clear" w:color="auto" w:fill="CCEEFF"/>
          </w:tcPr>
          <w:p>
            <w:pPr>
              <w:spacing w:after="0"/>
              <w:rPr>
                <w:sz w:val="18"/>
                <w:szCs w:val="18"/>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Discontinued operations - construction services - assets</w:t>
            </w:r>
          </w:p>
        </w:tc>
        <w:tc>
          <w:tcPr>
            <w:tcW w:w="11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579,371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25,101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income taxes and other deferred credits</w:t>
            </w:r>
          </w:p>
        </w:tc>
        <w:tc>
          <w:tcPr>
            <w:tcW w:w="1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 construction services - liabilities</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380,615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components of the Discontinued operations – construction services non-owner equity amount shown in the Southwest Gas Corporation Condensed Consolidated Balance Sheet:</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480" w:type="dxa"/>
            <w:vAlign w:val="bottom"/>
          </w:tcPr>
          <w:p>
            <w:pPr>
              <w:spacing w:after="0"/>
              <w:rPr>
                <w:sz w:val="20"/>
                <w:szCs w:val="20"/>
                <w:color w:val="auto"/>
              </w:rPr>
            </w:pPr>
            <w:r>
              <w:rPr>
                <w:rFonts w:ascii="Arial" w:cs="Arial" w:eastAsia="Arial" w:hAnsi="Arial"/>
                <w:sz w:val="14"/>
                <w:szCs w:val="14"/>
                <w:color w:val="auto"/>
              </w:rPr>
              <w:t>(Thousands of dollars)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31, 2016</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services equity</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Construction services noncontrolling interest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(2,217)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services redeemable noncontrolling interest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12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Discontinued operations - construction services non-owner equity</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major income statement components of discontinued operations – construction services reported in the Condensed Consolidated Income Statements of Southwest Gas Corporation:</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Three</w:t>
            </w:r>
          </w:p>
        </w:tc>
        <w:tc>
          <w:tcPr>
            <w:tcW w:w="180" w:type="dxa"/>
            <w:vAlign w:val="bottom"/>
          </w:tcPr>
          <w:p>
            <w:pPr>
              <w:spacing w:after="0"/>
              <w:rPr>
                <w:sz w:val="14"/>
                <w:szCs w:val="14"/>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Twelve</w:t>
            </w:r>
          </w:p>
        </w:tc>
        <w:tc>
          <w:tcPr>
            <w:tcW w:w="1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Twelve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c>
          <w:tcPr>
            <w:tcW w:w="15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20"/>
                <w:szCs w:val="20"/>
                <w:color w:val="auto"/>
              </w:rPr>
            </w:pPr>
            <w:r>
              <w:rPr>
                <w:rFonts w:ascii="Arial" w:cs="Arial" w:eastAsia="Arial" w:hAnsi="Arial"/>
                <w:sz w:val="14"/>
                <w:szCs w:val="14"/>
                <w:color w:val="auto"/>
              </w:rPr>
              <w:t>(Thousands of dollars)</w:t>
            </w:r>
          </w:p>
        </w:tc>
        <w:tc>
          <w:tcPr>
            <w:tcW w:w="2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206,148</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932,930</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1,034,029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193,382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831,041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917,235</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14,615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41,054</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57,479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60,835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59,315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income (deductions)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5,172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56,890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21,030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20,185</w:t>
            </w: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9"/>
        </w:trPr>
        <w:tc>
          <w:tcPr>
            <w:tcW w:w="5120" w:type="dxa"/>
            <w:vAlign w:val="bottom"/>
          </w:tcPr>
          <w:p>
            <w:pPr>
              <w:ind w:left="360"/>
              <w:spacing w:after="0"/>
              <w:rPr>
                <w:sz w:val="20"/>
                <w:szCs w:val="20"/>
                <w:color w:val="auto"/>
              </w:rPr>
            </w:pPr>
            <w:r>
              <w:rPr>
                <w:rFonts w:ascii="Arial" w:cs="Arial" w:eastAsia="Arial" w:hAnsi="Arial"/>
                <w:sz w:val="18"/>
                <w:szCs w:val="18"/>
                <w:color w:val="auto"/>
                <w:w w:val="98"/>
              </w:rPr>
              <w:t>Discontinued operations - construction services - net 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540"/>
              <w:spacing w:after="0"/>
              <w:rPr>
                <w:sz w:val="20"/>
                <w:szCs w:val="20"/>
                <w:color w:val="auto"/>
              </w:rPr>
            </w:pPr>
            <w:r>
              <w:rPr>
                <w:rFonts w:ascii="Arial" w:cs="Arial" w:eastAsia="Arial" w:hAnsi="Arial"/>
                <w:sz w:val="18"/>
                <w:szCs w:val="18"/>
                <w:color w:val="auto"/>
              </w:rPr>
              <w:t>(loss)</w:t>
            </w:r>
          </w:p>
        </w:tc>
        <w:tc>
          <w:tcPr>
            <w:tcW w:w="4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(2,137)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34,755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31,493</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70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96.6% of the common stock of Centuri Construction Group Inc. (“Centuri” or the “construction services” segment). As part of the holding company reorganization effective January 2017, Centuri and Southwest are now subsidiaries of Southwest Gas Holdings, Inc.; whereas historically, Centuri had been a direct subsidiary of Southwest. Southwest Gas Holdings, Inc. and its subsidiaries (the “Company”) has two business segments (natural gas operations and construction services), which are discussed below.</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northern Nevada. In addition, Southwest distributes and transports natural gas for customers in portions of California, including the Lake Tahoe area and the high desert and mountain areas in San Bernardino County.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2017, Southwest had 1,994,000 residential, commercial, industrial, and other natural gas customers, of which 1,064,000 customers were located in Arizona, 737,000 in Nevada, and 193,000 in California. Residential and commercial customers represented over 99% of the total customer base. During the twelve months ended March 31, 2017, 54% of operating margin was earned in Arizona, 35% in Nevada, and 11% in California. During this same period, Southwest earned 85% of its operating margin (gas operating revenues less the net cost of gas sold) from residential and small commercial customers, 3% from other sales customers, and 12% from transportation customers. These general patterns are expected to remain materially consistent for the foreseeable future.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recognizes operating revenues from the distribution and transportation of natural gas (and related services) to customers. Operating margin is the measure of gas operating revenues less the net cost of gas sold. Management uses operating margin as a main benchmark in comparing operating results from period to period. The principal factors affecting changes in operating margin are general rate relief (including impacts of infrastructure trackers) and customer growth. 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margin, allowing Southwest to pursue energy efficiency initiatives.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primarily for energy services utilities. Centuri operates in 24 major markets in the United States (primarily as NPL) and in 3 major markets in Canada (as NPL Canada (formerly Link-Line Contractors Ltd.), and W.S. Nicholls). Construction activity is cyclical and can be significantly impacted by changes in weather, general and local economic conditions (including the housing market), interest rates, employment levels, job growth, pipe replacement programs of utilities, and local and federal regulation (including tax rates and incentives). During the past few years, utilities have implemented or modified pipeline integrity management programs to enhance safety pursuant to federal and state mandates. These programs, coupled with recent bonus depreciation tax deduction incentives, have resulted in a significant increase in multi-year pipeline replacement projects throughout the U.S. Generally, revenues are lowest during the first quarter of the year due to less favorable winter weather conditions. Revenues typically improve as more favorable weather conditions occur during the summer and fall months. This is expected in both the U.S. and Canadian markets.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consolidated financial statements and the notes thereto, as well as MD&amp;A included in the 2016 Annual Report to Shareholders, which is incorporated by reference into the 2016 Form 10-K.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5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As needed, certain items are covered in greater detail in later sections of management’s discussion and analysis. </w:t>
      </w:r>
      <w:r>
        <w:rPr>
          <w:rFonts w:ascii="Arial" w:cs="Arial" w:eastAsia="Arial" w:hAnsi="Arial"/>
          <w:sz w:val="18"/>
          <w:szCs w:val="18"/>
          <w:color w:val="auto"/>
        </w:rPr>
        <w:t>As reflected in the table below, the natural gas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accounted for an average of 80% of twelve-month-to-date consolidated net income over the past two years. As such, management’s discussion and analysis is primarily focused on that segment. Natural gas sales are seasonal, peaking during the winter months; therefore, results of operations for interim periods are not necessarily indicative of results for a full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Operating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Period Ended March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7"/>
          </w:tcPr>
          <w:p>
            <w:pPr>
              <w:jc w:val="right"/>
              <w:ind w:right="74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86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Twelve Months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8"/>
          </w:tcPr>
          <w:p>
            <w:pPr>
              <w:jc w:val="right"/>
              <w:ind w:right="10"/>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1"/>
              </w:rPr>
              <w:t>Contribution to net income</w:t>
            </w:r>
          </w:p>
        </w:tc>
        <w:tc>
          <w:tcPr>
            <w:tcW w:w="5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8"/>
                <w:szCs w:val="18"/>
                <w:color w:val="auto"/>
              </w:rPr>
              <w:t>Natural gas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76,938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77,583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118,778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8"/>
                <w:szCs w:val="18"/>
                <w:color w:val="auto"/>
              </w:rPr>
              <w:t>Corporate and administrative</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69,308</w:t>
            </w:r>
          </w:p>
        </w:tc>
        <w:tc>
          <w:tcPr>
            <w:tcW w:w="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141,780</w:t>
            </w:r>
          </w:p>
        </w:tc>
        <w:tc>
          <w:tcPr>
            <w:tcW w:w="0" w:type="dxa"/>
            <w:vAlign w:val="bottom"/>
          </w:tcPr>
          <w:p>
            <w:pPr>
              <w:spacing w:after="0"/>
              <w:rPr>
                <w:sz w:val="1"/>
                <w:szCs w:val="1"/>
                <w:color w:val="auto"/>
              </w:rPr>
            </w:pPr>
          </w:p>
        </w:tc>
      </w:tr>
      <w:tr>
        <w:trPr>
          <w:trHeight w:val="20"/>
        </w:trPr>
        <w:tc>
          <w:tcPr>
            <w:tcW w:w="7360" w:type="dxa"/>
            <w:vAlign w:val="bottom"/>
            <w:gridSpan w:val="5"/>
            <w:vMerge w:val="restart"/>
          </w:tcPr>
          <w:p>
            <w:pPr>
              <w:spacing w:after="0"/>
              <w:rPr>
                <w:sz w:val="20"/>
                <w:szCs w:val="20"/>
                <w:color w:val="auto"/>
              </w:rPr>
            </w:pPr>
            <w:r>
              <w:rPr>
                <w:rFonts w:ascii="Arial" w:cs="Arial" w:eastAsia="Arial" w:hAnsi="Arial"/>
                <w:sz w:val="18"/>
                <w:szCs w:val="18"/>
                <w:color w:val="auto"/>
              </w:rPr>
              <w:t>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5"/>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56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1.46</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Natural Gas Operations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Gas operating revenues</w:t>
            </w:r>
          </w:p>
        </w:tc>
        <w:tc>
          <w:tcPr>
            <w:tcW w:w="5660" w:type="dxa"/>
            <w:vAlign w:val="bottom"/>
            <w:tcBorders>
              <w:top w:val="single" w:sz="8" w:color="CCEEFF"/>
            </w:tcBorders>
            <w:gridSpan w:val="3"/>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89"/>
              </w:rPr>
              <w:t>462,602</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w w:val="89"/>
              </w:rPr>
              <w:t>525,100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w w:val="87"/>
              </w:rPr>
              <w:t>1,258,914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1,426,624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cost of gas sold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146,879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213,600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330,400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523,647</w:t>
            </w:r>
          </w:p>
        </w:tc>
        <w:tc>
          <w:tcPr>
            <w:tcW w:w="0" w:type="dxa"/>
            <w:vAlign w:val="bottom"/>
          </w:tcPr>
          <w:p>
            <w:pPr>
              <w:spacing w:after="0"/>
              <w:rPr>
                <w:sz w:val="1"/>
                <w:szCs w:val="1"/>
                <w:color w:val="auto"/>
              </w:rPr>
            </w:pPr>
          </w:p>
        </w:tc>
      </w:tr>
      <w:tr>
        <w:trPr>
          <w:trHeight w:val="223"/>
        </w:trPr>
        <w:tc>
          <w:tcPr>
            <w:tcW w:w="7360" w:type="dxa"/>
            <w:vAlign w:val="bottom"/>
            <w:gridSpan w:val="5"/>
          </w:tcPr>
          <w:p>
            <w:pPr>
              <w:spacing w:after="0"/>
              <w:rPr>
                <w:sz w:val="20"/>
                <w:szCs w:val="20"/>
                <w:color w:val="auto"/>
              </w:rPr>
            </w:pPr>
            <w:r>
              <w:rPr>
                <w:rFonts w:ascii="Arial" w:cs="Arial" w:eastAsia="Arial" w:hAnsi="Arial"/>
                <w:sz w:val="18"/>
                <w:szCs w:val="18"/>
                <w:color w:val="auto"/>
              </w:rPr>
              <w:t>Operating margin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315,723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311,500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928,514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1st Quarter 2017 Overview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Southwest Gas Holdings, Inc. highlights:</w:t>
      </w:r>
    </w:p>
    <w:p>
      <w:pPr>
        <w:spacing w:after="0" w:line="1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Holding Company reorganization – effective January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Entered into a $100 million credit facility that expires in March 2022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a $150 million Equity Shelf Program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Natural gas operations highlights:</w:t>
      </w:r>
    </w:p>
    <w:p>
      <w:pPr>
        <w:spacing w:after="0" w:line="13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30,000 net new customers (1.5% growth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declined $4.9 million compared to the prior-year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income increased $1.9 million between quarters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Amended credit facility borrowing capacity from $300 million to $400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approved in Arizona general rate case – effective April 2017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Construction services highlights:</w:t>
      </w:r>
    </w:p>
    <w:p>
      <w:pPr>
        <w:spacing w:after="0" w:line="135"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Revenues decreased $14 million compared to the prior-year quarter due to a customer-initiated temporary work stoppage and poor weather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amortization declined $3.3 million compared to the prior-year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5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2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8220" w:type="dxa"/>
            <w:vAlign w:val="bottom"/>
            <w:gridSpan w:val="4"/>
          </w:tcPr>
          <w:p>
            <w:pPr>
              <w:spacing w:after="0"/>
              <w:rPr>
                <w:sz w:val="20"/>
                <w:szCs w:val="20"/>
                <w:color w:val="auto"/>
              </w:rPr>
            </w:pPr>
            <w:r>
              <w:rPr>
                <w:rFonts w:ascii="Arial" w:cs="Arial" w:eastAsia="Arial" w:hAnsi="Arial"/>
                <w:sz w:val="18"/>
                <w:szCs w:val="18"/>
                <w:color w:val="auto"/>
              </w:rPr>
              <w:t>Quarterly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5"/>
          </w:tcPr>
          <w:p>
            <w:pPr>
              <w:jc w:val="center"/>
              <w:ind w:right="143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color w:val="auto"/>
                <w:w w:val="93"/>
              </w:rPr>
              <w:t>March 31,</w:t>
            </w:r>
          </w:p>
        </w:tc>
        <w:tc>
          <w:tcPr>
            <w:tcW w:w="66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center"/>
              <w:ind w:right="7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462,602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525,100</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146,879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213,600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315,723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311,500</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108,679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100,797</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14,013</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131,067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135,945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40" w:type="dxa"/>
            <w:vAlign w:val="bottom"/>
            <w:gridSpan w:val="3"/>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117,468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121,470</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43,887</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840" w:type="dxa"/>
            <w:vAlign w:val="bottom"/>
            <w:gridSpan w:val="3"/>
          </w:tcPr>
          <w:p>
            <w:pPr>
              <w:ind w:left="3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76,938</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77,583</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The contribution to consolidated net income from natural gas operations decreased $645,000 between the first quarters of 2017 and 2016. The decline was primarily due to higher operating expenses, partially offset by increases in operating margin and other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Operating margin increased $4 million between quarters. Approximately $3 million was attributable to customer growth, as nearly 30,000 net new customers were added during the last twelve months. Rate relief in the California jurisdiction provided $1 million in operating margin (see </w:t>
      </w:r>
      <w:r>
        <w:rPr>
          <w:rFonts w:ascii="Arial" w:cs="Arial" w:eastAsia="Arial" w:hAnsi="Arial"/>
          <w:sz w:val="18"/>
          <w:szCs w:val="18"/>
          <w:b w:val="1"/>
          <w:bCs w:val="1"/>
          <w:color w:val="auto"/>
        </w:rPr>
        <w:t>Rates and 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Proceedings</w:t>
      </w:r>
      <w:r>
        <w:rPr>
          <w:rFonts w:ascii="Arial" w:cs="Arial" w:eastAsia="Arial" w:hAnsi="Arial"/>
          <w:sz w:val="18"/>
          <w:szCs w:val="18"/>
          <w:color w:val="auto"/>
        </w:rPr>
        <w: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Operations and maintenance expense increased $7.9 million, or 8%, between quarters due primarily to higher employee-related expenses and general cost increases. Employee-related expenses reflect higher pension and self-insured medical costs, as well as approximately $2.6 million of incremental costs associated with the timing of recognizing expenses for incentive plan grants (including acceleration for retirement-eligible employees).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Depreciation and amortization expense increased $450,000 between quarters primarily due to an increase of $336 million, or 6%, in average gas plant in service for the current quarter compared to the corresponding quarter a year ago. This was attributable to pipeline capacity reinforcement work, franchise requirements, scheduled and accelerated pipe replacement activities, and new business, which collectively resulted in increased depreciation expense. The depreciation increase was mostly offset by a decline of approximately $2.2 million in amortization related to the recovery of regulatory assets.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$769,000, or 5%, between quarters primarily due to higher property taxes associated with net plant additions and increased property taxes in Arizona.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which principally includes returns on company-owned life insurance (“COLI”) policies and non-utility expenses, increased $1.9 million between quarters. The current quarter reflects $2.8 million of COLI-related income associated with COLI policy cash surrender value increases, while the prior-year quarter reflected $900,000 of COLI-related income.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interest deductions increased $980,000 between periods, primarily due to the September 2016 issuance of $300 million of senior notes, partially offset by reductions associated with the redemption of debt ($100 million of 4.85% IDRBs in July 2016, and $24.9 million of 4.75% IDRBs in September 2016).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5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96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796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5"/>
          </w:tcPr>
          <w:p>
            <w:pPr>
              <w:jc w:val="center"/>
              <w:ind w:right="1450"/>
              <w:spacing w:after="0"/>
              <w:rPr>
                <w:sz w:val="20"/>
                <w:szCs w:val="20"/>
                <w:color w:val="auto"/>
              </w:rPr>
            </w:pPr>
            <w:r>
              <w:rPr>
                <w:rFonts w:ascii="Arial" w:cs="Arial" w:eastAsia="Arial" w:hAnsi="Arial"/>
                <w:sz w:val="14"/>
                <w:szCs w:val="14"/>
                <w:color w:val="auto"/>
                <w:w w:val="93"/>
              </w:rPr>
              <w:t>Twelve Months Ended</w:t>
            </w:r>
          </w:p>
        </w:tc>
      </w:tr>
      <w:tr>
        <w:trPr>
          <w:trHeight w:val="167"/>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color w:val="auto"/>
                <w:w w:val="96"/>
              </w:rPr>
              <w:t>March 31,</w:t>
            </w:r>
          </w:p>
        </w:tc>
        <w:tc>
          <w:tcPr>
            <w:tcW w:w="78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tcPr>
          <w:p>
            <w:pPr>
              <w:jc w:val="center"/>
              <w:ind w:right="9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1,258,914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1,426,624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330,400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523,647</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902,977</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409,606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398,486</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220,525</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50,409</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233,557</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64,229</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174,005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170,773</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60,486</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110,287</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Contribution to consolidated net income from natural gas operations increased by $8.5 million between the twelve-month periods of 2017 and 2016. The increase was primarily due to higher other income.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increased $26 million between periods including $9 million attributable to customer growth and a combined $8 million of rate relief in the California jurisdiction and Paiute Pipeline Company. Operating margin attributable to the Nevada conservation and energy efficiency surcharge implemented in January 2016 provided $7 million of the increase in the current twelve-month period due to the date of implementation. Operating margin associated with other recoveries of regulatory assets, infrastructure replacement mechanisms, customers outside the decoupling mechanisms, and other miscellaneous revenues improved $2 million.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$11.1 million, or 3%, between periods primarily due to general cost increases and higher employee medical expenses, partially offset by lower pension costs. In addition, expenses for pipeline integrity management and damage prevention programs increased (collectively, $1.8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$13.4 million, or 6%, between periods. Average gas plant in service for the current period increased $349 million, or 6%, as compared to the prior period. This was attributable to pipeline capacity reinforcement work, franchise requirements, scheduled and accelerated pipe replacement activities, and new business, which collectively resulted in increased depreciation expense.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Taxes other than income taxes increased $2.7 million between periods primarily due to higher property taxes principally related to net plant additions and increased property taxes in Arizona.</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income increased $8.7 million between the twelve-month periods of 2017 and 2016. The current period reflects a $9.3 million increase in COLI policy cash surrender values and recognized death benefits (combined), while the prior-year period included a $900,000 COLI-related loss.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interest deductions increased $3.7 million between periods, primarily due to higher interest expense associated with deferred purchased gas adjustment (“PGA”) balances and the issuance of $300 million of senior notes. The increase was substantially offset by reductions associated with the redemption of debt ($20 million of 5.25% IDRBs in September 2015, $100 million of 4.85% IDRBs in July 2016, and $24.9 million of 4.75% IDRBs in September 2016).</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5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1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8140" w:type="dxa"/>
            <w:vAlign w:val="bottom"/>
            <w:gridSpan w:val="4"/>
          </w:tcPr>
          <w:p>
            <w:pPr>
              <w:spacing w:after="0"/>
              <w:rPr>
                <w:sz w:val="20"/>
                <w:szCs w:val="20"/>
                <w:color w:val="auto"/>
              </w:rPr>
            </w:pPr>
            <w:r>
              <w:rPr>
                <w:rFonts w:ascii="Arial" w:cs="Arial" w:eastAsia="Arial" w:hAnsi="Arial"/>
                <w:sz w:val="18"/>
                <w:szCs w:val="18"/>
                <w:color w:val="auto"/>
              </w:rPr>
              <w:t>Quarterly Analysis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0" w:type="dxa"/>
            <w:vAlign w:val="bottom"/>
            <w:gridSpan w:val="7"/>
          </w:tcPr>
          <w:p>
            <w:pPr>
              <w:jc w:val="center"/>
              <w:ind w:right="149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435"/>
              <w:spacing w:after="0"/>
              <w:rPr>
                <w:sz w:val="20"/>
                <w:szCs w:val="20"/>
                <w:color w:val="auto"/>
              </w:rPr>
            </w:pPr>
            <w:r>
              <w:rPr>
                <w:rFonts w:ascii="Arial" w:cs="Arial" w:eastAsia="Arial" w:hAnsi="Arial"/>
                <w:sz w:val="14"/>
                <w:szCs w:val="14"/>
                <w:color w:val="auto"/>
                <w:w w:val="96"/>
              </w:rPr>
              <w:t>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5"/>
          </w:tcPr>
          <w:p>
            <w:pPr>
              <w:jc w:val="center"/>
              <w:ind w:right="11"/>
              <w:spacing w:after="0" w:line="142" w:lineRule="exact"/>
              <w:rPr>
                <w:sz w:val="20"/>
                <w:szCs w:val="20"/>
                <w:color w:val="auto"/>
              </w:rPr>
            </w:pPr>
            <w:r>
              <w:rPr>
                <w:rFonts w:ascii="Arial" w:cs="Arial" w:eastAsia="Arial" w:hAnsi="Arial"/>
                <w:sz w:val="14"/>
                <w:szCs w:val="14"/>
                <w:color w:val="auto"/>
                <w:w w:val="93"/>
              </w:rPr>
              <w:t>(Thousands of dollars)</w:t>
            </w:r>
          </w:p>
        </w:tc>
        <w:tc>
          <w:tcPr>
            <w:tcW w:w="1480" w:type="dxa"/>
            <w:vAlign w:val="bottom"/>
            <w:gridSpan w:val="2"/>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192,135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206,148</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191,956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193,382</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(12,354)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Contribution to consolidated net income (loss) attributable to Centuri</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Net contribution from construction services declined in the current quarter by $5.2 million when compared to the prior-year quarter. Results were negatively impacted by a significant customer initiating a temporary work stoppage during the first quarter of 2017 due to regulatory issues attributable to requalifying employees of all contractors working on its natural gas system. Poor weather also negatively impacted current-period results. These impacts were partially offset by lower depreciation and amortization.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decreased $14 million, or 7%, in the first quarter of 2017 when compared to the prior-year quarter. The suspension of work during the first quarter of 2017 noted above resulted in a $10.5 million reduction in revenue and a $3.6 million pre-tax loss. Additionally, inclement weather in several operating areas negatively impacted revenues and reduced productivity and revenues in the current quarter, whereas unseasonably warm weather during the prior-year quarter allowed for incremental work to be completed.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Construction expenses decreased $1.4 million, or 1%, between quarters. The decline in construction expenses is disproportionate to that noted with regard to revenues above due in part to logistics surrounding the timing and length of the temporary work stoppage with the significant customer, and to higher labor costs incurred to complete work during inclement weather conditions in the current-year quarter. Gains on sale of equipment (reflected as an offset to construction expenses) were approximately $339,000 and $1.3 million for the first quarters of 2017 and 2016,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$3.3 million between quarters, primarily due to a $3.5 million reduction in depreciation associated with the extension of the estimated useful lives of certain depreciable equipment during the past 12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5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SOUTHWEST GAS HOLDINGS, INC.</w:t>
            </w:r>
          </w:p>
        </w:tc>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960" w:type="dxa"/>
            <w:vAlign w:val="bottom"/>
            <w:gridSpan w:val="5"/>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385"/>
        </w:trPr>
        <w:tc>
          <w:tcPr>
            <w:tcW w:w="28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4"/>
        </w:trPr>
        <w:tc>
          <w:tcPr>
            <w:tcW w:w="796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5"/>
          </w:tcPr>
          <w:p>
            <w:pPr>
              <w:jc w:val="center"/>
              <w:ind w:right="1450"/>
              <w:spacing w:after="0"/>
              <w:rPr>
                <w:sz w:val="20"/>
                <w:szCs w:val="20"/>
                <w:color w:val="auto"/>
              </w:rPr>
            </w:pPr>
            <w:r>
              <w:rPr>
                <w:rFonts w:ascii="Arial" w:cs="Arial" w:eastAsia="Arial" w:hAnsi="Arial"/>
                <w:sz w:val="14"/>
                <w:szCs w:val="14"/>
                <w:color w:val="auto"/>
                <w:w w:val="93"/>
              </w:rPr>
              <w:t>Twelve Months Ended</w:t>
            </w:r>
          </w:p>
        </w:tc>
      </w:tr>
      <w:tr>
        <w:trPr>
          <w:trHeight w:val="167"/>
        </w:trPr>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color w:val="auto"/>
                <w:w w:val="96"/>
              </w:rPr>
              <w:t>March 31,</w:t>
            </w:r>
          </w:p>
        </w:tc>
        <w:tc>
          <w:tcPr>
            <w:tcW w:w="78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2016</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tcPr>
          <w:p>
            <w:pPr>
              <w:jc w:val="center"/>
              <w:ind w:right="9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1,125,065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1,034,029</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1,022,997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917,235</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57,479</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52,804</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80" w:type="dxa"/>
            <w:vAlign w:val="bottom"/>
            <w:gridSpan w:val="4"/>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32,619</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360" w:type="dxa"/>
            <w:vAlign w:val="bottom"/>
          </w:tcPr>
          <w:p>
            <w:pPr>
              <w:spacing w:after="0"/>
              <w:rPr>
                <w:sz w:val="18"/>
                <w:szCs w:val="18"/>
                <w:color w:val="auto"/>
              </w:rPr>
            </w:pPr>
          </w:p>
        </w:tc>
      </w:tr>
      <w:tr>
        <w:trPr>
          <w:trHeight w:val="223"/>
        </w:trPr>
        <w:tc>
          <w:tcPr>
            <w:tcW w:w="7960" w:type="dxa"/>
            <w:vAlign w:val="bottom"/>
            <w:gridSpan w:val="5"/>
          </w:tcPr>
          <w:p>
            <w:pPr>
              <w:ind w:left="1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27,421</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31,493</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Contribution to consolidated net income from construction services for the twelve-month period ended March 31, 2017 decreased $4.1 million compared to the same period of 2016. The decrease is primarily due to higher construction costs relative to increased revenues, resulting in pre-tax losses on a couple of notable projects, partially offset by a decline in depreciation and amortization.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$91 million, or 9%, in the current twelve-month period compared to the same period of 2016 primarily due to additional pipe replacement work for natural gas distribution customers. During the past several years, Centuri has focused its efforts on obtaining pipe replacement work under both blanket contracts and incremental bid projects. For both the twelve months ended March 31, 2017 and 2016, revenues from replacement work provided over 60% of total revenues.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Construction expenses increased $105.8 million, or 12% between periods, due to additional pipe replacement work, higher labor costs experienced due to changes in the mix of work with existing customers, start-up costs associated with new customer contracts, and greater operating expenses to support increased growth in operations. Additionally, the temporary stoppage with a significant customer during the first quarter of 2017, including logistics surrounding the timing and length of the work stoppage, resulted in costs disproportionate to revenues and a pre-tax loss of $3.6 million. Gains on sale of equipment (reflected as an offset to construction expenses) were $6.2 million and $2.9 million for the twelve-month periods of 2017 and 2016, respectively.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decreased $5.1 million between the current and prior-year periods primarily due to an $8.8 million reduction in depreciation associated with the extension of the estimated useful lives of certain depreciable equipment over the last twelve months, partially offset by a $3.7 million increase in depreciation on additional equipment purchased to support the growing volume of work being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interest deductions decreased $718,000 between periods primarily due to lower interest rates and lower average outstanding borrowings.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5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Rates and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Arizona Jurisdiction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Southwest filed a general rate application with the Arizona Corporation Commission (“ACC”) in May 2016 requesting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authorized annual operating revenues of approximately $32 million, or 4.2%, to reflect existing levels of expense and requested returns, in addition to reflecting capital investments made by Southwest since June 2010. The application requested an overall rate of return of 7.82% on an original cost rate base of $1.336 billion, a 10.25% return on common equity, and a capital structure utilizing 52% common equity. The filing included a depreciation study that supported a proposal to reduce currently effective depreciation expense by approximately $42 million, which was considered in the overall requested amount. This expense reduction coupled with the requested revenue increase, resulted in a net annual operating income increase request of $74 million. A settlement was reached among several parties in December 2016 and a formal draft settlement was filed in January 2017. Hearings were held in February 2017, and the ACC approved the settlement agreement in April 2017. The settlement provides for an overall operating revenue increase of $16 million and the capital structure and cost of capital as proposed by Southwest, with the exception of the return on common equity, which was set at 9.50%. Depreciation expense is expected to be reduced by $44.7 million, for a combined net annual operating income increase of $60.7 million. Other key elements of the settlement include approval of the continuation and expansion of the current Customer-Owned Yard Line (“COYL”) program (adding the ability to seek out COYLs through a targeted approach and mobilization of work crews for replacement), a property tax mechanism to defer changes in property tax expense for recovery in the next general rate case, implementation of a vintage steel pipe replacement program, and a continuation of the current decoupled rate design, excluding a winter-period adjustment to rates, making the mechanism fundamentally similar to that which exists in Nevada. The settlement also includes a three-year rate case moratorium prohibiting a new application to adjust base rates from being filed prior to May 2019. New rates were effective April 2017.</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LNG (“Liquefied Natural Gas”) Facility</w:t>
      </w:r>
      <w:r>
        <w:rPr>
          <w:rFonts w:ascii="Arial" w:cs="Arial" w:eastAsia="Arial" w:hAnsi="Arial"/>
          <w:sz w:val="17"/>
          <w:szCs w:val="17"/>
          <w:color w:val="auto"/>
        </w:rPr>
        <w:t>. In January 2014, Southwest filed an application with the ACC seeking preapproval to construct,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Following the December 2014 preapproval, Southwest purchased the site for the facility and completed detailed engineering design specifications for the purpose of soliciting bids for the engineering, procurement and construction (“EPC”) of the facility. Southwest solicited requests for proposals for the EPC phase of the project, and in October 2016 made a filing with the ACC to modify the previously issued Order to update the pre-approved costs to reflect a not-to-exceed amount of $80 million, which was approved by the ACC in December 2016. Through March 2017, Southwest has incurred approximately $5.3 million in capital expenditures toward the project (including land acquisition costs). Construction is expected to commence in September 2017 and be completed by the end of 2019.</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COYL Program. </w:t>
      </w:r>
      <w:r>
        <w:rPr>
          <w:rFonts w:ascii="Arial" w:cs="Arial" w:eastAsia="Arial" w:hAnsi="Arial"/>
          <w:sz w:val="16"/>
          <w:szCs w:val="16"/>
          <w:color w:val="auto"/>
        </w:rPr>
        <w:t>Southwest received approval, in connection with an earlier Arizona general rate case, to implement a program to conduct leak surveys, and if</w:t>
      </w:r>
      <w:r>
        <w:rPr>
          <w:rFonts w:ascii="Arial" w:cs="Arial" w:eastAsia="Arial" w:hAnsi="Arial"/>
          <w:sz w:val="16"/>
          <w:szCs w:val="16"/>
          <w:i w:val="1"/>
          <w:iCs w:val="1"/>
          <w:color w:val="auto"/>
        </w:rPr>
        <w:t xml:space="preserve"> </w:t>
      </w:r>
      <w:r>
        <w:rPr>
          <w:rFonts w:ascii="Arial" w:cs="Arial" w:eastAsia="Arial" w:hAnsi="Arial"/>
          <w:sz w:val="16"/>
          <w:szCs w:val="16"/>
          <w:color w:val="auto"/>
        </w:rPr>
        <w:t>leaks were present, to replace and relocate service lines and meters for Arizona customers whose meters were set off from the customer’s home, which is not a traditional configuration. Customers with this configuration were previously responsible for the cost of maintaining these lines and were subject to the immediate cessation of natural gas service if low-pressure leaks occurred. Effective June 2013, the ACC authorized a surcharge to recover the costs of depreciation and pre-tax return on the costs incurred to replace and relocate service lines and meters. The surcharge is revised annually as the program progresses. In 2014, Southwest received approval to add a “Phase II” component to the COYL program to include the replacement of non-leaking COYLs. In the most recent annual COYL filing made in February 2017, Southwest requested to establish an annual surcharge to collect $1.8 million related to the revenue requirement associated with $12.1 million in capital projects completed under both Phase I and Phase II during 2016. In April 2017, the ACC issued a proposed decision approving the surcharge application, expected to be effective in June 2017, upon final approval. All capital work completed in earlier years was incorporated in Southwest’s Arizona rate base in connection with the its recently completed general rate proceeding, as discussed above.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California Jurisdiction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2016, Southwest made its latest annual post-test year (“PTY”) attrition filing with the California Public Utilities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(“CPUC”), requesting annual revenue increases of $2.1 million in southern California, $513,000 in northern California, and $256,000 for South Lake Tahoe. This filing was approved in December 2016 and rates were made effective in January 2017. At the same time, rates were updated to recover the regulatory asset associated with the revenue decoupling mechanism, or margin tracker.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2016, Southwest filed to modify the most recent general rate case decision to extend the current rate case cycle by two years, including extension of the annual PTY attrition adjustments through 2020 from 2018. That latest rate case decision would have required Southwest to file its next general rate application by September 2017. Southwest believes this extension would be in the public interest as it allows customers two additional years of reasonable and relatively stable rates, and would not be expected to be detrimental to Southwest. Expedited consideration was requested; however, a decision regarding extending the rate case filing deadline has not yet been received. If a decision is not issued prior to the required application date, or one is issued denying the ability to extend the filing deadline, Southwest will file the general rate application by the September deadline.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Jurisdiction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General Revenues Adjustment. </w:t>
      </w:r>
      <w:r>
        <w:rPr>
          <w:rFonts w:ascii="Arial" w:cs="Arial" w:eastAsia="Arial" w:hAnsi="Arial"/>
          <w:sz w:val="17"/>
          <w:szCs w:val="17"/>
          <w:color w:val="auto"/>
        </w:rPr>
        <w:t>As part of the Annual Rate Adjustment (“ARA”) filing with the Public Utilities Commission of Nevada (“PUCN”) in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2016, Southwest requested authorization to adjust rates associated with its revenue decoupling mechanism (General Revenues Adjustment, or “GRA”). The ARA, including amounts to refund the over-collected balance in the accounts associated with this mechanism, was approved in December 2016, with rates effective January 2017. The rate adjustment is expected to refund approximately $16.7 million during 2017. While there is no impact to net income overall from this rate adjustment, operating cash flows will be reduced as the regulatory liability balance is refunded.</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Infrastructure Replacement Mechanisms. </w:t>
      </w:r>
      <w:r>
        <w:rPr>
          <w:rFonts w:ascii="Arial" w:cs="Arial" w:eastAsia="Arial" w:hAnsi="Arial"/>
          <w:sz w:val="16"/>
          <w:szCs w:val="16"/>
          <w:color w:val="auto"/>
        </w:rPr>
        <w:t>In January 2014, the PUCN approved final rules for a mechanism to defer and recover certain costs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accelerated replacement of infrastructure that does not currently provide incremental revenues. Associated with such mechanism, each year, Southwest files a Gas Infrastructure Replacement (“GIR”) Advance Application requesting authority to replace qualifying infrastructure and files separately as part of an annual GIR filing to reset the recovery surcharge, related to previously approved and completed projects. For projects approved in 2015 and completed in 2016, the annualized revenue was approximately $4.5 million. In September 2016, Southwest filed to adjust the GIR surcharge to recover the annual revenue requirement for amounts previously deferred. This filing was approved in December 2016 and new rates became effective January 2017. In June 2016, Southwest filed an Advance Application for projects expected to be completed during 2017, proposing approximately $60 million of accelerated pipe replacement to include early vintage plastic, early vintage steel, and a COYL program. The COYL program, while not large in magnitude, represents the first of its kind in Nevada, modeled after the program in place in Southwest’s Arizona jurisdiction for several years. The PUCN issued an Order on the Advance Application in October 2016, approving approximately $57.3 million of replacement work with an annualized revenue requirement estimated at approximately $5.3 million. The proposed COYL program was approved for the northern Nevada rate jurisdiction, but consideration for the southern Nevada rate jurisdiction was deferred until 2020, at which time certain early vintage plastic pipe programs are expected to be completed.</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Subsequent to three GIR rate applications, the GIR regulations require Southwest to either file a general rate case or a request for waiver before it can file another GIR advance application. The October 2016 rate application was the third such filing by Southwest subject to these regulations, necessitating a request for waiver to permit Southwest to proceed with the GIR program without filing a general rate case in 2017. This waiver was approved by the PUCN in January 2017; however, in order to continue the GIR program in 2018, a general rate case will need to be filed before June 2018.</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Conservation and Energy Efficiency (“CEE”). </w:t>
      </w:r>
      <w:r>
        <w:rPr>
          <w:rFonts w:ascii="Arial" w:cs="Arial" w:eastAsia="Arial" w:hAnsi="Arial"/>
          <w:sz w:val="18"/>
          <w:szCs w:val="18"/>
          <w:color w:val="auto"/>
        </w:rPr>
        <w:t>In June 2015, Southwest requested recovery of energy efficiency and conservation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including promotions and incentives for various programs, as originally approved for deferral by the PUCN effective November 2009. While recovery of initial program costs was approved as part of the most recent general rate case, amounts incurred subsequent to May 2012 (the certification period) continued to be deferred. Approved rates for the post-May 2012 costs deferred (including previously expected program expenditures for 2016) became effective January 2016 and resulted in annualized margin increases of $2 million in northern Nevada and $8.5 million in southern Nevada. As part of the ARA filing approved in December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57"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2016, Southwest modified rates, effective January 2017, expected to result in annualized margin decreases of $1.4 million in northern Nevada and $1.3 million in southern Nevada. There is, however, no anticipated impact to net income overall from these lower recoveries as amortization expense will also be reduced.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Regulatory Commission (“FERC”) Jurisdiction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2018 Expansion. </w:t>
      </w:r>
      <w:r>
        <w:rPr>
          <w:rFonts w:ascii="Arial" w:cs="Arial" w:eastAsia="Arial" w:hAnsi="Arial"/>
          <w:sz w:val="17"/>
          <w:szCs w:val="17"/>
          <w:color w:val="auto"/>
        </w:rPr>
        <w:t>In response to growing demand in the Carson City and South Lake Tahoe areas of northern California and northern Nevada, Paiute Pipeline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(“Paiute”) evaluated shipper interest in acquiring additional transportation capacity and executed precedent agreements for incremental transportation capacity with Southwest during the third quarter of 2016. In October 2016, Paiute initiated a pre-filing review process with the FERC for an expansion project, which was approved during the same month. The project is anticipated to consist of 8.4 miles of additional transmission pipeline infrastructure at an approximate cost of $17 million. A formal certificate application is expected to be filed in mid-2017, which will include an applicant environmental assessment. If the process progresses as planned, the additional facilities could be in place by the end of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 Filings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March 31, 2017, under-collections in Arizona, Northern Nevada, and California resulted in an asset of $9.1 million and over-collections in Southern Nevada resulted in a liability of $27.1 million on the Company’s and Southwest’s condensed consolidated balance sheets. Gas cost rates paid to suppliers have been higher than amounts recovered from customers during the first three months of 2017, resulting in fluctuations since December 31, 2016. Tariff rates have been adjusted in all jurisdictions during this period.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(thousands of dollars):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Arizona</w:t>
            </w:r>
          </w:p>
        </w:tc>
        <w:tc>
          <w:tcPr>
            <w:tcW w:w="1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Northern Nevada</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1,069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(3,339)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(12,582)</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Southern Nevada</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(27,104)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(66,788)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(63,416)</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California</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r>
      <w:tr>
        <w:trPr>
          <w:trHeight w:val="27"/>
        </w:trPr>
        <w:tc>
          <w:tcPr>
            <w:tcW w:w="3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(17,962)</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(87,868)</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(100,987)</w:t>
            </w:r>
          </w:p>
        </w:tc>
      </w:tr>
      <w:tr>
        <w:trPr>
          <w:trHeight w:val="20"/>
        </w:trPr>
        <w:tc>
          <w:tcPr>
            <w:tcW w:w="3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on hand and cash flows from operations in the past twelve months have generally provided the majority of cash used in investing activities (primarily for construction expenditures and property additions). During the past three years, cost savings were achieved from debt refinancing and strategic debt redemptions. Certain pipe replacement work was accelerated during these years to take advantage of bonus depreciation tax incentives and to fortify system integrity and reliability. The Company’s capitalization strategy is to maintain an appropriate balance of equity and debt to maintain strong investment-grade credit ratings, which should minimize interest costs.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Corporation: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Cash flows provided by operating activities decreased $141 million in the first three months of 2017 as compared to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2016. The decline in operating cash flows was primarily attributable to the change in deferred purchased gas costs, which favorably impacted the prior-year quarter, but had the opposite impact in the current quarter. Refer to </w:t>
      </w:r>
      <w:r>
        <w:rPr>
          <w:rFonts w:ascii="Arial" w:cs="Arial" w:eastAsia="Arial" w:hAnsi="Arial"/>
          <w:sz w:val="16"/>
          <w:szCs w:val="16"/>
          <w:b w:val="1"/>
          <w:bCs w:val="1"/>
          <w:color w:val="auto"/>
        </w:rPr>
        <w:t>Results of Natural Gas Operations</w:t>
      </w:r>
      <w:r>
        <w:rPr>
          <w:rFonts w:ascii="Arial" w:cs="Arial" w:eastAsia="Arial" w:hAnsi="Arial"/>
          <w:sz w:val="16"/>
          <w:szCs w:val="16"/>
          <w:color w:val="auto"/>
        </w:rPr>
        <w:t xml:space="preserve"> and </w:t>
      </w:r>
      <w:r>
        <w:rPr>
          <w:rFonts w:ascii="Arial" w:cs="Arial" w:eastAsia="Arial" w:hAnsi="Arial"/>
          <w:sz w:val="16"/>
          <w:szCs w:val="16"/>
          <w:b w:val="1"/>
          <w:bCs w:val="1"/>
          <w:color w:val="auto"/>
        </w:rPr>
        <w:t>Rates and Regulatory Proceedings</w:t>
      </w:r>
      <w:r>
        <w:rPr>
          <w:rFonts w:ascii="Arial" w:cs="Arial" w:eastAsia="Arial" w:hAnsi="Arial"/>
          <w:sz w:val="16"/>
          <w:szCs w:val="16"/>
          <w:color w:val="auto"/>
        </w:rPr>
        <w: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$16.6 million in the first three months of 2017 as compared to the same period of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additional construction expenditures, including scheduled and accelerated pipe replacement.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Net cash used in financing activities decreased $152 million in the first three months of 2017 as compared to the same period of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decline was primarily due to the repayment of borrowings under the credit facility and commercial paper program in the prior-year quarter.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consolidated operating activities decreased $152.7 million in the first three months of 2017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of 2016. The decline in operating cash flows was primarily attributable to the change in deferred purchased gas costs noted above.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$2.2 million in the first three months of 2017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2016. The increase was primarily due to additional construction expenditures, including scheduled and accelerated pipe replacement, partially offset by a reduction in equipment purchases by Centuri.</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used in consolidated financing activities decreased $145.3 million in the first three months of 2017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2016. The decline was primarily due to the repayment of borrowings under the credit facility and commercial paper program in the prior-year quarter. Dividends paid increased in the first quarter of 2017 as compared to the first quarter of 2016 as a result of an increase in the quarterly dividend rate and an increase in the number of shares outstanding.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approximately 67,000 additional shares of common stock collectively through the Restricted Stock/Unit Plan and the Management Incentive Plan.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natural gas operations and construction services segments. Each business activity is generally responsible for securing its own financing 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twelve-month period ended March 31, 2017, construction expenditures for the natural gas operations segment were $468 million. The majority of these expenditures represented costs associated with scheduled and accelerated replacement of existing transmission, distribution, and general plant. Cash flows from operating activities of Southwest were $368 million during this time and provided approximately 67% of construction expenditures and dividend requirements.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Southwest estimates natural gas segment construction expenditures during the three-year period ending December 31, 2019 will be between $1.6 billion and $1.8 billion. Of this amount, approximately $570 million is expected to be incurred in 2017. Southwest plans to continue, as appropriate, to request regulatory support to accelerate projects that improve system flexibility and reliability (including replacement of early vintage plastic and steel pipe). This includes the recent approval in Nevada to complete $57.3 million in accelerated replacement projects in Nevada in 2017 as well as programs included in the recently approved Arizona general rate case settlement (the continuation of the COYL program and implementation of a vintage steel pipe replacement program). Southwest may expand existing, or initiate new, programs. If efforts continue to be successful, significant replacement activities will be expected to continue well beyond the next few years. See also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xml:space="preserve"> for discussion of Nevada infrastructure, Arizona COYL, and an LNG facility. During the three-year period, cash flows from operating activities of Southwest are expected to provide approximately 60% to 70% of the funding for gas operations total construction expenditures and dividend requirements. Any additional cash requirements are expected to be provided by existing credit facilities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5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and/or other external financing sources. The timing, types, and amounts of any additional external financings will be dependent on a number of factors, including the cost of gas purchases, conditions in the capital markets, timing and amounts of rate relief, growth levels in Southwest’s service areas, and earnings. External financings could include the issuance of debt securities, bank and other short-term borrowings, and other forms of financing.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2015, the Protecting Americans from Tax Hikes Act of 2015 (“PATH Act”) was enacted extending the 50% bonus depreciation tax deduction for qualified property acquired or constructed and placed in-service during 2015 (and additional years as noted below) as well as other tax deductions, credits, and incentives. The bonus depreciation tax deduction will be phased out over five years. The PATH Act provides for a 50% bonus depreciation tax deduction in 2015 through 2017, 40% in 2018, 30% in 2019, and no deduction after 2019. Based on forecasted qualifying construction expenditures, Southwest estimates the bonus depreciation provision of the PATH Act will defer the payment of approximately $30 million of federal income taxes for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Dividends are payable on the Company’s common stock at the discretion of the Board of Directors (“Board”). In setting the dividend rate, the Board considers, among other factors, current and expected future earnings levels, our ongoing capital expenditure plans and expected external funding needs, our payout ratio, and our ability to maintain strong credit ratings and liquidity. The Company has paid dividends on its common stock since 1956 and has increased that dividend each year since 2007. In February 2017, the Board elected to increase the quarterly dividend from $0.45 to $0.495 per share, representing a 10% increase, effective with the June 2017 payment. The Board currently targets a payout ratio of 55% to 65% of consolidated earnings per share.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have historically had the most significant impact on liquidity.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2017, the combined balance in the PGA accounts totaled an over-collection of $18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2017, Southwest Gas Holdings, Inc. entered into a credit facility with a borrowing capacity of $100 million that expires in March 2022. The Company intends to utilize this facility for short-term financing needs. At March 31, 2017, no borrowings were outstanding on this facility.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Southwest Gas Corporation amended its credit facility, increasing the borrowing capacity from $300 million to $400 million, and extended the term of the facility from March 2021 to March 2022. Southwest continues to designate $150 million of the facility for long-term borrowing needs and the remaining $250 million for working capital purposes. The maximum amount outstanding on the credit facility (including a commercial paper program, as noted below) during the first quarter of 2017 was $70 million. At March 31, 2017, $15 million was outstanding on the long-term portion of the credit facility. The credit facility can be used as necessary to meet liquidity requirements, including temporarily financing under-collected PGA balances, if any, or meeting the refund needs of over-collected balances. This credit facility has been adequate for Southwest’s working capital needs outside of funds raised through operations and other types of external financing.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5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commercial paper program are calculated at the current commercial paper rate during the borrowing term. At March 31, 2017, no borrowings were outstanding under this program.</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 has a $300 million secured revolving credit and term loan facility that is scheduled to expire in October 2019. The term loan facility portion had an initial limit of approximately $150 million, which was reached in 2014 and is in the process of being repaid ($105 million was outstanding at March 31, 2017). No further borrowing is permitted under this portion of the facility. The secured revolving credit facility portion also has a limit of $150 million; amounts borrowed and repaid under this portion of the facility are available to be re-borrowed. The maximum amount outstanding on the credit facility during the first quarter of 2017 was $51.1 million. At March 31, 2017, $51.1 million was outstanding on the Centuri secured revolving credit facility. At March 31, 2017, there was approximately $85 million, net of letters of credit, available under the line of credit.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Issuer credit ratings for the Company by Standard &amp; Poor’s Ratings Services, Moody’s Investors Service, Inc. and Fitch Ratings were established at the time of the holding company reorganization, and the separate issuer credit ratings of Southwest were unchanged as a result of the reorganization. There were no changes to the credit ratings of the Company or Southwest during the first quarter of 2017. In connection with the reorganization, certain structural and operational “ring-fencing” measures were implemented that are intended to enhance the credit profile of Southwest. They include the creation of Southwest Utility Group, Inc. (“Utility Group”), a subsidiary of the Company, which is the direct parent of Southwest and whose operations are limited to owning and holding equity interests in Southwest, and provisions in the bylaws of both Southwest and Utility Group requiring each to have an independent director that does not serve on the board of the other affiliated entity and to manage and conduct its affairs as if each is an independent entity (including a prohibition on commingling of funds or pledging assets for the benefit of the other and restrictions on affiliate transactions).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ratios of earnings to fixed charges for the Company. Due to the seasonal nature of the Company’s business, these ratios are computed on a twelve-month basis: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2320" w:type="dxa"/>
            <w:vAlign w:val="bottom"/>
            <w:gridSpan w:val="4"/>
          </w:tcPr>
          <w:p>
            <w:pPr>
              <w:ind w:left="260"/>
              <w:spacing w:after="0"/>
              <w:rPr>
                <w:sz w:val="20"/>
                <w:szCs w:val="20"/>
                <w:color w:val="auto"/>
              </w:rPr>
            </w:pPr>
            <w:r>
              <w:rPr>
                <w:rFonts w:ascii="Arial" w:cs="Arial" w:eastAsia="Arial" w:hAnsi="Arial"/>
                <w:sz w:val="14"/>
                <w:szCs w:val="14"/>
                <w:color w:val="auto"/>
              </w:rPr>
              <w:t>For the Twelve Months Ended</w:t>
            </w:r>
          </w:p>
        </w:tc>
      </w:tr>
      <w:tr>
        <w:trPr>
          <w:trHeight w:val="123"/>
        </w:trPr>
        <w:tc>
          <w:tcPr>
            <w:tcW w:w="63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3"/>
              </w:rPr>
              <w:t>March 31,</w:t>
            </w: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December 31,</w:t>
            </w:r>
          </w:p>
        </w:tc>
        <w:tc>
          <w:tcPr>
            <w:tcW w:w="60" w:type="dxa"/>
            <w:vAlign w:val="bottom"/>
          </w:tcPr>
          <w:p>
            <w:pPr>
              <w:spacing w:after="0"/>
              <w:rPr>
                <w:sz w:val="10"/>
                <w:szCs w:val="10"/>
                <w:color w:val="auto"/>
              </w:rPr>
            </w:pPr>
          </w:p>
        </w:tc>
      </w:tr>
      <w:tr>
        <w:trPr>
          <w:trHeight w:val="167"/>
        </w:trPr>
        <w:tc>
          <w:tcPr>
            <w:tcW w:w="6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are defined as the sum of pretax income plus fixed charges. Fixed charges consist of all interest expense including capitalized interest, one-third of rent expense (which approximates the interest component of such expense), and net amortized debt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bonus depreciation tax deductions, amount and timing for completion of estimated future construction expenditures, including the LNG facility in southern Arizona, the cost of the 2018 Paiute expansion project in northern Nevada and northern California, forecasted operating cash flows and results of operations, net earnings impacts from gas infrastructure replacement surcharges, funding sources of cash requirements, amounts generally expected to be reflected in 2017 or future period revenues from regulatory rate proceedings including amounts resulting from the settled Arizona general rate case, rates and surcharges, PGA, and other rate adjustments, the expected CPUC approval of the request to extend the required application date for the next California general rate case and the annual PTY attrition adjustments through 2020, sufficiency of working capital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5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and current credit facilities, bank lending practices, the Company’s views regarding its liquidity position, ability to raise funds and receive external financing capacity and the intent and ability to issue common stock under the Equity Shelf Program, future dividend increases and the Board’s current target dividend payout ratio, pension and post-retirement benefits, certain benefits of tax acts, the effect of any rate changes or regulatory proceedings, impacts of accounting standard updates, infrastructure replacement mechanisms and the COYL program, statements regarding future gas prices, gas purchase contracts and derivative financial instruments, recoverability of regulatory assets, the impact of certain legal proceedings, and the timing and results of future rate hearings and approvals are forward-looking statements. All forward-looking statements are intended to be subject to the safe harbor protection provided by the Reform Act.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timing and amount of rate relief,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future liability claims, changes in pipeline capacity for the transportation of gas and related costs, results of Centuri bid work, Centuri construction expenses, differences between actual and originally expected outcomes of Centuri bid or other fixed-price construction agreements, and ability to successfully procure new work, impacts from work awarded or failing to be awarded from significant customers,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in future periods. For additional information on the risks associated with the Company’s business, see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b w:val="1"/>
          <w:bCs w:val="1"/>
          <w:color w:val="auto"/>
        </w:rPr>
        <w:t>Item 7A. Quantitative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Qualitative Disclosures About Market Risk </w:t>
      </w:r>
      <w:r>
        <w:rPr>
          <w:rFonts w:ascii="Arial" w:cs="Arial" w:eastAsia="Arial" w:hAnsi="Arial"/>
          <w:sz w:val="16"/>
          <w:szCs w:val="16"/>
          <w:color w:val="auto"/>
        </w:rPr>
        <w:t>in the Annual Report on Form 10-K for the year ended December 31, 2016.</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2016 Annual Report on Form 10-K filed with the SEC. No material changes have occurred related to the disclosures about market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2017, management of Southwest Gas Holdings, Inc., including the Chief Executive Officer and Chief Financial Officer, believe the Company’s disclosure controls and procedures are effective at attaining the level of reasonable assurance noted above.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57"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controls over financial reporting (as defined in Rules 13a-15(f) and 15d-15(f) of the Exchange Act) during the first quarter of 2017 that have materially affected, or are likely to materially affect, the Company’s internal controls over financial reporting.</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2017, management of Southwest Gas Corporation, including the Chief Executive Officer and Chief Financial Officer, believe Southwest’s disclosure controls and procedures are effective at attaining the level of reasonable assurance noted above.</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have been no changes in Southwest’s internal controls over financial reporting (as defined in Rules 13a-15(f) and 15d-15(f) of the Exchange Act) during the first quarter of 2017 that have materially affected, or are likely to materially affect Southwest’s internal controls over financial reporting.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Exhibit 1.01</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w w:val="93"/>
              </w:rPr>
              <w:t>-   Sales Agency Agreement, dated March 29, 2017, between Southwest Gas Holdings, Inc. and BNY Mellon Capital Markets, LLC.</w:t>
            </w:r>
          </w:p>
        </w:tc>
      </w:tr>
      <w:tr>
        <w:trPr>
          <w:trHeight w:val="230"/>
        </w:trPr>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Incorporated herein by reference to Exhibit 1.1 to Form S-3 dated March 29, 2017, File No. 333-217018.</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Exhibit 10.01</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w w:val="92"/>
              </w:rPr>
              <w:t>-   Amendment No. 4 to Revolving Credit Agreement, including amended and restated Credit Facility, dated as of March 28, 2017, by</w:t>
            </w:r>
          </w:p>
        </w:tc>
      </w:tr>
      <w:tr>
        <w:trPr>
          <w:trHeight w:val="216"/>
        </w:trPr>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0"/>
              </w:rPr>
              <w:t>and among Southwest Gas Corporation, each of the lenders parties to the Revolving Credit Agreement referred to therein, and The</w:t>
            </w:r>
          </w:p>
        </w:tc>
      </w:tr>
      <w:tr>
        <w:trPr>
          <w:trHeight w:val="216"/>
        </w:trPr>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w w:val="94"/>
              </w:rPr>
              <w:t>Bank of New York Mellon, as Administrative Agent. Incorporated herein by reference to Exhibit 10.1 to Form 8-K dated March</w:t>
            </w:r>
          </w:p>
        </w:tc>
      </w:tr>
      <w:tr>
        <w:trPr>
          <w:trHeight w:val="230"/>
        </w:trPr>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28, 2017, File No. 1-7850.</w:t>
            </w:r>
          </w:p>
        </w:tc>
      </w:tr>
      <w:tr>
        <w:trPr>
          <w:trHeight w:val="310"/>
        </w:trPr>
        <w:tc>
          <w:tcPr>
            <w:tcW w:w="1460" w:type="dxa"/>
            <w:vAlign w:val="bottom"/>
          </w:tcPr>
          <w:p>
            <w:pPr>
              <w:spacing w:after="0"/>
              <w:rPr>
                <w:sz w:val="20"/>
                <w:szCs w:val="20"/>
                <w:color w:val="auto"/>
              </w:rPr>
            </w:pPr>
            <w:r>
              <w:rPr>
                <w:rFonts w:ascii="Arial" w:cs="Arial" w:eastAsia="Arial" w:hAnsi="Arial"/>
                <w:sz w:val="18"/>
                <w:szCs w:val="18"/>
                <w:color w:val="auto"/>
              </w:rPr>
              <w:t>Exhibit 10.02</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w w:val="93"/>
              </w:rPr>
              <w:t>-   Southwest Gas Holdings, Inc. $100 million Credit Facility Agreement. Incorporated herein by reference to Exhibit 10.1 to Form 8-</w:t>
            </w:r>
          </w:p>
        </w:tc>
      </w:tr>
      <w:tr>
        <w:trPr>
          <w:trHeight w:val="230"/>
        </w:trPr>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20"/>
              <w:spacing w:after="0"/>
              <w:rPr>
                <w:sz w:val="20"/>
                <w:szCs w:val="20"/>
                <w:color w:val="auto"/>
              </w:rPr>
            </w:pPr>
            <w:r>
              <w:rPr>
                <w:rFonts w:ascii="Arial" w:cs="Arial" w:eastAsia="Arial" w:hAnsi="Arial"/>
                <w:sz w:val="18"/>
                <w:szCs w:val="18"/>
                <w:color w:val="auto"/>
              </w:rPr>
              <w:t>K dated March 28, 2017, File No. 001-37976.</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12.01</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Computation of Ratios of Earnings to Fixed Charges – Southwest Gas Holdings, Inc.</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31.01</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Section 302 Certifications–Southwest Gas Holdings, Inc.</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31.02</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Section 302 Certifications–Southwest Gas Corporation.</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32.01</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Section 906 Certifications–Southwest Gas Holdings, Inc.</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32.02</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Section 906 Certifications–Southwest Gas Corporation.</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958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9580" w:type="dxa"/>
            <w:vAlign w:val="bottom"/>
          </w:tcPr>
          <w:p>
            <w:pPr>
              <w:ind w:left="120"/>
              <w:spacing w:after="0"/>
              <w:rPr>
                <w:sz w:val="20"/>
                <w:szCs w:val="20"/>
                <w:color w:val="auto"/>
              </w:rPr>
            </w:pPr>
            <w:r>
              <w:rPr>
                <w:rFonts w:ascii="Arial" w:cs="Arial" w:eastAsia="Arial" w:hAnsi="Arial"/>
                <w:sz w:val="18"/>
                <w:szCs w:val="18"/>
                <w:color w:val="auto"/>
              </w:rPr>
              <w:t>XBRL Schema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XBRL Calculation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XBRL Definition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XBRL Label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Exhibit101.PRE</w:t>
            </w:r>
          </w:p>
        </w:tc>
        <w:tc>
          <w:tcPr>
            <w:tcW w:w="9960" w:type="dxa"/>
            <w:vAlign w:val="bottom"/>
            <w:gridSpan w:val="2"/>
          </w:tcPr>
          <w:p>
            <w:pPr>
              <w:ind w:left="200"/>
              <w:spacing w:after="0"/>
              <w:rPr>
                <w:sz w:val="20"/>
                <w:szCs w:val="20"/>
                <w:color w:val="auto"/>
              </w:rPr>
            </w:pPr>
            <w:r>
              <w:rPr>
                <w:rFonts w:ascii="Arial" w:cs="Arial" w:eastAsia="Arial" w:hAnsi="Arial"/>
                <w:sz w:val="18"/>
                <w:szCs w:val="18"/>
                <w:color w:val="auto"/>
              </w:rPr>
              <w:t>-   XBRL Presentation Linkbase Document</w:t>
            </w:r>
          </w:p>
        </w:tc>
      </w:tr>
      <w:tr>
        <w:trPr>
          <w:trHeight w:val="365"/>
        </w:trPr>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257" w:right="23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1100" w:type="dxa"/>
            <w:vAlign w:val="bottom"/>
          </w:tcPr>
          <w:p>
            <w:pPr>
              <w:spacing w:after="0"/>
              <w:rPr>
                <w:sz w:val="17"/>
                <w:szCs w:val="17"/>
                <w:color w:val="auto"/>
              </w:rPr>
            </w:pPr>
          </w:p>
        </w:tc>
        <w:tc>
          <w:tcPr>
            <w:tcW w:w="74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402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7400" w:type="dxa"/>
            <w:vAlign w:val="bottom"/>
          </w:tcPr>
          <w:p>
            <w:pPr>
              <w:jc w:val="right"/>
              <w:spacing w:after="0" w:line="196" w:lineRule="exact"/>
              <w:rPr>
                <w:sz w:val="20"/>
                <w:szCs w:val="20"/>
                <w:color w:val="auto"/>
              </w:rPr>
            </w:pPr>
            <w:r>
              <w:rPr>
                <w:rFonts w:ascii="Arial" w:cs="Arial" w:eastAsia="Arial" w:hAnsi="Arial"/>
                <w:sz w:val="18"/>
                <w:szCs w:val="18"/>
                <w:color w:val="auto"/>
              </w:rPr>
              <w:t>March 31, 2017</w:t>
            </w:r>
          </w:p>
        </w:tc>
      </w:tr>
      <w:tr>
        <w:trPr>
          <w:trHeight w:val="385"/>
        </w:trPr>
        <w:tc>
          <w:tcPr>
            <w:tcW w:w="2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0" w:type="dxa"/>
            <w:vAlign w:val="bottom"/>
          </w:tcPr>
          <w:p>
            <w:pPr>
              <w:jc w:val="right"/>
              <w:ind w:right="503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5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Vice President/Controller and Chief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5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Vice President/Controller and Chief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57" w:right="239" w:bottom="1440" w:gutter="0" w:footer="0" w:header="0"/>
        </w:sectPr>
      </w:pPr>
    </w:p>
    <w:bookmarkStart w:id="44" w:name="page45"/>
    <w:bookmarkEnd w:id="44"/>
    <w:p>
      <w:pPr>
        <w:ind w:left="10400"/>
        <w:spacing w:after="0"/>
        <w:rPr>
          <w:sz w:val="20"/>
          <w:szCs w:val="20"/>
          <w:color w:val="auto"/>
        </w:rPr>
      </w:pPr>
      <w:r>
        <w:rPr>
          <w:rFonts w:ascii="Arial" w:cs="Arial" w:eastAsia="Arial" w:hAnsi="Arial"/>
          <w:sz w:val="16"/>
          <w:szCs w:val="16"/>
          <w:b w:val="1"/>
          <w:bCs w:val="1"/>
          <w:color w:val="auto"/>
        </w:rPr>
        <w:t>Exhibit 12.01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2"/>
              </w:rPr>
              <w:t>For the Twelve Months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 Fixed charges:</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 Interest expense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74,027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71,661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71,234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62,958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67,148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 Amortization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 Interest portion of rentals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11,802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10,605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79,754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2. Earnings (as defined):</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 Pretax income from continuing operations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218,070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231,523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219,332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219,521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222,815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207,915</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Fixed Charges (1. above)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95,580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85,099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76,769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79,754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earnings as defined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313,650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325,796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309,555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304,620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299,584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287,669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40" w:hanging="567"/>
        <w:spacing w:after="0" w:line="264"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500" w:hanging="567"/>
        <w:spacing w:after="0" w:line="34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567"/>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121" w:right="2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80" w:hanging="567"/>
        <w:spacing w:after="0" w:line="264"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60" w:hanging="567"/>
        <w:spacing w:after="0" w:line="34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60" w:hanging="567"/>
        <w:spacing w:after="0" w:line="277"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380"/>
          </w:cols>
          <w:pgMar w:left="240" w:top="270" w:right="2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40" w:hanging="567"/>
        <w:spacing w:after="0" w:line="264"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500" w:hanging="567"/>
        <w:spacing w:after="0" w:line="34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567"/>
        <w:spacing w:after="0" w:line="277"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121" w:right="2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Roy R. Centrella,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8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60" w:hanging="567"/>
        <w:spacing w:after="0" w:line="34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60" w:hanging="567"/>
        <w:spacing w:after="0" w:line="27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380"/>
          </w:cols>
          <w:pgMar w:left="240" w:top="270"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2017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HOLDINGS,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2017 as filed with the Securities and Exchange Commission (the “Report”), I, Roy R. Centrella, Senior Vice President/Chief Financial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380"/>
          </w:cols>
          <w:pgMar w:left="240" w:top="274"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2017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SOUTHWEST GAS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2017 as filed with the Securities and Exchange Commission (the “Report”), I, Roy R. Centrella,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Roy R. Centrella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Roy R. Centrella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lvl w:ilvl="1">
      <w:lvlJc w:val="left"/>
      <w:lvlText w:val="(%2)"/>
      <w:numFmt w:val="lowerLetter"/>
      <w:start w:val="1"/>
    </w:lvl>
  </w:abstractNum>
  <w:abstractNum w:abstractNumId="9">
    <w:nsid w:val="3352255A"/>
    <w:multiLevelType w:val="hybridMultilevel"/>
    <w:lvl w:ilvl="0">
      <w:lvlJc w:val="left"/>
      <w:lvlText w:val="%1."/>
      <w:numFmt w:val="decimal"/>
      <w:start w:val="1"/>
    </w:lvl>
    <w:lvl w:ilvl="1">
      <w:lvlJc w:val="left"/>
      <w:lvlText w:val="(%2)"/>
      <w:numFmt w:val="lowerLetter"/>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2019-12-08T07:06:35Z</dcterms:created>
  <dcterms:modified xsi:type="dcterms:W3CDTF">2019-12-08T07:06:35Z</dcterms:modified>
</cp:coreProperties>
</file>