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15" w:lineRule="exact"/>
        <w:rPr>
          <w:sz w:val="24"/>
          <w:szCs w:val="24"/>
          <w:color w:val="auto"/>
        </w:rPr>
      </w:pPr>
    </w:p>
    <w:p>
      <w:pPr>
        <w:ind w:left="620" w:hanging="403"/>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40" w:lineRule="exact"/>
        <w:rPr>
          <w:sz w:val="24"/>
          <w:szCs w:val="24"/>
          <w:color w:val="auto"/>
        </w:rPr>
      </w:pPr>
    </w:p>
    <w:p>
      <w:pPr>
        <w:ind w:left="620" w:hanging="403"/>
        <w:spacing w:after="0"/>
        <w:tabs>
          <w:tab w:leader="none" w:pos="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340" w:type="dxa"/>
            <w:vAlign w:val="bottom"/>
          </w:tcPr>
          <w:p>
            <w:pPr>
              <w:ind w:left="340"/>
              <w:spacing w:after="0"/>
              <w:rPr>
                <w:sz w:val="20"/>
                <w:szCs w:val="20"/>
                <w:color w:val="auto"/>
              </w:rPr>
            </w:pPr>
            <w:r>
              <w:rPr>
                <w:rFonts w:ascii="Times New Roman" w:cs="Times New Roman" w:eastAsia="Times New Roman" w:hAnsi="Times New Roman"/>
                <w:sz w:val="14"/>
                <w:szCs w:val="14"/>
                <w:i w:val="1"/>
                <w:iCs w:val="1"/>
                <w:color w:val="auto"/>
              </w:rPr>
              <w:t>Commission</w:t>
            </w:r>
          </w:p>
        </w:tc>
        <w:tc>
          <w:tcPr>
            <w:tcW w:w="3720" w:type="dxa"/>
            <w:vAlign w:val="bottom"/>
            <w:gridSpan w:val="2"/>
          </w:tcPr>
          <w:p>
            <w:pPr>
              <w:ind w:left="280"/>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 and</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244"/>
              <w:spacing w:after="0"/>
              <w:rPr>
                <w:sz w:val="20"/>
                <w:szCs w:val="20"/>
                <w:color w:val="auto"/>
              </w:rPr>
            </w:pPr>
            <w:r>
              <w:rPr>
                <w:rFonts w:ascii="Times New Roman" w:cs="Times New Roman" w:eastAsia="Times New Roman" w:hAnsi="Times New Roman"/>
                <w:sz w:val="14"/>
                <w:szCs w:val="14"/>
                <w:i w:val="1"/>
                <w:iCs w:val="1"/>
                <w:color w:val="auto"/>
              </w:rPr>
              <w:t>State of</w:t>
            </w:r>
          </w:p>
        </w:tc>
        <w:tc>
          <w:tcPr>
            <w:tcW w:w="2960" w:type="dxa"/>
            <w:vAlign w:val="bottom"/>
            <w:gridSpan w:val="2"/>
          </w:tcPr>
          <w:p>
            <w:pPr>
              <w:jc w:val="center"/>
              <w:ind w:left="442"/>
              <w:spacing w:after="0"/>
              <w:rPr>
                <w:sz w:val="20"/>
                <w:szCs w:val="20"/>
                <w:color w:val="auto"/>
              </w:rPr>
            </w:pPr>
            <w:r>
              <w:rPr>
                <w:rFonts w:ascii="Times New Roman" w:cs="Times New Roman" w:eastAsia="Times New Roman" w:hAnsi="Times New Roman"/>
                <w:sz w:val="14"/>
                <w:szCs w:val="14"/>
                <w:i w:val="1"/>
                <w:iCs w:val="1"/>
                <w:color w:val="auto"/>
              </w:rPr>
              <w:t>I.R.S.</w:t>
            </w:r>
          </w:p>
        </w:tc>
      </w:tr>
      <w:tr>
        <w:trPr>
          <w:trHeight w:val="195"/>
        </w:trPr>
        <w:tc>
          <w:tcPr>
            <w:tcW w:w="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i w:val="1"/>
                <w:iCs w:val="1"/>
                <w:color w:val="auto"/>
              </w:rPr>
              <w:t>File Number</w:t>
            </w:r>
          </w:p>
        </w:tc>
        <w:tc>
          <w:tcPr>
            <w:tcW w:w="372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i w:val="1"/>
                <w:iCs w:val="1"/>
                <w:color w:val="auto"/>
              </w:rPr>
              <w:t>principal office address and telephone number</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right="24"/>
              <w:spacing w:after="0"/>
              <w:rPr>
                <w:sz w:val="20"/>
                <w:szCs w:val="20"/>
                <w:color w:val="auto"/>
              </w:rPr>
            </w:pPr>
            <w:r>
              <w:rPr>
                <w:rFonts w:ascii="Times New Roman" w:cs="Times New Roman" w:eastAsia="Times New Roman" w:hAnsi="Times New Roman"/>
                <w:sz w:val="14"/>
                <w:szCs w:val="14"/>
                <w:i w:val="1"/>
                <w:iCs w:val="1"/>
                <w:color w:val="auto"/>
              </w:rPr>
              <w:t>Incorporation</w:t>
            </w:r>
          </w:p>
        </w:tc>
        <w:tc>
          <w:tcPr>
            <w:tcW w:w="2960" w:type="dxa"/>
            <w:vAlign w:val="bottom"/>
            <w:tcBorders>
              <w:bottom w:val="single" w:sz="8" w:color="auto"/>
            </w:tcBorders>
            <w:gridSpan w:val="2"/>
          </w:tcPr>
          <w:p>
            <w:pPr>
              <w:jc w:val="center"/>
              <w:ind w:left="462"/>
              <w:spacing w:after="0"/>
              <w:rPr>
                <w:sz w:val="20"/>
                <w:szCs w:val="20"/>
                <w:color w:val="auto"/>
              </w:rPr>
            </w:pPr>
            <w:r>
              <w:rPr>
                <w:rFonts w:ascii="Times New Roman" w:cs="Times New Roman" w:eastAsia="Times New Roman" w:hAnsi="Times New Roman"/>
                <w:sz w:val="14"/>
                <w:szCs w:val="14"/>
                <w:i w:val="1"/>
                <w:iCs w:val="1"/>
                <w:color w:val="auto"/>
              </w:rPr>
              <w:t>Employer Identification No.</w:t>
            </w:r>
          </w:p>
        </w:tc>
      </w:tr>
      <w:tr>
        <w:trPr>
          <w:trHeight w:val="209"/>
        </w:trPr>
        <w:tc>
          <w:tcPr>
            <w:tcW w:w="1360" w:type="dxa"/>
            <w:vAlign w:val="bottom"/>
            <w:gridSpan w:val="2"/>
          </w:tcPr>
          <w:p>
            <w:pPr>
              <w:jc w:val="right"/>
              <w:ind w:right="225"/>
              <w:spacing w:after="0"/>
              <w:rPr>
                <w:sz w:val="20"/>
                <w:szCs w:val="20"/>
                <w:color w:val="auto"/>
              </w:rPr>
            </w:pPr>
            <w:r>
              <w:rPr>
                <w:rFonts w:ascii="Times New Roman" w:cs="Times New Roman" w:eastAsia="Times New Roman" w:hAnsi="Times New Roman"/>
                <w:sz w:val="16"/>
                <w:szCs w:val="16"/>
                <w:color w:val="auto"/>
              </w:rPr>
              <w:t>001-37976</w:t>
            </w: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Southwest Gas Holdings, Inc.</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104"/>
              <w:spacing w:after="0"/>
              <w:rPr>
                <w:sz w:val="20"/>
                <w:szCs w:val="20"/>
                <w:color w:val="auto"/>
              </w:rPr>
            </w:pPr>
            <w:r>
              <w:rPr>
                <w:rFonts w:ascii="Times New Roman" w:cs="Times New Roman" w:eastAsia="Times New Roman" w:hAnsi="Times New Roman"/>
                <w:sz w:val="16"/>
                <w:szCs w:val="16"/>
                <w:color w:val="auto"/>
              </w:rPr>
              <w:t>Delaware</w:t>
            </w:r>
          </w:p>
        </w:tc>
        <w:tc>
          <w:tcPr>
            <w:tcW w:w="2940" w:type="dxa"/>
            <w:vAlign w:val="bottom"/>
          </w:tcPr>
          <w:p>
            <w:pPr>
              <w:jc w:val="center"/>
              <w:ind w:left="482"/>
              <w:spacing w:after="0"/>
              <w:rPr>
                <w:sz w:val="20"/>
                <w:szCs w:val="20"/>
                <w:color w:val="auto"/>
              </w:rPr>
            </w:pPr>
            <w:r>
              <w:rPr>
                <w:rFonts w:ascii="Times New Roman" w:cs="Times New Roman" w:eastAsia="Times New Roman" w:hAnsi="Times New Roman"/>
                <w:sz w:val="16"/>
                <w:szCs w:val="16"/>
                <w:color w:val="auto"/>
              </w:rPr>
              <w:t>81-3881866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8360 S. Durango Drive</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Post Office Box 98510</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Las Vegas,</w:t>
            </w:r>
          </w:p>
        </w:tc>
        <w:tc>
          <w:tcPr>
            <w:tcW w:w="148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Nevada</w:t>
            </w:r>
          </w:p>
        </w:tc>
        <w:tc>
          <w:tcPr>
            <w:tcW w:w="2140" w:type="dxa"/>
            <w:vAlign w:val="bottom"/>
            <w:gridSpan w:val="3"/>
          </w:tcPr>
          <w:p>
            <w:pPr>
              <w:jc w:val="right"/>
              <w:ind w:right="1019"/>
              <w:spacing w:after="0"/>
              <w:rPr>
                <w:sz w:val="20"/>
                <w:szCs w:val="20"/>
                <w:color w:val="auto"/>
              </w:rPr>
            </w:pPr>
            <w:r>
              <w:rPr>
                <w:rFonts w:ascii="Times New Roman" w:cs="Times New Roman" w:eastAsia="Times New Roman" w:hAnsi="Times New Roman"/>
                <w:sz w:val="16"/>
                <w:szCs w:val="16"/>
                <w:color w:val="auto"/>
              </w:rPr>
              <w:t>89193-8510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(702) 876-7237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14"/>
        </w:trPr>
        <w:tc>
          <w:tcPr>
            <w:tcW w:w="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9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204"/>
        </w:trPr>
        <w:tc>
          <w:tcPr>
            <w:tcW w:w="1360" w:type="dxa"/>
            <w:vAlign w:val="bottom"/>
            <w:gridSpan w:val="2"/>
          </w:tcPr>
          <w:p>
            <w:pPr>
              <w:jc w:val="right"/>
              <w:ind w:right="345"/>
              <w:spacing w:after="0"/>
              <w:rPr>
                <w:sz w:val="20"/>
                <w:szCs w:val="20"/>
                <w:color w:val="auto"/>
              </w:rPr>
            </w:pPr>
            <w:r>
              <w:rPr>
                <w:rFonts w:ascii="Times New Roman" w:cs="Times New Roman" w:eastAsia="Times New Roman" w:hAnsi="Times New Roman"/>
                <w:sz w:val="16"/>
                <w:szCs w:val="16"/>
                <w:color w:val="auto"/>
              </w:rPr>
              <w:t>1-7850</w:t>
            </w: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Southwest Gas Corporation</w:t>
            </w:r>
          </w:p>
        </w:tc>
        <w:tc>
          <w:tcPr>
            <w:tcW w:w="1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04"/>
              <w:spacing w:after="0"/>
              <w:rPr>
                <w:sz w:val="20"/>
                <w:szCs w:val="20"/>
                <w:color w:val="auto"/>
              </w:rPr>
            </w:pPr>
            <w:r>
              <w:rPr>
                <w:rFonts w:ascii="Times New Roman" w:cs="Times New Roman" w:eastAsia="Times New Roman" w:hAnsi="Times New Roman"/>
                <w:sz w:val="16"/>
                <w:szCs w:val="16"/>
                <w:color w:val="auto"/>
              </w:rPr>
              <w:t>California</w:t>
            </w:r>
          </w:p>
        </w:tc>
        <w:tc>
          <w:tcPr>
            <w:tcW w:w="2940" w:type="dxa"/>
            <w:vAlign w:val="bottom"/>
          </w:tcPr>
          <w:p>
            <w:pPr>
              <w:jc w:val="center"/>
              <w:ind w:left="482"/>
              <w:spacing w:after="0"/>
              <w:rPr>
                <w:sz w:val="20"/>
                <w:szCs w:val="20"/>
                <w:color w:val="auto"/>
              </w:rPr>
            </w:pPr>
            <w:r>
              <w:rPr>
                <w:rFonts w:ascii="Times New Roman" w:cs="Times New Roman" w:eastAsia="Times New Roman" w:hAnsi="Times New Roman"/>
                <w:sz w:val="16"/>
                <w:szCs w:val="16"/>
                <w:color w:val="auto"/>
              </w:rPr>
              <w:t>88-0085720</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8360 S. Durango Drive</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Post Office Box 98510</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Las Vegas,</w:t>
            </w:r>
          </w:p>
        </w:tc>
        <w:tc>
          <w:tcPr>
            <w:tcW w:w="148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Nevada</w:t>
            </w:r>
          </w:p>
        </w:tc>
        <w:tc>
          <w:tcPr>
            <w:tcW w:w="2140" w:type="dxa"/>
            <w:vAlign w:val="bottom"/>
            <w:gridSpan w:val="3"/>
          </w:tcPr>
          <w:p>
            <w:pPr>
              <w:jc w:val="right"/>
              <w:ind w:right="1019"/>
              <w:spacing w:after="0"/>
              <w:rPr>
                <w:sz w:val="20"/>
                <w:szCs w:val="20"/>
                <w:color w:val="auto"/>
              </w:rPr>
            </w:pPr>
            <w:r>
              <w:rPr>
                <w:rFonts w:ascii="Times New Roman" w:cs="Times New Roman" w:eastAsia="Times New Roman" w:hAnsi="Times New Roman"/>
                <w:sz w:val="16"/>
                <w:szCs w:val="16"/>
                <w:color w:val="auto"/>
              </w:rPr>
              <w:t>89193-8510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(702) 876-7237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46"/>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680" w:type="dxa"/>
            <w:vAlign w:val="bottom"/>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40" w:type="dxa"/>
            <w:vAlign w:val="bottom"/>
          </w:tcPr>
          <w:p>
            <w:pPr>
              <w:jc w:val="center"/>
              <w:ind w:left="701"/>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20" w:type="dxa"/>
            <w:vAlign w:val="bottom"/>
          </w:tcPr>
          <w:p>
            <w:pPr>
              <w:spacing w:after="0"/>
              <w:rPr>
                <w:sz w:val="17"/>
                <w:szCs w:val="17"/>
                <w:color w:val="auto"/>
              </w:rPr>
            </w:pPr>
          </w:p>
        </w:tc>
        <w:tc>
          <w:tcPr>
            <w:tcW w:w="5060" w:type="dxa"/>
            <w:vAlign w:val="bottom"/>
            <w:tcBorders>
              <w:top w:val="single" w:sz="8" w:color="auto"/>
            </w:tcBorders>
            <w:gridSpan w:val="3"/>
          </w:tcPr>
          <w:p>
            <w:pPr>
              <w:jc w:val="center"/>
              <w:ind w:left="545"/>
              <w:spacing w:after="0"/>
              <w:rPr>
                <w:sz w:val="20"/>
                <w:szCs w:val="20"/>
                <w:color w:val="auto"/>
              </w:rPr>
            </w:pPr>
            <w:r>
              <w:rPr>
                <w:rFonts w:ascii="Times New Roman" w:cs="Times New Roman" w:eastAsia="Times New Roman" w:hAnsi="Times New Roman"/>
                <w:sz w:val="16"/>
                <w:szCs w:val="16"/>
                <w:color w:val="auto"/>
              </w:rPr>
              <w:t>Southwest Gas Holdings, Inc. Common Stock, $1 Par Value</w:t>
            </w: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SWX</w:t>
            </w: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tcPr>
          <w:p>
            <w:pPr>
              <w:jc w:val="center"/>
              <w:ind w:right="762"/>
              <w:spacing w:after="0"/>
              <w:rPr>
                <w:sz w:val="20"/>
                <w:szCs w:val="20"/>
                <w:color w:val="auto"/>
              </w:rPr>
            </w:pPr>
            <w:r>
              <w:rPr>
                <w:rFonts w:ascii="Times New Roman" w:cs="Times New Roman" w:eastAsia="Times New Roman" w:hAnsi="Times New Roman"/>
                <w:sz w:val="16"/>
                <w:szCs w:val="16"/>
                <w:color w:val="auto"/>
                <w:w w:val="99"/>
              </w:rPr>
              <w:t>New York Stock Exchange</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720" w:type="dxa"/>
            <w:vAlign w:val="bottom"/>
            <w:gridSpan w:val="2"/>
          </w:tcPr>
          <w:p>
            <w:pPr>
              <w:jc w:val="center"/>
              <w:ind w:right="619"/>
              <w:spacing w:after="0"/>
              <w:rPr>
                <w:sz w:val="20"/>
                <w:szCs w:val="20"/>
                <w:color w:val="auto"/>
              </w:rPr>
            </w:pPr>
            <w:r>
              <w:rPr>
                <w:rFonts w:ascii="Times New Roman" w:cs="Times New Roman" w:eastAsia="Times New Roman" w:hAnsi="Times New Roman"/>
                <w:sz w:val="16"/>
                <w:szCs w:val="16"/>
                <w:color w:val="auto"/>
              </w:rPr>
              <w:t>Preferred Stock Purchase Rights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60" w:type="dxa"/>
            <w:vAlign w:val="bottom"/>
            <w:gridSpan w:val="2"/>
          </w:tcPr>
          <w:p>
            <w:pPr>
              <w:jc w:val="center"/>
              <w:ind w:right="860"/>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100" w:lineRule="exact"/>
        <w:rPr>
          <w:sz w:val="24"/>
          <w:szCs w:val="24"/>
          <w:color w:val="auto"/>
        </w:rPr>
      </w:pPr>
    </w:p>
    <w:p>
      <w:pPr>
        <w:ind w:right="280"/>
        <w:spacing w:after="0" w:line="260" w:lineRule="auto"/>
        <w:rPr>
          <w:sz w:val="20"/>
          <w:szCs w:val="20"/>
          <w:color w:val="auto"/>
        </w:rPr>
      </w:pPr>
      <w:r>
        <w:rPr>
          <w:rFonts w:ascii="Times New Roman" w:cs="Times New Roman" w:eastAsia="Times New Roman" w:hAnsi="Times New Roman"/>
          <w:sz w:val="16"/>
          <w:szCs w:val="16"/>
          <w:color w:val="auto"/>
        </w:rPr>
        <w:t>Indicate by check mark whether each registrant: (1) has filed all reports required to be filed by Section 13 or 15(d) of the Securities Exchange Act of 1934 during the preceding 12 months (or for such shorter period that each registrant was required to file such reports), and (2) has been subject to such filing requirements for the past 90</w:t>
      </w:r>
    </w:p>
    <w:p>
      <w:pPr>
        <w:spacing w:after="0" w:line="1" w:lineRule="exact"/>
        <w:rPr>
          <w:sz w:val="24"/>
          <w:szCs w:val="24"/>
          <w:color w:val="auto"/>
        </w:rPr>
      </w:pPr>
    </w:p>
    <w:p>
      <w:pPr>
        <w:spacing w:after="0" w:line="196" w:lineRule="exact"/>
        <w:tabs>
          <w:tab w:leader="none" w:pos="480" w:val="left"/>
          <w:tab w:leader="none" w:pos="112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7"/>
          <w:szCs w:val="17"/>
          <w:color w:val="auto"/>
        </w:rPr>
        <w:t>☐</w:t>
      </w:r>
    </w:p>
    <w:p>
      <w:pPr>
        <w:spacing w:after="0" w:line="121" w:lineRule="exact"/>
        <w:rPr>
          <w:sz w:val="24"/>
          <w:szCs w:val="24"/>
          <w:color w:val="auto"/>
        </w:rPr>
      </w:pPr>
    </w:p>
    <w:p>
      <w:pPr>
        <w:ind w:right="300"/>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each registrant has submitted electronically every Interactive Data File required to be submitted pursuant to Rule 405 of Regulation S-T (§232.405 of this chapter) during the preceding 12 months (or for such shorter period that each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75" w:lineRule="exact"/>
        <w:rPr>
          <w:sz w:val="24"/>
          <w:szCs w:val="24"/>
          <w:color w:val="auto"/>
        </w:rPr>
      </w:pPr>
    </w:p>
    <w:p>
      <w:pPr>
        <w:jc w:val="both"/>
        <w:ind w:right="80"/>
        <w:spacing w:after="0" w:line="272" w:lineRule="auto"/>
        <w:rPr>
          <w:sz w:val="20"/>
          <w:szCs w:val="20"/>
          <w:color w:val="auto"/>
        </w:rPr>
      </w:pPr>
      <w:r>
        <w:rPr>
          <w:rFonts w:ascii="Times New Roman" w:cs="Times New Roman" w:eastAsia="Times New Roman" w:hAnsi="Times New Roman"/>
          <w:sz w:val="16"/>
          <w:szCs w:val="16"/>
          <w:color w:val="auto"/>
        </w:rPr>
        <w:t>Indicate by check mark whether each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pacing w:after="0" w:line="6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Southwest Gas Holdings, Inc.:</w:t>
            </w:r>
          </w:p>
        </w:tc>
        <w:tc>
          <w:tcPr>
            <w:tcW w:w="31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364"/>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Large accelerated filer</w:t>
            </w:r>
          </w:p>
        </w:tc>
        <w:tc>
          <w:tcPr>
            <w:tcW w:w="3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2500"/>
              <w:spacing w:after="0"/>
              <w:rPr>
                <w:sz w:val="20"/>
                <w:szCs w:val="20"/>
                <w:color w:val="auto"/>
              </w:rPr>
            </w:pPr>
            <w:r>
              <w:rPr>
                <w:rFonts w:ascii="Times New Roman" w:cs="Times New Roman" w:eastAsia="Times New Roman" w:hAnsi="Times New Roman"/>
                <w:sz w:val="16"/>
                <w:szCs w:val="16"/>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Non-accelerated filer</w:t>
            </w:r>
          </w:p>
        </w:tc>
        <w:tc>
          <w:tcPr>
            <w:tcW w:w="3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25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Emerging growth company</w:t>
            </w:r>
          </w:p>
        </w:tc>
        <w:tc>
          <w:tcPr>
            <w:tcW w:w="3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61" w:lineRule="exact"/>
        <w:rPr>
          <w:sz w:val="24"/>
          <w:szCs w:val="24"/>
          <w:color w:val="auto"/>
        </w:rPr>
      </w:pPr>
    </w:p>
    <w:p>
      <w:pPr>
        <w:ind w:right="580"/>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Southwest Gas Corporation:</w:t>
            </w:r>
          </w:p>
        </w:tc>
        <w:tc>
          <w:tcPr>
            <w:tcW w:w="316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364"/>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Large accelerated filer</w:t>
            </w:r>
          </w:p>
        </w:tc>
        <w:tc>
          <w:tcPr>
            <w:tcW w:w="31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440"/>
              <w:spacing w:after="0"/>
              <w:rPr>
                <w:sz w:val="20"/>
                <w:szCs w:val="20"/>
                <w:color w:val="auto"/>
              </w:rPr>
            </w:pPr>
            <w:r>
              <w:rPr>
                <w:rFonts w:ascii="Times New Roman" w:cs="Times New Roman" w:eastAsia="Times New Roman" w:hAnsi="Times New Roman"/>
                <w:sz w:val="16"/>
                <w:szCs w:val="16"/>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Non-accelerated filer</w:t>
            </w:r>
          </w:p>
        </w:tc>
        <w:tc>
          <w:tcPr>
            <w:tcW w:w="31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4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Emerging growth company</w:t>
            </w:r>
          </w:p>
        </w:tc>
        <w:tc>
          <w:tcPr>
            <w:tcW w:w="31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74" w:lineRule="exact"/>
        <w:rPr>
          <w:sz w:val="24"/>
          <w:szCs w:val="24"/>
          <w:color w:val="auto"/>
        </w:rPr>
      </w:pPr>
    </w:p>
    <w:p>
      <w:pPr>
        <w:ind w:right="580"/>
        <w:spacing w:after="0" w:line="22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1" w:lineRule="exact"/>
        <w:rPr>
          <w:sz w:val="24"/>
          <w:szCs w:val="24"/>
          <w:color w:val="auto"/>
        </w:rPr>
      </w:pPr>
    </w:p>
    <w:p>
      <w:pPr>
        <w:spacing w:after="0" w:line="196" w:lineRule="exact"/>
        <w:tabs>
          <w:tab w:leader="none" w:pos="7600" w:val="left"/>
          <w:tab w:leader="none" w:pos="8240" w:val="left"/>
        </w:tabs>
        <w:rPr>
          <w:sz w:val="20"/>
          <w:szCs w:val="20"/>
          <w:color w:val="auto"/>
        </w:rPr>
      </w:pPr>
      <w:r>
        <w:rPr>
          <w:rFonts w:ascii="Times New Roman" w:cs="Times New Roman" w:eastAsia="Times New Roman" w:hAnsi="Times New Roman"/>
          <w:sz w:val="16"/>
          <w:szCs w:val="16"/>
          <w:color w:val="auto"/>
        </w:rPr>
        <w:t>Indicate by check mark whether each registrant is a shell company (as defined in Rule 12b-2 of the Exchange Act).</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7"/>
          <w:szCs w:val="17"/>
          <w:color w:val="auto"/>
        </w:rPr>
        <w:t>☒</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w:t>
      </w:r>
    </w:p>
    <w:p>
      <w:pPr>
        <w:spacing w:after="0" w:line="113"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6"/>
          <w:szCs w:val="16"/>
          <w:color w:val="auto"/>
        </w:rPr>
        <w:t>Southwest Gas Holdings, Inc. Common Stock, $1 Par Value, 67,007,222 shares as of July 29, 2022.</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All of the outstanding shares of common stock ($1 par value) of Southwest Gas Corporation were held by Southwest Gas Holdings, Inc. as of July 29, 2022.</w:t>
      </w:r>
    </w:p>
    <w:p>
      <w:pPr>
        <w:sectPr>
          <w:pgSz w:w="11900" w:h="16838" w:orient="portrait"/>
          <w:cols w:equalWidth="0" w:num="1">
            <w:col w:w="11240"/>
          </w:cols>
          <w:pgMar w:left="320" w:top="461" w:right="339" w:bottom="1440" w:gutter="0" w:footer="0" w:header="0"/>
        </w:sectPr>
      </w:pPr>
    </w:p>
    <w:p>
      <w:pPr>
        <w:spacing w:after="0" w:line="118" w:lineRule="exact"/>
        <w:rPr>
          <w:sz w:val="24"/>
          <w:szCs w:val="24"/>
          <w:color w:val="auto"/>
        </w:rPr>
      </w:pPr>
    </w:p>
    <w:p>
      <w:pPr>
        <w:spacing w:after="0" w:line="302" w:lineRule="auto"/>
        <w:rPr>
          <w:sz w:val="20"/>
          <w:szCs w:val="20"/>
          <w:color w:val="auto"/>
        </w:rPr>
      </w:pPr>
      <w:r>
        <w:rPr>
          <w:rFonts w:ascii="Times New Roman" w:cs="Times New Roman" w:eastAsia="Times New Roman" w:hAnsi="Times New Roman"/>
          <w:sz w:val="14"/>
          <w:szCs w:val="14"/>
          <w:color w:val="auto"/>
        </w:rPr>
        <w:t>SOUTHWEST GAS CORPORATION MEETS THE CONDITIONS SET FORTH IN GENERAL INSTRUCTION (H)(1)(a) and (b) OF FORM 10-Q AND IS THEREFORE FILING THIS REPORT WITH THE REDUCED DISCLOSURE FORMAT AS PERMITTED BY GENERAL INSTRUCTION H(2).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1" w:right="339" w:bottom="144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2022</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FILING FORMAT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is a combined report being filed by two separate registrants: Southwest Gas Holdings, Inc. and Southwest Gas Corporation. Except where the content clearly indicates otherwise, any reference in the report to “we,” “us” or “our” is to the holding company or the consolidated entity of Southwest Gas Holdings, Inc. and all of its subsidiaries, including Southwest Gas Corporation, which is a distinct registrant that is a wholly owned subsidiary of Southwest Gas Holdings, Inc. Information contained herein relating to any individual company is filed by such company on its own behalf. Each company makes representations only as to itself and makes no other representation whatsoever as to any other company.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Part I—Financial information in this Quarterly Report on Form 10-Q includes separate financial statements (i.e., balance sheets, statements of income, statements of comprehensive income, statements of cash flows, and statements of equity) for Southwest Gas Holdings, Inc. and Southwest Gas Corporation, in that order. The Notes to the Condensed Consolidated Financial Statements are presented on a combined basis for both entities. All Items other than Part I – Item 1 are combined for the reporting companies.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 w:name="page3"/>
    <w:bookmarkEnd w:id="2"/>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2022</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SOUTHWEST GAS HOLDINGS,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(Thousands of dollars, except par value)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7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June 30, 2022</w:t>
            </w:r>
          </w:p>
        </w:tc>
        <w:tc>
          <w:tcPr>
            <w:tcW w:w="160" w:type="dxa"/>
            <w:vAlign w:val="bottom"/>
          </w:tcPr>
          <w:p>
            <w:pPr>
              <w:spacing w:after="0"/>
              <w:rPr>
                <w:sz w:val="16"/>
                <w:szCs w:val="16"/>
                <w:color w:val="auto"/>
              </w:rPr>
            </w:pPr>
          </w:p>
        </w:tc>
        <w:tc>
          <w:tcPr>
            <w:tcW w:w="14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December 31, 2021</w:t>
            </w:r>
          </w:p>
        </w:tc>
        <w:tc>
          <w:tcPr>
            <w:tcW w:w="0" w:type="dxa"/>
            <w:vAlign w:val="bottom"/>
          </w:tcPr>
          <w:p>
            <w:pPr>
              <w:spacing w:after="0"/>
              <w:rPr>
                <w:sz w:val="1"/>
                <w:szCs w:val="1"/>
                <w:color w:val="auto"/>
              </w:rPr>
            </w:pPr>
          </w:p>
        </w:tc>
      </w:tr>
      <w:tr>
        <w:trPr>
          <w:trHeight w:val="2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ASSETS</w:t>
            </w:r>
          </w:p>
        </w:tc>
        <w:tc>
          <w:tcPr>
            <w:tcW w:w="2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Regulated operations plant:</w:t>
            </w: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Gas plant</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11,049,050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10,789,690</w:t>
            </w: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(3,496,191)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(3,397,736)</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Construction work in progress</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218,638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202,068</w:t>
            </w:r>
          </w:p>
        </w:tc>
        <w:tc>
          <w:tcPr>
            <w:tcW w:w="0" w:type="dxa"/>
            <w:vAlign w:val="bottom"/>
          </w:tcPr>
          <w:p>
            <w:pPr>
              <w:spacing w:after="0"/>
              <w:rPr>
                <w:sz w:val="1"/>
                <w:szCs w:val="1"/>
                <w:color w:val="auto"/>
              </w:rPr>
            </w:pPr>
          </w:p>
        </w:tc>
      </w:tr>
      <w:tr>
        <w:trPr>
          <w:trHeight w:val="189"/>
        </w:trPr>
        <w:tc>
          <w:tcPr>
            <w:tcW w:w="77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4"/>
                <w:szCs w:val="14"/>
                <w:color w:val="auto"/>
              </w:rPr>
              <w:t>Net regulated operations plant</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7,771,497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7,594,022</w:t>
            </w:r>
          </w:p>
        </w:tc>
        <w:tc>
          <w:tcPr>
            <w:tcW w:w="0" w:type="dxa"/>
            <w:vAlign w:val="bottom"/>
          </w:tcPr>
          <w:p>
            <w:pPr>
              <w:spacing w:after="0"/>
              <w:rPr>
                <w:sz w:val="1"/>
                <w:szCs w:val="1"/>
                <w:color w:val="auto"/>
              </w:rPr>
            </w:pPr>
          </w:p>
        </w:tc>
      </w:tr>
      <w:tr>
        <w:trPr>
          <w:trHeight w:val="20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property and investments, net</w:t>
            </w:r>
          </w:p>
        </w:tc>
        <w:tc>
          <w:tcPr>
            <w:tcW w:w="2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1,312,701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1,316,479</w:t>
            </w:r>
          </w:p>
        </w:tc>
        <w:tc>
          <w:tcPr>
            <w:tcW w:w="0" w:type="dxa"/>
            <w:vAlign w:val="bottom"/>
          </w:tcPr>
          <w:p>
            <w:pPr>
              <w:spacing w:after="0"/>
              <w:rPr>
                <w:sz w:val="1"/>
                <w:szCs w:val="1"/>
                <w:color w:val="auto"/>
              </w:rPr>
            </w:pPr>
          </w:p>
        </w:tc>
      </w:tr>
      <w:tr>
        <w:trPr>
          <w:trHeight w:val="175"/>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215,963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222,697</w:t>
            </w: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receivable, net of allowances</w:t>
            </w:r>
          </w:p>
        </w:tc>
        <w:tc>
          <w:tcPr>
            <w:tcW w:w="26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750,794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707,127</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utility revenue</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84,900</w:t>
            </w: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Income taxes receivable, net</w:t>
            </w:r>
          </w:p>
        </w:tc>
        <w:tc>
          <w:tcPr>
            <w:tcW w:w="26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19,147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16,816</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purchased gas costs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354,571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291,145</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263,363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292,082</w:t>
            </w:r>
          </w:p>
        </w:tc>
        <w:tc>
          <w:tcPr>
            <w:tcW w:w="0" w:type="dxa"/>
            <w:vAlign w:val="bottom"/>
          </w:tcPr>
          <w:p>
            <w:pPr>
              <w:spacing w:after="0"/>
              <w:rPr>
                <w:sz w:val="1"/>
                <w:szCs w:val="1"/>
                <w:color w:val="auto"/>
              </w:rPr>
            </w:pPr>
          </w:p>
        </w:tc>
      </w:tr>
      <w:tr>
        <w:trPr>
          <w:trHeight w:val="203"/>
        </w:trPr>
        <w:tc>
          <w:tcPr>
            <w:tcW w:w="7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1,643,838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1,614,767</w:t>
            </w:r>
          </w:p>
        </w:tc>
        <w:tc>
          <w:tcPr>
            <w:tcW w:w="0" w:type="dxa"/>
            <w:vAlign w:val="bottom"/>
          </w:tcPr>
          <w:p>
            <w:pPr>
              <w:spacing w:after="0"/>
              <w:rPr>
                <w:sz w:val="1"/>
                <w:szCs w:val="1"/>
                <w:color w:val="auto"/>
              </w:rPr>
            </w:pPr>
          </w:p>
        </w:tc>
      </w:tr>
      <w:tr>
        <w:trPr>
          <w:trHeight w:val="175"/>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Noncurrent assets:</w:t>
            </w: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Goodwill</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1,750,472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1,781,332</w:t>
            </w: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Deferred income taxes</w:t>
            </w:r>
          </w:p>
        </w:tc>
        <w:tc>
          <w:tcPr>
            <w:tcW w:w="26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charges and other assets</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444,332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458,536</w:t>
            </w:r>
          </w:p>
        </w:tc>
        <w:tc>
          <w:tcPr>
            <w:tcW w:w="0" w:type="dxa"/>
            <w:vAlign w:val="bottom"/>
          </w:tcPr>
          <w:p>
            <w:pPr>
              <w:spacing w:after="0"/>
              <w:rPr>
                <w:sz w:val="1"/>
                <w:szCs w:val="1"/>
                <w:color w:val="auto"/>
              </w:rPr>
            </w:pPr>
          </w:p>
        </w:tc>
      </w:tr>
      <w:tr>
        <w:trPr>
          <w:trHeight w:val="190"/>
        </w:trPr>
        <w:tc>
          <w:tcPr>
            <w:tcW w:w="77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4"/>
                <w:szCs w:val="14"/>
                <w:color w:val="auto"/>
              </w:rPr>
              <w:t>Total noncurrent assets</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2,194,972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2,239,989</w:t>
            </w:r>
          </w:p>
        </w:tc>
        <w:tc>
          <w:tcPr>
            <w:tcW w:w="0" w:type="dxa"/>
            <w:vAlign w:val="bottom"/>
          </w:tcPr>
          <w:p>
            <w:pPr>
              <w:spacing w:after="0"/>
              <w:rPr>
                <w:sz w:val="1"/>
                <w:szCs w:val="1"/>
                <w:color w:val="auto"/>
              </w:rPr>
            </w:pPr>
          </w:p>
        </w:tc>
      </w:tr>
      <w:tr>
        <w:trPr>
          <w:trHeight w:val="221"/>
        </w:trPr>
        <w:tc>
          <w:tcPr>
            <w:tcW w:w="7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12,923,008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12,765,257</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CAPITALIZATION AND 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7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Capitalization:</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7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Common stock, $1 par (authorized - 120,000,000 shares; issued and outstanding - 67,003,792 and 60,422,081 shares)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68,634</w:t>
            </w:r>
          </w:p>
        </w:tc>
        <w:tc>
          <w:tcPr>
            <w:tcW w:w="10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62,052</w:t>
            </w: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2,279,493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1,824,216</w:t>
            </w: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Accumulated other comprehensive loss, net</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(46,761)</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Retained earnings</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1,156,253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1,114,313</w:t>
            </w:r>
          </w:p>
        </w:tc>
        <w:tc>
          <w:tcPr>
            <w:tcW w:w="0" w:type="dxa"/>
            <w:vAlign w:val="bottom"/>
          </w:tcPr>
          <w:p>
            <w:pPr>
              <w:spacing w:after="0"/>
              <w:rPr>
                <w:sz w:val="1"/>
                <w:szCs w:val="1"/>
                <w:color w:val="auto"/>
              </w:rPr>
            </w:pPr>
          </w:p>
        </w:tc>
      </w:tr>
      <w:tr>
        <w:trPr>
          <w:trHeight w:val="190"/>
        </w:trPr>
        <w:tc>
          <w:tcPr>
            <w:tcW w:w="77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4"/>
                <w:szCs w:val="14"/>
                <w:color w:val="auto"/>
              </w:rPr>
              <w:t>Total equity</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3,458,852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2,953,820</w:t>
            </w:r>
          </w:p>
        </w:tc>
        <w:tc>
          <w:tcPr>
            <w:tcW w:w="0" w:type="dxa"/>
            <w:vAlign w:val="bottom"/>
          </w:tcPr>
          <w:p>
            <w:pPr>
              <w:spacing w:after="0"/>
              <w:rPr>
                <w:sz w:val="1"/>
                <w:szCs w:val="1"/>
                <w:color w:val="auto"/>
              </w:rPr>
            </w:pPr>
          </w:p>
        </w:tc>
      </w:tr>
      <w:tr>
        <w:trPr>
          <w:trHeight w:val="203"/>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122,656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196,717</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Long-term debt, less current maturities</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4,588,454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4,115,684</w:t>
            </w:r>
          </w:p>
        </w:tc>
        <w:tc>
          <w:tcPr>
            <w:tcW w:w="0" w:type="dxa"/>
            <w:vAlign w:val="bottom"/>
          </w:tcPr>
          <w:p>
            <w:pPr>
              <w:spacing w:after="0"/>
              <w:rPr>
                <w:sz w:val="1"/>
                <w:szCs w:val="1"/>
                <w:color w:val="auto"/>
              </w:rPr>
            </w:pPr>
          </w:p>
        </w:tc>
      </w:tr>
      <w:tr>
        <w:trPr>
          <w:trHeight w:val="203"/>
        </w:trPr>
        <w:tc>
          <w:tcPr>
            <w:tcW w:w="7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 capitalization</w:t>
            </w:r>
          </w:p>
        </w:tc>
        <w:tc>
          <w:tcPr>
            <w:tcW w:w="2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8,169,962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7,266,221</w:t>
            </w:r>
          </w:p>
        </w:tc>
        <w:tc>
          <w:tcPr>
            <w:tcW w:w="0" w:type="dxa"/>
            <w:vAlign w:val="bottom"/>
          </w:tcPr>
          <w:p>
            <w:pPr>
              <w:spacing w:after="0"/>
              <w:rPr>
                <w:sz w:val="1"/>
                <w:szCs w:val="1"/>
                <w:color w:val="auto"/>
              </w:rPr>
            </w:pPr>
          </w:p>
        </w:tc>
      </w:tr>
      <w:tr>
        <w:trPr>
          <w:trHeight w:val="175"/>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Current maturities of long-term debt</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41,276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297,324</w:t>
            </w: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Short-term debt</w:t>
            </w:r>
          </w:p>
        </w:tc>
        <w:tc>
          <w:tcPr>
            <w:tcW w:w="26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1,462,747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1,909,000</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306,753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353,365</w:t>
            </w: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Customer deposits</w:t>
            </w:r>
          </w:p>
        </w:tc>
        <w:tc>
          <w:tcPr>
            <w:tcW w:w="26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53,991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59,327</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Income taxes payable, net</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6,734</w:t>
            </w: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Accrued general taxes</w:t>
            </w:r>
          </w:p>
        </w:tc>
        <w:tc>
          <w:tcPr>
            <w:tcW w:w="26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55,883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53,473</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interest</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35,697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30,964</w:t>
            </w: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Deferred purchased gas costs</w:t>
            </w:r>
          </w:p>
        </w:tc>
        <w:tc>
          <w:tcPr>
            <w:tcW w:w="26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4,986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5,736</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387,359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396,126</w:t>
            </w:r>
          </w:p>
        </w:tc>
        <w:tc>
          <w:tcPr>
            <w:tcW w:w="0" w:type="dxa"/>
            <w:vAlign w:val="bottom"/>
          </w:tcPr>
          <w:p>
            <w:pPr>
              <w:spacing w:after="0"/>
              <w:rPr>
                <w:sz w:val="1"/>
                <w:szCs w:val="1"/>
                <w:color w:val="auto"/>
              </w:rPr>
            </w:pPr>
          </w:p>
        </w:tc>
      </w:tr>
      <w:tr>
        <w:trPr>
          <w:trHeight w:val="189"/>
        </w:trPr>
        <w:tc>
          <w:tcPr>
            <w:tcW w:w="77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2,350,417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3,112,049</w:t>
            </w:r>
          </w:p>
        </w:tc>
        <w:tc>
          <w:tcPr>
            <w:tcW w:w="0" w:type="dxa"/>
            <w:vAlign w:val="bottom"/>
          </w:tcPr>
          <w:p>
            <w:pPr>
              <w:spacing w:after="0"/>
              <w:rPr>
                <w:sz w:val="1"/>
                <w:szCs w:val="1"/>
                <w:color w:val="auto"/>
              </w:rPr>
            </w:pPr>
          </w:p>
        </w:tc>
      </w:tr>
      <w:tr>
        <w:trPr>
          <w:trHeight w:val="18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income taxes and other credits:</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Deferred income taxes and investment tax credits, net</w:t>
            </w:r>
          </w:p>
        </w:tc>
        <w:tc>
          <w:tcPr>
            <w:tcW w:w="26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785,258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768,868</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Accumulated removal costs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494,554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480,583</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Other deferred credits and other long-term liabilities</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1,122,817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1,137,536</w:t>
            </w:r>
          </w:p>
        </w:tc>
        <w:tc>
          <w:tcPr>
            <w:tcW w:w="0" w:type="dxa"/>
            <w:vAlign w:val="bottom"/>
          </w:tcPr>
          <w:p>
            <w:pPr>
              <w:spacing w:after="0"/>
              <w:rPr>
                <w:sz w:val="1"/>
                <w:szCs w:val="1"/>
                <w:color w:val="auto"/>
              </w:rPr>
            </w:pPr>
          </w:p>
        </w:tc>
      </w:tr>
      <w:tr>
        <w:trPr>
          <w:trHeight w:val="203"/>
        </w:trPr>
        <w:tc>
          <w:tcPr>
            <w:tcW w:w="7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 deferred income taxes and other credits</w:t>
            </w:r>
          </w:p>
        </w:tc>
        <w:tc>
          <w:tcPr>
            <w:tcW w:w="2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2,402,629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2,386,987</w:t>
            </w:r>
          </w:p>
        </w:tc>
        <w:tc>
          <w:tcPr>
            <w:tcW w:w="0" w:type="dxa"/>
            <w:vAlign w:val="bottom"/>
          </w:tcPr>
          <w:p>
            <w:pPr>
              <w:spacing w:after="0"/>
              <w:rPr>
                <w:sz w:val="1"/>
                <w:szCs w:val="1"/>
                <w:color w:val="auto"/>
              </w:rPr>
            </w:pPr>
          </w:p>
        </w:tc>
      </w:tr>
      <w:tr>
        <w:trPr>
          <w:trHeight w:val="190"/>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Total capitalization and liabilities</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12,923,008</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12,765,257</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ectPr>
          <w:pgSz w:w="11900" w:h="16838" w:orient="portrait"/>
          <w:cols w:equalWidth="0" w:num="1">
            <w:col w:w="11220"/>
          </w:cols>
          <w:pgMar w:left="320" w:top="257" w:right="35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7" w:right="35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June 30, 2022</w:t>
            </w:r>
          </w:p>
        </w:tc>
        <w:tc>
          <w:tcPr>
            <w:tcW w:w="0" w:type="dxa"/>
            <w:vAlign w:val="bottom"/>
          </w:tcPr>
          <w:p>
            <w:pPr>
              <w:spacing w:after="0"/>
              <w:rPr>
                <w:sz w:val="1"/>
                <w:szCs w:val="1"/>
                <w:color w:val="auto"/>
              </w:rPr>
            </w:pPr>
          </w:p>
        </w:tc>
      </w:tr>
      <w:tr>
        <w:trPr>
          <w:trHeight w:val="86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980" w:type="dxa"/>
            <w:vAlign w:val="bottom"/>
            <w:gridSpan w:val="12"/>
          </w:tcPr>
          <w:p>
            <w:pPr>
              <w:jc w:val="center"/>
              <w:ind w:left="250"/>
              <w:spacing w:after="0"/>
              <w:rPr>
                <w:sz w:val="20"/>
                <w:szCs w:val="20"/>
                <w:color w:val="auto"/>
              </w:rPr>
            </w:pPr>
            <w:r>
              <w:rPr>
                <w:rFonts w:ascii="Times New Roman" w:cs="Times New Roman" w:eastAsia="Times New Roman" w:hAnsi="Times New Roman"/>
                <w:sz w:val="18"/>
                <w:szCs w:val="18"/>
                <w:color w:val="auto"/>
                <w:w w:val="99"/>
              </w:rPr>
              <w:t>SOUTHWEST GAS HOLDINGS, INC. AND SUBSIDIARIES</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40" w:type="dxa"/>
            <w:vAlign w:val="bottom"/>
            <w:gridSpan w:val="13"/>
          </w:tcPr>
          <w:p>
            <w:pPr>
              <w:jc w:val="center"/>
              <w:spacing w:after="0"/>
              <w:rPr>
                <w:sz w:val="20"/>
                <w:szCs w:val="20"/>
                <w:color w:val="auto"/>
              </w:rPr>
            </w:pPr>
            <w:r>
              <w:rPr>
                <w:rFonts w:ascii="Times New Roman" w:cs="Times New Roman" w:eastAsia="Times New Roman" w:hAnsi="Times New Roman"/>
                <w:sz w:val="18"/>
                <w:szCs w:val="18"/>
                <w:color w:val="auto"/>
                <w:w w:val="98"/>
              </w:rPr>
              <w:t>CONDENSED CONSOLIDATED STATEMENTS OF INCOME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20" w:type="dxa"/>
            <w:vAlign w:val="bottom"/>
            <w:gridSpan w:val="8"/>
          </w:tcPr>
          <w:p>
            <w:pPr>
              <w:jc w:val="center"/>
              <w:ind w:left="159"/>
              <w:spacing w:after="0"/>
              <w:rPr>
                <w:sz w:val="20"/>
                <w:szCs w:val="20"/>
                <w:color w:val="auto"/>
              </w:rPr>
            </w:pPr>
            <w:r>
              <w:rPr>
                <w:rFonts w:ascii="Times New Roman" w:cs="Times New Roman" w:eastAsia="Times New Roman" w:hAnsi="Times New Roman"/>
                <w:sz w:val="18"/>
                <w:szCs w:val="18"/>
                <w:color w:val="auto"/>
                <w:w w:val="99"/>
              </w:rPr>
              <w:t>(In thousands, except per share amounts)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color w:val="auto"/>
              </w:rPr>
              <w:t>(Unaudited)</w:t>
            </w: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40" w:type="dxa"/>
            <w:vAlign w:val="bottom"/>
            <w:gridSpan w:val="5"/>
          </w:tcPr>
          <w:p>
            <w:pPr>
              <w:ind w:left="240"/>
              <w:spacing w:after="0"/>
              <w:rPr>
                <w:sz w:val="20"/>
                <w:szCs w:val="20"/>
                <w:color w:val="auto"/>
              </w:rPr>
            </w:pPr>
            <w:r>
              <w:rPr>
                <w:rFonts w:ascii="Times New Roman" w:cs="Times New Roman" w:eastAsia="Times New Roman" w:hAnsi="Times New Roman"/>
                <w:sz w:val="14"/>
                <w:szCs w:val="14"/>
                <w:color w:val="auto"/>
              </w:rPr>
              <w:t>Three Months Ended</w:t>
            </w:r>
          </w:p>
        </w:tc>
        <w:tc>
          <w:tcPr>
            <w:tcW w:w="340" w:type="dxa"/>
            <w:vAlign w:val="bottom"/>
          </w:tcPr>
          <w:p>
            <w:pPr>
              <w:spacing w:after="0"/>
              <w:rPr>
                <w:sz w:val="22"/>
                <w:szCs w:val="22"/>
                <w:color w:val="auto"/>
              </w:rPr>
            </w:pPr>
          </w:p>
        </w:tc>
        <w:tc>
          <w:tcPr>
            <w:tcW w:w="1940" w:type="dxa"/>
            <w:vAlign w:val="bottom"/>
            <w:gridSpan w:val="6"/>
          </w:tcPr>
          <w:p>
            <w:pPr>
              <w:ind w:left="200"/>
              <w:spacing w:after="0"/>
              <w:rPr>
                <w:sz w:val="20"/>
                <w:szCs w:val="20"/>
                <w:color w:val="auto"/>
              </w:rPr>
            </w:pPr>
            <w:r>
              <w:rPr>
                <w:rFonts w:ascii="Times New Roman" w:cs="Times New Roman" w:eastAsia="Times New Roman" w:hAnsi="Times New Roman"/>
                <w:sz w:val="14"/>
                <w:szCs w:val="14"/>
                <w:color w:val="auto"/>
              </w:rPr>
              <w:t>Six Months Ended</w:t>
            </w:r>
          </w:p>
        </w:tc>
        <w:tc>
          <w:tcPr>
            <w:tcW w:w="220" w:type="dxa"/>
            <w:vAlign w:val="bottom"/>
          </w:tcPr>
          <w:p>
            <w:pPr>
              <w:spacing w:after="0"/>
              <w:rPr>
                <w:sz w:val="22"/>
                <w:szCs w:val="22"/>
                <w:color w:val="auto"/>
              </w:rPr>
            </w:pPr>
          </w:p>
        </w:tc>
        <w:tc>
          <w:tcPr>
            <w:tcW w:w="1960" w:type="dxa"/>
            <w:vAlign w:val="bottom"/>
            <w:gridSpan w:val="4"/>
          </w:tcPr>
          <w:p>
            <w:pPr>
              <w:jc w:val="right"/>
              <w:ind w:right="367"/>
              <w:spacing w:after="0"/>
              <w:rPr>
                <w:sz w:val="20"/>
                <w:szCs w:val="20"/>
                <w:color w:val="auto"/>
              </w:rPr>
            </w:pPr>
            <w:r>
              <w:rPr>
                <w:rFonts w:ascii="Times New Roman" w:cs="Times New Roman" w:eastAsia="Times New Roman" w:hAnsi="Times New Roman"/>
                <w:sz w:val="14"/>
                <w:szCs w:val="14"/>
                <w:color w:val="auto"/>
              </w:rPr>
              <w:t>Twelve Months Ended</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June 30,</w:t>
            </w:r>
          </w:p>
        </w:tc>
        <w:tc>
          <w:tcPr>
            <w:tcW w:w="7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4"/>
          </w:tcPr>
          <w:p>
            <w:pPr>
              <w:jc w:val="right"/>
              <w:ind w:right="43"/>
              <w:spacing w:after="0"/>
              <w:rPr>
                <w:sz w:val="20"/>
                <w:szCs w:val="20"/>
                <w:color w:val="auto"/>
              </w:rPr>
            </w:pPr>
            <w:r>
              <w:rPr>
                <w:rFonts w:ascii="Times New Roman" w:cs="Times New Roman" w:eastAsia="Times New Roman" w:hAnsi="Times New Roman"/>
                <w:sz w:val="14"/>
                <w:szCs w:val="14"/>
                <w:color w:val="auto"/>
              </w:rPr>
              <w:t>June 30,</w:t>
            </w:r>
          </w:p>
        </w:tc>
        <w:tc>
          <w:tcPr>
            <w:tcW w:w="7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4"/>
          </w:tcPr>
          <w:p>
            <w:pPr>
              <w:jc w:val="right"/>
              <w:ind w:right="787"/>
              <w:spacing w:after="0"/>
              <w:rPr>
                <w:sz w:val="20"/>
                <w:szCs w:val="20"/>
                <w:color w:val="auto"/>
              </w:rPr>
            </w:pPr>
            <w:r>
              <w:rPr>
                <w:rFonts w:ascii="Times New Roman" w:cs="Times New Roman" w:eastAsia="Times New Roman" w:hAnsi="Times New Roman"/>
                <w:sz w:val="14"/>
                <w:szCs w:val="14"/>
                <w:color w:val="auto"/>
              </w:rPr>
              <w:t>June 30,</w:t>
            </w:r>
          </w:p>
        </w:tc>
        <w:tc>
          <w:tcPr>
            <w:tcW w:w="0" w:type="dxa"/>
            <w:vAlign w:val="bottom"/>
          </w:tcPr>
          <w:p>
            <w:pPr>
              <w:spacing w:after="0"/>
              <w:rPr>
                <w:sz w:val="1"/>
                <w:szCs w:val="1"/>
                <w:color w:val="auto"/>
              </w:rPr>
            </w:pPr>
          </w:p>
        </w:tc>
      </w:tr>
      <w:tr>
        <w:trPr>
          <w:trHeight w:val="196"/>
        </w:trPr>
        <w:tc>
          <w:tcPr>
            <w:tcW w:w="60" w:type="dxa"/>
            <w:vAlign w:val="bottom"/>
            <w:tcBorders>
              <w:bottom w:val="single" w:sz="8" w:color="CCEEFF"/>
            </w:tcBorders>
          </w:tcPr>
          <w:p>
            <w:pPr>
              <w:spacing w:after="0"/>
              <w:rPr>
                <w:sz w:val="17"/>
                <w:szCs w:val="17"/>
                <w:color w:val="auto"/>
              </w:rPr>
            </w:pPr>
          </w:p>
        </w:tc>
        <w:tc>
          <w:tcPr>
            <w:tcW w:w="28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7"/>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7"/>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189"/>
        </w:trPr>
        <w:tc>
          <w:tcPr>
            <w:tcW w:w="39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384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Regulated operations revenues</w:t>
            </w:r>
          </w:p>
        </w:tc>
        <w:tc>
          <w:tcPr>
            <w:tcW w:w="8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440,030</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292,796</w:t>
            </w:r>
          </w:p>
        </w:tc>
        <w:tc>
          <w:tcPr>
            <w:tcW w:w="12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1,183,562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814,728</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1,890,624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1,400,052</w:t>
            </w:r>
          </w:p>
        </w:tc>
        <w:tc>
          <w:tcPr>
            <w:tcW w:w="0" w:type="dxa"/>
            <w:vAlign w:val="bottom"/>
          </w:tcPr>
          <w:p>
            <w:pPr>
              <w:spacing w:after="0"/>
              <w:rPr>
                <w:sz w:val="1"/>
                <w:szCs w:val="1"/>
                <w:color w:val="auto"/>
              </w:rPr>
            </w:pPr>
          </w:p>
        </w:tc>
      </w:tr>
      <w:tr>
        <w:trPr>
          <w:trHeight w:val="210"/>
        </w:trPr>
        <w:tc>
          <w:tcPr>
            <w:tcW w:w="60" w:type="dxa"/>
            <w:vAlign w:val="bottom"/>
            <w:shd w:val="clear" w:color="auto" w:fill="CCEEFF"/>
          </w:tcPr>
          <w:p>
            <w:pPr>
              <w:spacing w:after="0"/>
              <w:rPr>
                <w:sz w:val="18"/>
                <w:szCs w:val="18"/>
                <w:color w:val="auto"/>
              </w:rPr>
            </w:pPr>
          </w:p>
        </w:tc>
        <w:tc>
          <w:tcPr>
            <w:tcW w:w="38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Utility infrastructure services revenues</w:t>
            </w:r>
          </w:p>
        </w:tc>
        <w:tc>
          <w:tcPr>
            <w:tcW w:w="6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706,090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528,625</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1,229,967</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892,600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2,496,028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2,012,582</w:t>
            </w:r>
          </w:p>
        </w:tc>
        <w:tc>
          <w:tcPr>
            <w:tcW w:w="0" w:type="dxa"/>
            <w:vAlign w:val="bottom"/>
          </w:tcPr>
          <w:p>
            <w:pPr>
              <w:spacing w:after="0"/>
              <w:rPr>
                <w:sz w:val="1"/>
                <w:szCs w:val="1"/>
                <w:color w:val="auto"/>
              </w:rPr>
            </w:pPr>
          </w:p>
        </w:tc>
      </w:tr>
      <w:tr>
        <w:trPr>
          <w:trHeight w:val="190"/>
        </w:trPr>
        <w:tc>
          <w:tcPr>
            <w:tcW w:w="60" w:type="dxa"/>
            <w:vAlign w:val="bottom"/>
            <w:tcBorders>
              <w:bottom w:val="single" w:sz="8" w:color="CCEEFF"/>
            </w:tcBorders>
          </w:tcPr>
          <w:p>
            <w:pPr>
              <w:spacing w:after="0"/>
              <w:rPr>
                <w:sz w:val="16"/>
                <w:szCs w:val="16"/>
                <w:color w:val="auto"/>
              </w:rPr>
            </w:pPr>
          </w:p>
        </w:tc>
        <w:tc>
          <w:tcPr>
            <w:tcW w:w="3840" w:type="dxa"/>
            <w:vAlign w:val="bottom"/>
            <w:tcBorders>
              <w:bottom w:val="single" w:sz="8" w:color="CCEEFF"/>
            </w:tcBorders>
            <w:gridSpan w:val="3"/>
          </w:tcPr>
          <w:p>
            <w:pPr>
              <w:ind w:left="620"/>
              <w:spacing w:after="0"/>
              <w:rPr>
                <w:sz w:val="20"/>
                <w:szCs w:val="20"/>
                <w:color w:val="auto"/>
              </w:rPr>
            </w:pPr>
            <w:r>
              <w:rPr>
                <w:rFonts w:ascii="Times New Roman" w:cs="Times New Roman" w:eastAsia="Times New Roman" w:hAnsi="Times New Roman"/>
                <w:sz w:val="14"/>
                <w:szCs w:val="14"/>
                <w:color w:val="auto"/>
              </w:rPr>
              <w:t>Total operating revenues</w:t>
            </w:r>
          </w:p>
        </w:tc>
        <w:tc>
          <w:tcPr>
            <w:tcW w:w="6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1,146,120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821,421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2,413,529</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1,707,328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4,386,652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3,412,634</w:t>
            </w:r>
          </w:p>
        </w:tc>
        <w:tc>
          <w:tcPr>
            <w:tcW w:w="0" w:type="dxa"/>
            <w:vAlign w:val="bottom"/>
          </w:tcPr>
          <w:p>
            <w:pPr>
              <w:spacing w:after="0"/>
              <w:rPr>
                <w:sz w:val="1"/>
                <w:szCs w:val="1"/>
                <w:color w:val="auto"/>
              </w:rPr>
            </w:pPr>
          </w:p>
        </w:tc>
      </w:tr>
      <w:tr>
        <w:trPr>
          <w:trHeight w:val="189"/>
        </w:trPr>
        <w:tc>
          <w:tcPr>
            <w:tcW w:w="39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384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Net cost of gas sold</w:t>
            </w: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147,860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76,496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446,778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232,517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645,168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347,060</w:t>
            </w:r>
          </w:p>
        </w:tc>
        <w:tc>
          <w:tcPr>
            <w:tcW w:w="0" w:type="dxa"/>
            <w:vAlign w:val="bottom"/>
          </w:tcPr>
          <w:p>
            <w:pPr>
              <w:spacing w:after="0"/>
              <w:rPr>
                <w:sz w:val="1"/>
                <w:szCs w:val="1"/>
                <w:color w:val="auto"/>
              </w:rPr>
            </w:pPr>
          </w:p>
        </w:tc>
      </w:tr>
      <w:tr>
        <w:trPr>
          <w:trHeight w:val="210"/>
        </w:trPr>
        <w:tc>
          <w:tcPr>
            <w:tcW w:w="60" w:type="dxa"/>
            <w:vAlign w:val="bottom"/>
            <w:shd w:val="clear" w:color="auto" w:fill="CCEEFF"/>
          </w:tcPr>
          <w:p>
            <w:pPr>
              <w:spacing w:after="0"/>
              <w:rPr>
                <w:sz w:val="18"/>
                <w:szCs w:val="18"/>
                <w:color w:val="auto"/>
              </w:rPr>
            </w:pPr>
          </w:p>
        </w:tc>
        <w:tc>
          <w:tcPr>
            <w:tcW w:w="38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Operations and maintenance</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175,791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104,833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325,094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211,523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586,717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416,439</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384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108,010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82,848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230,656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176,290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425,407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343,447</w:t>
            </w:r>
          </w:p>
        </w:tc>
        <w:tc>
          <w:tcPr>
            <w:tcW w:w="0" w:type="dxa"/>
            <w:vAlign w:val="bottom"/>
          </w:tcPr>
          <w:p>
            <w:pPr>
              <w:spacing w:after="0"/>
              <w:rPr>
                <w:sz w:val="1"/>
                <w:szCs w:val="1"/>
                <w:color w:val="auto"/>
              </w:rPr>
            </w:pPr>
          </w:p>
        </w:tc>
      </w:tr>
      <w:tr>
        <w:trPr>
          <w:trHeight w:val="210"/>
        </w:trPr>
        <w:tc>
          <w:tcPr>
            <w:tcW w:w="60" w:type="dxa"/>
            <w:vAlign w:val="bottom"/>
            <w:shd w:val="clear" w:color="auto" w:fill="CCEEFF"/>
          </w:tcPr>
          <w:p>
            <w:pPr>
              <w:spacing w:after="0"/>
              <w:rPr>
                <w:sz w:val="18"/>
                <w:szCs w:val="18"/>
                <w:color w:val="auto"/>
              </w:rPr>
            </w:pPr>
          </w:p>
        </w:tc>
        <w:tc>
          <w:tcPr>
            <w:tcW w:w="38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Taxes other than income taxes</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22,606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19,338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47,422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40,025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87,740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71,765</w:t>
            </w:r>
          </w:p>
        </w:tc>
        <w:tc>
          <w:tcPr>
            <w:tcW w:w="0" w:type="dxa"/>
            <w:vAlign w:val="bottom"/>
          </w:tcPr>
          <w:p>
            <w:pPr>
              <w:spacing w:after="0"/>
              <w:rPr>
                <w:sz w:val="1"/>
                <w:szCs w:val="1"/>
                <w:color w:val="auto"/>
              </w:rPr>
            </w:pPr>
          </w:p>
        </w:tc>
      </w:tr>
      <w:tr>
        <w:trPr>
          <w:trHeight w:val="196"/>
        </w:trPr>
        <w:tc>
          <w:tcPr>
            <w:tcW w:w="60" w:type="dxa"/>
            <w:vAlign w:val="bottom"/>
            <w:tcBorders>
              <w:bottom w:val="single" w:sz="8" w:color="CCEEFF"/>
            </w:tcBorders>
          </w:tcPr>
          <w:p>
            <w:pPr>
              <w:spacing w:after="0"/>
              <w:rPr>
                <w:sz w:val="17"/>
                <w:szCs w:val="17"/>
                <w:color w:val="auto"/>
              </w:rPr>
            </w:pPr>
          </w:p>
        </w:tc>
        <w:tc>
          <w:tcPr>
            <w:tcW w:w="384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4"/>
                <w:szCs w:val="14"/>
                <w:color w:val="auto"/>
              </w:rPr>
              <w:t>Utility infrastructure services expenses</w:t>
            </w:r>
          </w:p>
        </w:tc>
        <w:tc>
          <w:tcPr>
            <w:tcW w:w="6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646,193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478,640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1,149,425</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814,254</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2,290,638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1,794,145</w:t>
            </w:r>
          </w:p>
        </w:tc>
        <w:tc>
          <w:tcPr>
            <w:tcW w:w="0" w:type="dxa"/>
            <w:vAlign w:val="bottom"/>
          </w:tcPr>
          <w:p>
            <w:pPr>
              <w:spacing w:after="0"/>
              <w:rPr>
                <w:sz w:val="1"/>
                <w:szCs w:val="1"/>
                <w:color w:val="auto"/>
              </w:rPr>
            </w:pPr>
          </w:p>
        </w:tc>
      </w:tr>
      <w:tr>
        <w:trPr>
          <w:trHeight w:val="203"/>
        </w:trPr>
        <w:tc>
          <w:tcPr>
            <w:tcW w:w="60" w:type="dxa"/>
            <w:vAlign w:val="bottom"/>
            <w:shd w:val="clear" w:color="auto" w:fill="CCEEFF"/>
          </w:tcPr>
          <w:p>
            <w:pPr>
              <w:spacing w:after="0"/>
              <w:rPr>
                <w:sz w:val="17"/>
                <w:szCs w:val="17"/>
                <w:color w:val="auto"/>
              </w:rPr>
            </w:pPr>
          </w:p>
        </w:tc>
        <w:tc>
          <w:tcPr>
            <w:tcW w:w="384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6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1,100,460</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762,155</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2,199,375</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1,474,609</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4,035,670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2,972,856</w:t>
            </w:r>
          </w:p>
        </w:tc>
        <w:tc>
          <w:tcPr>
            <w:tcW w:w="0" w:type="dxa"/>
            <w:vAlign w:val="bottom"/>
          </w:tcPr>
          <w:p>
            <w:pPr>
              <w:spacing w:after="0"/>
              <w:rPr>
                <w:sz w:val="1"/>
                <w:szCs w:val="1"/>
                <w:color w:val="auto"/>
              </w:rPr>
            </w:pPr>
          </w:p>
        </w:tc>
      </w:tr>
      <w:tr>
        <w:trPr>
          <w:trHeight w:val="189"/>
        </w:trPr>
        <w:tc>
          <w:tcPr>
            <w:tcW w:w="390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6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45,660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59,266</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214,154</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232,719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350,982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439,778</w:t>
            </w:r>
          </w:p>
        </w:tc>
        <w:tc>
          <w:tcPr>
            <w:tcW w:w="0" w:type="dxa"/>
            <w:vAlign w:val="bottom"/>
          </w:tcPr>
          <w:p>
            <w:pPr>
              <w:spacing w:after="0"/>
              <w:rPr>
                <w:sz w:val="1"/>
                <w:szCs w:val="1"/>
                <w:color w:val="auto"/>
              </w:rPr>
            </w:pPr>
          </w:p>
        </w:tc>
      </w:tr>
      <w:tr>
        <w:trPr>
          <w:trHeight w:val="189"/>
        </w:trPr>
        <w:tc>
          <w:tcPr>
            <w:tcW w:w="39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and (expenses):</w:t>
            </w: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384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Net interest deductions</w:t>
            </w: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(53,206)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(25,939)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(101,569)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(49,903)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(170,864)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(106,550)</w:t>
            </w:r>
          </w:p>
        </w:tc>
        <w:tc>
          <w:tcPr>
            <w:tcW w:w="0" w:type="dxa"/>
            <w:vAlign w:val="bottom"/>
          </w:tcPr>
          <w:p>
            <w:pPr>
              <w:spacing w:after="0"/>
              <w:rPr>
                <w:sz w:val="1"/>
                <w:szCs w:val="1"/>
                <w:color w:val="auto"/>
              </w:rPr>
            </w:pPr>
          </w:p>
        </w:tc>
      </w:tr>
      <w:tr>
        <w:trPr>
          <w:trHeight w:val="210"/>
        </w:trPr>
        <w:tc>
          <w:tcPr>
            <w:tcW w:w="60" w:type="dxa"/>
            <w:vAlign w:val="bottom"/>
            <w:shd w:val="clear" w:color="auto" w:fill="CCEEFF"/>
          </w:tcPr>
          <w:p>
            <w:pPr>
              <w:spacing w:after="0"/>
              <w:rPr>
                <w:sz w:val="18"/>
                <w:szCs w:val="18"/>
                <w:color w:val="auto"/>
              </w:rPr>
            </w:pPr>
          </w:p>
        </w:tc>
        <w:tc>
          <w:tcPr>
            <w:tcW w:w="38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Other income (deductions)</w:t>
            </w:r>
          </w:p>
        </w:tc>
        <w:tc>
          <w:tcPr>
            <w:tcW w:w="6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5,193</w:t>
            </w:r>
          </w:p>
        </w:tc>
        <w:tc>
          <w:tcPr>
            <w:tcW w:w="0" w:type="dxa"/>
            <w:vAlign w:val="bottom"/>
          </w:tcPr>
          <w:p>
            <w:pPr>
              <w:spacing w:after="0"/>
              <w:rPr>
                <w:sz w:val="1"/>
                <w:szCs w:val="1"/>
                <w:color w:val="auto"/>
              </w:rPr>
            </w:pPr>
          </w:p>
        </w:tc>
      </w:tr>
      <w:tr>
        <w:trPr>
          <w:trHeight w:val="189"/>
        </w:trPr>
        <w:tc>
          <w:tcPr>
            <w:tcW w:w="60" w:type="dxa"/>
            <w:vAlign w:val="bottom"/>
            <w:tcBorders>
              <w:bottom w:val="single" w:sz="8" w:color="CCEEFF"/>
            </w:tcBorders>
          </w:tcPr>
          <w:p>
            <w:pPr>
              <w:spacing w:after="0"/>
              <w:rPr>
                <w:sz w:val="16"/>
                <w:szCs w:val="16"/>
                <w:color w:val="auto"/>
              </w:rPr>
            </w:pPr>
          </w:p>
        </w:tc>
        <w:tc>
          <w:tcPr>
            <w:tcW w:w="3840" w:type="dxa"/>
            <w:vAlign w:val="bottom"/>
            <w:tcBorders>
              <w:bottom w:val="single" w:sz="8" w:color="CCEEFF"/>
            </w:tcBorders>
            <w:gridSpan w:val="3"/>
          </w:tcPr>
          <w:p>
            <w:pPr>
              <w:ind w:left="620"/>
              <w:spacing w:after="0"/>
              <w:rPr>
                <w:sz w:val="20"/>
                <w:szCs w:val="20"/>
                <w:color w:val="auto"/>
              </w:rPr>
            </w:pPr>
            <w:r>
              <w:rPr>
                <w:rFonts w:ascii="Times New Roman" w:cs="Times New Roman" w:eastAsia="Times New Roman" w:hAnsi="Times New Roman"/>
                <w:sz w:val="14"/>
                <w:szCs w:val="14"/>
                <w:color w:val="auto"/>
              </w:rPr>
              <w:t>Total other income and (expenses)</w:t>
            </w:r>
          </w:p>
        </w:tc>
        <w:tc>
          <w:tcPr>
            <w:tcW w:w="6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(56,041)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(27,250)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(103,160)</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(50,766)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(175,091)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(101,357)</w:t>
            </w:r>
          </w:p>
        </w:tc>
        <w:tc>
          <w:tcPr>
            <w:tcW w:w="0" w:type="dxa"/>
            <w:vAlign w:val="bottom"/>
          </w:tcPr>
          <w:p>
            <w:pPr>
              <w:spacing w:after="0"/>
              <w:rPr>
                <w:sz w:val="1"/>
                <w:szCs w:val="1"/>
                <w:color w:val="auto"/>
              </w:rPr>
            </w:pPr>
          </w:p>
        </w:tc>
      </w:tr>
      <w:tr>
        <w:trPr>
          <w:trHeight w:val="203"/>
        </w:trPr>
        <w:tc>
          <w:tcPr>
            <w:tcW w:w="39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32,016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110,994</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181,953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175,891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338,421</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6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5,542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19,825</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36,634</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22,839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67,003</w:t>
            </w:r>
          </w:p>
        </w:tc>
        <w:tc>
          <w:tcPr>
            <w:tcW w:w="0" w:type="dxa"/>
            <w:vAlign w:val="bottom"/>
          </w:tcPr>
          <w:p>
            <w:pPr>
              <w:spacing w:after="0"/>
              <w:rPr>
                <w:sz w:val="1"/>
                <w:szCs w:val="1"/>
                <w:color w:val="auto"/>
              </w:rPr>
            </w:pPr>
          </w:p>
        </w:tc>
      </w:tr>
      <w:tr>
        <w:trPr>
          <w:trHeight w:val="203"/>
        </w:trPr>
        <w:tc>
          <w:tcPr>
            <w:tcW w:w="39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26,474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91,169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145,319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153,052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271,418</w:t>
            </w:r>
          </w:p>
        </w:tc>
        <w:tc>
          <w:tcPr>
            <w:tcW w:w="0" w:type="dxa"/>
            <w:vAlign w:val="bottom"/>
          </w:tcPr>
          <w:p>
            <w:pPr>
              <w:spacing w:after="0"/>
              <w:rPr>
                <w:sz w:val="1"/>
                <w:szCs w:val="1"/>
                <w:color w:val="auto"/>
              </w:rPr>
            </w:pPr>
          </w:p>
        </w:tc>
      </w:tr>
      <w:tr>
        <w:trPr>
          <w:trHeight w:val="196"/>
        </w:trPr>
        <w:tc>
          <w:tcPr>
            <w:tcW w:w="60" w:type="dxa"/>
            <w:vAlign w:val="bottom"/>
            <w:tcBorders>
              <w:bottom w:val="single" w:sz="8" w:color="CCEEFF"/>
            </w:tcBorders>
          </w:tcPr>
          <w:p>
            <w:pPr>
              <w:spacing w:after="0"/>
              <w:rPr>
                <w:sz w:val="17"/>
                <w:szCs w:val="17"/>
                <w:color w:val="auto"/>
              </w:rPr>
            </w:pPr>
          </w:p>
        </w:tc>
        <w:tc>
          <w:tcPr>
            <w:tcW w:w="384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4"/>
                <w:szCs w:val="14"/>
                <w:color w:val="auto"/>
              </w:rPr>
              <w:t>Net income attributable to noncontrolling interests</w:t>
            </w:r>
          </w:p>
        </w:tc>
        <w:tc>
          <w:tcPr>
            <w:tcW w:w="6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1,355</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1,566</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2,907</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5,082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7,189</w:t>
            </w:r>
          </w:p>
        </w:tc>
        <w:tc>
          <w:tcPr>
            <w:tcW w:w="0" w:type="dxa"/>
            <w:vAlign w:val="bottom"/>
          </w:tcPr>
          <w:p>
            <w:pPr>
              <w:spacing w:after="0"/>
              <w:rPr>
                <w:sz w:val="1"/>
                <w:szCs w:val="1"/>
                <w:color w:val="auto"/>
              </w:rPr>
            </w:pPr>
          </w:p>
        </w:tc>
      </w:tr>
      <w:tr>
        <w:trPr>
          <w:trHeight w:val="228"/>
        </w:trPr>
        <w:tc>
          <w:tcPr>
            <w:tcW w:w="39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Southwest Gas Holdings, Inc.</w:t>
            </w:r>
          </w:p>
        </w:tc>
        <w:tc>
          <w:tcPr>
            <w:tcW w:w="6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25,119</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89,603</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142,412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147,970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264,229</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Earnings (loss) per share:</w:t>
            </w:r>
          </w:p>
        </w:tc>
        <w:tc>
          <w:tcPr>
            <w:tcW w:w="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00" w:type="dxa"/>
            <w:vAlign w:val="bottom"/>
            <w:gridSpan w:val="4"/>
            <w:vMerge w:val="continue"/>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60" w:type="dxa"/>
            <w:vAlign w:val="bottom"/>
            <w:tcBorders>
              <w:bottom w:val="single" w:sz="8" w:color="CCEEFF"/>
            </w:tcBorders>
            <w:shd w:val="clear" w:color="auto" w:fill="CCEEFF"/>
          </w:tcPr>
          <w:p>
            <w:pPr>
              <w:spacing w:after="0"/>
              <w:rPr>
                <w:sz w:val="19"/>
                <w:szCs w:val="19"/>
                <w:color w:val="auto"/>
              </w:rPr>
            </w:pPr>
          </w:p>
        </w:tc>
        <w:tc>
          <w:tcPr>
            <w:tcW w:w="38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Basic</w:t>
            </w:r>
          </w:p>
        </w:tc>
        <w:tc>
          <w:tcPr>
            <w:tcW w:w="6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0.43</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0" w:type="dxa"/>
            <w:vAlign w:val="bottom"/>
          </w:tcPr>
          <w:p>
            <w:pPr>
              <w:spacing w:after="0"/>
              <w:rPr>
                <w:sz w:val="15"/>
                <w:szCs w:val="15"/>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Diluted</w:t>
            </w:r>
          </w:p>
        </w:tc>
        <w:tc>
          <w:tcPr>
            <w:tcW w:w="6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12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0.43</w:t>
            </w:r>
          </w:p>
        </w:tc>
        <w:tc>
          <w:tcPr>
            <w:tcW w:w="12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9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shares:</w:t>
            </w: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Basic</w:t>
            </w: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67,045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58,607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63,909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58,106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57,348</w:t>
            </w:r>
          </w:p>
        </w:tc>
        <w:tc>
          <w:tcPr>
            <w:tcW w:w="0" w:type="dxa"/>
            <w:vAlign w:val="bottom"/>
          </w:tcPr>
          <w:p>
            <w:pPr>
              <w:spacing w:after="0"/>
              <w:rPr>
                <w:sz w:val="1"/>
                <w:szCs w:val="1"/>
                <w:color w:val="auto"/>
              </w:rPr>
            </w:pPr>
          </w:p>
        </w:tc>
      </w:tr>
      <w:tr>
        <w:trPr>
          <w:trHeight w:val="210"/>
        </w:trPr>
        <w:tc>
          <w:tcPr>
            <w:tcW w:w="60" w:type="dxa"/>
            <w:vAlign w:val="bottom"/>
            <w:shd w:val="clear" w:color="auto" w:fill="CCEEFF"/>
          </w:tcPr>
          <w:p>
            <w:pPr>
              <w:spacing w:after="0"/>
              <w:rPr>
                <w:sz w:val="18"/>
                <w:szCs w:val="18"/>
                <w:color w:val="auto"/>
              </w:rPr>
            </w:pPr>
          </w:p>
        </w:tc>
        <w:tc>
          <w:tcPr>
            <w:tcW w:w="3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Diluted</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67,190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58,710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64,041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58,197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62,157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57,440</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June 30, 2022</w:t>
            </w:r>
          </w:p>
        </w:tc>
      </w:tr>
      <w:tr>
        <w:trPr>
          <w:trHeight w:val="86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20" w:type="dxa"/>
            <w:vAlign w:val="bottom"/>
            <w:gridSpan w:val="11"/>
          </w:tcPr>
          <w:p>
            <w:pPr>
              <w:jc w:val="center"/>
              <w:ind w:right="200"/>
              <w:spacing w:after="0"/>
              <w:rPr>
                <w:sz w:val="20"/>
                <w:szCs w:val="20"/>
                <w:color w:val="auto"/>
              </w:rPr>
            </w:pPr>
            <w:r>
              <w:rPr>
                <w:rFonts w:ascii="Times New Roman" w:cs="Times New Roman" w:eastAsia="Times New Roman" w:hAnsi="Times New Roman"/>
                <w:sz w:val="18"/>
                <w:szCs w:val="18"/>
                <w:color w:val="auto"/>
                <w:w w:val="99"/>
              </w:rPr>
              <w:t>SOUTHWEST GAS HOLDINGS, INC. AND SUBSIDIARIES</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9380" w:type="dxa"/>
            <w:vAlign w:val="bottom"/>
            <w:gridSpan w:val="16"/>
          </w:tcPr>
          <w:p>
            <w:pPr>
              <w:jc w:val="center"/>
              <w:ind w:left="1664"/>
              <w:spacing w:after="0"/>
              <w:rPr>
                <w:sz w:val="20"/>
                <w:szCs w:val="20"/>
                <w:color w:val="auto"/>
              </w:rPr>
            </w:pPr>
            <w:r>
              <w:rPr>
                <w:rFonts w:ascii="Times New Roman" w:cs="Times New Roman" w:eastAsia="Times New Roman" w:hAnsi="Times New Roman"/>
                <w:sz w:val="18"/>
                <w:szCs w:val="18"/>
                <w:color w:val="auto"/>
                <w:w w:val="99"/>
              </w:rPr>
              <w:t>CONDENSED CONSOLIDATED STATEMENTS OF COMPREHENSIVE INCOME</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(Thousands of dollars)</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(Unaudited)</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56"/>
        </w:trPr>
        <w:tc>
          <w:tcPr>
            <w:tcW w:w="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00" w:type="dxa"/>
            <w:vAlign w:val="bottom"/>
            <w:gridSpan w:val="5"/>
          </w:tcPr>
          <w:p>
            <w:pPr>
              <w:ind w:left="100"/>
              <w:spacing w:after="0"/>
              <w:rPr>
                <w:sz w:val="20"/>
                <w:szCs w:val="20"/>
                <w:color w:val="auto"/>
              </w:rPr>
            </w:pPr>
            <w:r>
              <w:rPr>
                <w:rFonts w:ascii="Times New Roman" w:cs="Times New Roman" w:eastAsia="Times New Roman" w:hAnsi="Times New Roman"/>
                <w:sz w:val="14"/>
                <w:szCs w:val="14"/>
                <w:color w:val="auto"/>
              </w:rPr>
              <w:t>Three Months Ended</w:t>
            </w:r>
          </w:p>
        </w:tc>
        <w:tc>
          <w:tcPr>
            <w:tcW w:w="180" w:type="dxa"/>
            <w:vAlign w:val="bottom"/>
          </w:tcPr>
          <w:p>
            <w:pPr>
              <w:spacing w:after="0"/>
              <w:rPr>
                <w:sz w:val="22"/>
                <w:szCs w:val="22"/>
                <w:color w:val="auto"/>
              </w:rPr>
            </w:pPr>
          </w:p>
        </w:tc>
        <w:tc>
          <w:tcPr>
            <w:tcW w:w="1740" w:type="dxa"/>
            <w:vAlign w:val="bottom"/>
            <w:gridSpan w:val="5"/>
          </w:tcPr>
          <w:p>
            <w:pPr>
              <w:ind w:left="180"/>
              <w:spacing w:after="0"/>
              <w:rPr>
                <w:sz w:val="20"/>
                <w:szCs w:val="20"/>
                <w:color w:val="auto"/>
              </w:rPr>
            </w:pPr>
            <w:r>
              <w:rPr>
                <w:rFonts w:ascii="Times New Roman" w:cs="Times New Roman" w:eastAsia="Times New Roman" w:hAnsi="Times New Roman"/>
                <w:sz w:val="14"/>
                <w:szCs w:val="14"/>
                <w:color w:val="auto"/>
              </w:rPr>
              <w:t>Six Months Ended</w:t>
            </w:r>
          </w:p>
        </w:tc>
        <w:tc>
          <w:tcPr>
            <w:tcW w:w="160" w:type="dxa"/>
            <w:vAlign w:val="bottom"/>
          </w:tcPr>
          <w:p>
            <w:pPr>
              <w:spacing w:after="0"/>
              <w:rPr>
                <w:sz w:val="22"/>
                <w:szCs w:val="22"/>
                <w:color w:val="auto"/>
              </w:rPr>
            </w:pPr>
          </w:p>
        </w:tc>
        <w:tc>
          <w:tcPr>
            <w:tcW w:w="1640" w:type="dxa"/>
            <w:vAlign w:val="bottom"/>
            <w:gridSpan w:val="4"/>
          </w:tcPr>
          <w:p>
            <w:pPr>
              <w:jc w:val="center"/>
              <w:ind w:right="108"/>
              <w:spacing w:after="0"/>
              <w:rPr>
                <w:sz w:val="20"/>
                <w:szCs w:val="20"/>
                <w:color w:val="auto"/>
              </w:rPr>
            </w:pPr>
            <w:r>
              <w:rPr>
                <w:rFonts w:ascii="Times New Roman" w:cs="Times New Roman" w:eastAsia="Times New Roman" w:hAnsi="Times New Roman"/>
                <w:sz w:val="14"/>
                <w:szCs w:val="14"/>
                <w:color w:val="auto"/>
              </w:rPr>
              <w:t>Twelve Months Ended</w:t>
            </w:r>
          </w:p>
        </w:tc>
      </w:tr>
      <w:tr>
        <w:trPr>
          <w:trHeight w:val="196"/>
        </w:trPr>
        <w:tc>
          <w:tcPr>
            <w:tcW w:w="60" w:type="dxa"/>
            <w:vAlign w:val="bottom"/>
            <w:tcBorders>
              <w:bottom w:val="single" w:sz="8" w:color="CCEEFF"/>
            </w:tcBorders>
          </w:tcPr>
          <w:p>
            <w:pPr>
              <w:spacing w:after="0"/>
              <w:rPr>
                <w:sz w:val="17"/>
                <w:szCs w:val="17"/>
                <w:color w:val="auto"/>
              </w:rPr>
            </w:pPr>
          </w:p>
        </w:tc>
        <w:tc>
          <w:tcPr>
            <w:tcW w:w="28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2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June 30,</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June 30,</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center"/>
              <w:ind w:left="387"/>
              <w:spacing w:after="0"/>
              <w:rPr>
                <w:sz w:val="20"/>
                <w:szCs w:val="20"/>
                <w:color w:val="auto"/>
              </w:rPr>
            </w:pPr>
            <w:r>
              <w:rPr>
                <w:rFonts w:ascii="Times New Roman" w:cs="Times New Roman" w:eastAsia="Times New Roman" w:hAnsi="Times New Roman"/>
                <w:sz w:val="14"/>
                <w:szCs w:val="14"/>
                <w:color w:val="auto"/>
              </w:rPr>
              <w:t>June 30,</w:t>
            </w:r>
          </w:p>
        </w:tc>
        <w:tc>
          <w:tcPr>
            <w:tcW w:w="620" w:type="dxa"/>
            <w:vAlign w:val="bottom"/>
            <w:tcBorders>
              <w:bottom w:val="single" w:sz="8" w:color="auto"/>
            </w:tcBorders>
          </w:tcPr>
          <w:p>
            <w:pPr>
              <w:spacing w:after="0"/>
              <w:rPr>
                <w:sz w:val="17"/>
                <w:szCs w:val="17"/>
                <w:color w:val="auto"/>
              </w:rPr>
            </w:pPr>
          </w:p>
        </w:tc>
      </w:tr>
      <w:tr>
        <w:trPr>
          <w:trHeight w:val="203"/>
        </w:trPr>
        <w:tc>
          <w:tcPr>
            <w:tcW w:w="6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2021</w:t>
            </w:r>
          </w:p>
        </w:tc>
      </w:tr>
      <w:tr>
        <w:trPr>
          <w:trHeight w:val="190"/>
        </w:trPr>
        <w:tc>
          <w:tcPr>
            <w:tcW w:w="458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0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(6,081)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26,474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91,169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145,319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153,052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271,418</w:t>
            </w:r>
          </w:p>
        </w:tc>
      </w:tr>
      <w:tr>
        <w:trPr>
          <w:trHeight w:val="189"/>
        </w:trPr>
        <w:tc>
          <w:tcPr>
            <w:tcW w:w="45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45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Defined benefit pension plans:</w:t>
            </w: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10"/>
        </w:trPr>
        <w:tc>
          <w:tcPr>
            <w:tcW w:w="60" w:type="dxa"/>
            <w:vAlign w:val="bottom"/>
            <w:shd w:val="clear" w:color="auto" w:fill="CCEEFF"/>
          </w:tcPr>
          <w:p>
            <w:pPr>
              <w:spacing w:after="0"/>
              <w:rPr>
                <w:sz w:val="18"/>
                <w:szCs w:val="18"/>
                <w:color w:val="auto"/>
              </w:rPr>
            </w:pPr>
          </w:p>
        </w:tc>
        <w:tc>
          <w:tcPr>
            <w:tcW w:w="45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actuarial gain (loss)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(43,730)</w:t>
            </w:r>
          </w:p>
        </w:tc>
      </w:tr>
      <w:tr>
        <w:trPr>
          <w:trHeight w:val="195"/>
        </w:trPr>
        <w:tc>
          <w:tcPr>
            <w:tcW w:w="60" w:type="dxa"/>
            <w:vAlign w:val="bottom"/>
          </w:tcPr>
          <w:p>
            <w:pPr>
              <w:spacing w:after="0"/>
              <w:rPr>
                <w:sz w:val="16"/>
                <w:szCs w:val="16"/>
                <w:color w:val="auto"/>
              </w:rPr>
            </w:pPr>
          </w:p>
        </w:tc>
        <w:tc>
          <w:tcPr>
            <w:tcW w:w="452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Amortization of prior service cost</w:t>
            </w: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w:t>
            </w:r>
          </w:p>
        </w:tc>
      </w:tr>
      <w:tr>
        <w:trPr>
          <w:trHeight w:val="210"/>
        </w:trPr>
        <w:tc>
          <w:tcPr>
            <w:tcW w:w="60" w:type="dxa"/>
            <w:vAlign w:val="bottom"/>
            <w:shd w:val="clear" w:color="auto" w:fill="CCEEFF"/>
          </w:tcPr>
          <w:p>
            <w:pPr>
              <w:spacing w:after="0"/>
              <w:rPr>
                <w:sz w:val="18"/>
                <w:szCs w:val="18"/>
                <w:color w:val="auto"/>
              </w:rPr>
            </w:pPr>
          </w:p>
        </w:tc>
        <w:tc>
          <w:tcPr>
            <w:tcW w:w="45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Amortization of net actuarial loss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31,322</w:t>
            </w:r>
          </w:p>
        </w:tc>
      </w:tr>
      <w:tr>
        <w:trPr>
          <w:trHeight w:val="196"/>
        </w:trPr>
        <w:tc>
          <w:tcPr>
            <w:tcW w:w="60" w:type="dxa"/>
            <w:vAlign w:val="bottom"/>
            <w:tcBorders>
              <w:bottom w:val="single" w:sz="8" w:color="CCEEFF"/>
            </w:tcBorders>
          </w:tcPr>
          <w:p>
            <w:pPr>
              <w:spacing w:after="0"/>
              <w:rPr>
                <w:sz w:val="17"/>
                <w:szCs w:val="17"/>
                <w:color w:val="auto"/>
              </w:rPr>
            </w:pPr>
          </w:p>
        </w:tc>
        <w:tc>
          <w:tcPr>
            <w:tcW w:w="452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4"/>
                <w:szCs w:val="14"/>
                <w:color w:val="auto"/>
              </w:rPr>
              <w:t>Regulatory adjustment</w:t>
            </w:r>
          </w:p>
        </w:tc>
        <w:tc>
          <w:tcPr>
            <w:tcW w:w="10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(7,277)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(11,047)</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(14,554)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(63,520)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3,856</w:t>
            </w:r>
          </w:p>
        </w:tc>
      </w:tr>
      <w:tr>
        <w:trPr>
          <w:trHeight w:val="203"/>
        </w:trPr>
        <w:tc>
          <w:tcPr>
            <w:tcW w:w="60" w:type="dxa"/>
            <w:vAlign w:val="bottom"/>
            <w:shd w:val="clear" w:color="auto" w:fill="CCEEFF"/>
          </w:tcPr>
          <w:p>
            <w:pPr>
              <w:spacing w:after="0"/>
              <w:rPr>
                <w:sz w:val="17"/>
                <w:szCs w:val="17"/>
                <w:color w:val="auto"/>
              </w:rPr>
            </w:pPr>
          </w:p>
        </w:tc>
        <w:tc>
          <w:tcPr>
            <w:tcW w:w="45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Net defined benefit pension plans</w:t>
            </w:r>
          </w:p>
        </w:tc>
        <w:tc>
          <w:tcPr>
            <w:tcW w:w="10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2,756</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12,064</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(7,750)</w:t>
            </w:r>
          </w:p>
        </w:tc>
      </w:tr>
      <w:tr>
        <w:trPr>
          <w:trHeight w:val="175"/>
        </w:trPr>
        <w:tc>
          <w:tcPr>
            <w:tcW w:w="60" w:type="dxa"/>
            <w:vAlign w:val="bottom"/>
          </w:tcPr>
          <w:p>
            <w:pPr>
              <w:spacing w:after="0"/>
              <w:rPr>
                <w:sz w:val="15"/>
                <w:szCs w:val="15"/>
                <w:color w:val="auto"/>
              </w:rPr>
            </w:pPr>
          </w:p>
        </w:tc>
        <w:tc>
          <w:tcPr>
            <w:tcW w:w="45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Forward-starting interest rate swaps (“FSIRS”):</w:t>
            </w: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10"/>
        </w:trPr>
        <w:tc>
          <w:tcPr>
            <w:tcW w:w="60" w:type="dxa"/>
            <w:vAlign w:val="bottom"/>
            <w:shd w:val="clear" w:color="auto" w:fill="CCEEFF"/>
          </w:tcPr>
          <w:p>
            <w:pPr>
              <w:spacing w:after="0"/>
              <w:rPr>
                <w:sz w:val="18"/>
                <w:szCs w:val="18"/>
                <w:color w:val="auto"/>
              </w:rPr>
            </w:pPr>
          </w:p>
        </w:tc>
        <w:tc>
          <w:tcPr>
            <w:tcW w:w="45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Amounts reclassified into net income</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189"/>
        </w:trPr>
        <w:tc>
          <w:tcPr>
            <w:tcW w:w="60" w:type="dxa"/>
            <w:vAlign w:val="bottom"/>
            <w:tcBorders>
              <w:bottom w:val="single" w:sz="8" w:color="CCEEFF"/>
            </w:tcBorders>
          </w:tcPr>
          <w:p>
            <w:pPr>
              <w:spacing w:after="0"/>
              <w:rPr>
                <w:sz w:val="16"/>
                <w:szCs w:val="16"/>
                <w:color w:val="auto"/>
              </w:rPr>
            </w:pPr>
          </w:p>
        </w:tc>
        <w:tc>
          <w:tcPr>
            <w:tcW w:w="452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4"/>
                <w:szCs w:val="14"/>
                <w:color w:val="auto"/>
              </w:rPr>
              <w:t>Net forward-starting interest rate swaps</w:t>
            </w:r>
          </w:p>
        </w:tc>
        <w:tc>
          <w:tcPr>
            <w:tcW w:w="106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1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1,241</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203"/>
        </w:trPr>
        <w:tc>
          <w:tcPr>
            <w:tcW w:w="60" w:type="dxa"/>
            <w:vAlign w:val="bottom"/>
            <w:shd w:val="clear" w:color="auto" w:fill="CCEEFF"/>
          </w:tcPr>
          <w:p>
            <w:pPr>
              <w:spacing w:after="0"/>
              <w:rPr>
                <w:sz w:val="17"/>
                <w:szCs w:val="17"/>
                <w:color w:val="auto"/>
              </w:rPr>
            </w:pPr>
          </w:p>
        </w:tc>
        <w:tc>
          <w:tcPr>
            <w:tcW w:w="45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5,656</w:t>
            </w:r>
          </w:p>
        </w:tc>
      </w:tr>
      <w:tr>
        <w:trPr>
          <w:trHeight w:val="189"/>
        </w:trPr>
        <w:tc>
          <w:tcPr>
            <w:tcW w:w="458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 net of tax</w:t>
            </w:r>
          </w:p>
        </w:tc>
        <w:tc>
          <w:tcPr>
            <w:tcW w:w="10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10,160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203"/>
        </w:trPr>
        <w:tc>
          <w:tcPr>
            <w:tcW w:w="45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29,174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92,402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150,634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163,212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271,347</w:t>
            </w:r>
          </w:p>
        </w:tc>
      </w:tr>
      <w:tr>
        <w:trPr>
          <w:trHeight w:val="196"/>
        </w:trPr>
        <w:tc>
          <w:tcPr>
            <w:tcW w:w="60" w:type="dxa"/>
            <w:vAlign w:val="bottom"/>
            <w:tcBorders>
              <w:bottom w:val="single" w:sz="8" w:color="CCEEFF"/>
            </w:tcBorders>
          </w:tcPr>
          <w:p>
            <w:pPr>
              <w:spacing w:after="0"/>
              <w:rPr>
                <w:sz w:val="17"/>
                <w:szCs w:val="17"/>
                <w:color w:val="auto"/>
              </w:rPr>
            </w:pPr>
          </w:p>
        </w:tc>
        <w:tc>
          <w:tcPr>
            <w:tcW w:w="452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4"/>
                <w:szCs w:val="14"/>
                <w:color w:val="auto"/>
              </w:rPr>
              <w:t>Comprehensive income attributable to noncontrolling interests</w:t>
            </w:r>
          </w:p>
        </w:tc>
        <w:tc>
          <w:tcPr>
            <w:tcW w:w="10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1,566</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7,189</w:t>
            </w:r>
          </w:p>
        </w:tc>
      </w:tr>
      <w:tr>
        <w:trPr>
          <w:trHeight w:val="228"/>
        </w:trPr>
        <w:tc>
          <w:tcPr>
            <w:tcW w:w="45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 attributable to Southwest Gas Holdings, Inc.</w:t>
            </w:r>
          </w:p>
        </w:tc>
        <w:tc>
          <w:tcPr>
            <w:tcW w:w="10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27,819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90,836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147,727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158,130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264,158</w:t>
            </w: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Form 10-Q</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June 30, 2022</w:t>
            </w:r>
          </w:p>
        </w:tc>
        <w:tc>
          <w:tcPr>
            <w:tcW w:w="0" w:type="dxa"/>
            <w:vAlign w:val="bottom"/>
          </w:tcPr>
          <w:p>
            <w:pPr>
              <w:spacing w:after="0"/>
              <w:rPr>
                <w:sz w:val="1"/>
                <w:szCs w:val="1"/>
                <w:color w:val="auto"/>
              </w:rPr>
            </w:pPr>
          </w:p>
        </w:tc>
      </w:tr>
      <w:tr>
        <w:trPr>
          <w:trHeight w:val="866"/>
        </w:trPr>
        <w:tc>
          <w:tcPr>
            <w:tcW w:w="2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3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SOUTHWEST GAS HOLDINGS, INC. AND SUBSIDIARIES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8"/>
              </w:rPr>
              <w:t>CONDENSED CONSOLIDATED STATEMENTS OF CASH FLOWS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8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rPr>
              <w:t>(Thousands of dollars)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20" w:type="dxa"/>
            <w:vAlign w:val="bottom"/>
            <w:gridSpan w:val="5"/>
          </w:tcPr>
          <w:p>
            <w:pPr>
              <w:ind w:left="300"/>
              <w:spacing w:after="0"/>
              <w:rPr>
                <w:sz w:val="20"/>
                <w:szCs w:val="20"/>
                <w:color w:val="auto"/>
              </w:rPr>
            </w:pPr>
            <w:r>
              <w:rPr>
                <w:rFonts w:ascii="Times New Roman" w:cs="Times New Roman" w:eastAsia="Times New Roman" w:hAnsi="Times New Roman"/>
                <w:sz w:val="14"/>
                <w:szCs w:val="14"/>
                <w:color w:val="auto"/>
              </w:rPr>
              <w:t>Six Months Ended</w:t>
            </w:r>
          </w:p>
        </w:tc>
        <w:tc>
          <w:tcPr>
            <w:tcW w:w="200" w:type="dxa"/>
            <w:vAlign w:val="bottom"/>
          </w:tcPr>
          <w:p>
            <w:pPr>
              <w:spacing w:after="0"/>
              <w:rPr>
                <w:sz w:val="22"/>
                <w:szCs w:val="22"/>
                <w:color w:val="auto"/>
              </w:rPr>
            </w:pPr>
          </w:p>
        </w:tc>
        <w:tc>
          <w:tcPr>
            <w:tcW w:w="1940" w:type="dxa"/>
            <w:vAlign w:val="bottom"/>
            <w:gridSpan w:val="4"/>
          </w:tcPr>
          <w:p>
            <w:pPr>
              <w:jc w:val="right"/>
              <w:ind w:right="348"/>
              <w:spacing w:after="0"/>
              <w:rPr>
                <w:sz w:val="20"/>
                <w:szCs w:val="20"/>
                <w:color w:val="auto"/>
              </w:rPr>
            </w:pPr>
            <w:r>
              <w:rPr>
                <w:rFonts w:ascii="Times New Roman" w:cs="Times New Roman" w:eastAsia="Times New Roman" w:hAnsi="Times New Roman"/>
                <w:sz w:val="14"/>
                <w:szCs w:val="14"/>
                <w:color w:val="auto"/>
              </w:rPr>
              <w:t>Twelve Months Ended</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28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68"/>
              <w:spacing w:after="0"/>
              <w:rPr>
                <w:sz w:val="20"/>
                <w:szCs w:val="20"/>
                <w:color w:val="auto"/>
              </w:rPr>
            </w:pPr>
            <w:r>
              <w:rPr>
                <w:rFonts w:ascii="Times New Roman" w:cs="Times New Roman" w:eastAsia="Times New Roman" w:hAnsi="Times New Roman"/>
                <w:sz w:val="14"/>
                <w:szCs w:val="14"/>
                <w:color w:val="auto"/>
              </w:rPr>
              <w:t>June 30,</w:t>
            </w: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June 30,</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CASH FLOW FROM OPERATING ACTIVITIES:</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91,169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145,319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153,052</w:t>
            </w:r>
          </w:p>
        </w:tc>
        <w:tc>
          <w:tcPr>
            <w:tcW w:w="2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271,418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78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7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230,656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176,290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425,407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343,447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780" w:type="dxa"/>
            <w:vAlign w:val="bottom"/>
            <w:gridSpan w:val="3"/>
          </w:tcPr>
          <w:p>
            <w:pPr>
              <w:ind w:left="640"/>
              <w:spacing w:after="0"/>
              <w:rPr>
                <w:sz w:val="20"/>
                <w:szCs w:val="20"/>
                <w:color w:val="auto"/>
              </w:rPr>
            </w:pPr>
            <w:r>
              <w:rPr>
                <w:rFonts w:ascii="Times New Roman" w:cs="Times New Roman" w:eastAsia="Times New Roman" w:hAnsi="Times New Roman"/>
                <w:sz w:val="14"/>
                <w:szCs w:val="14"/>
                <w:color w:val="auto"/>
              </w:rPr>
              <w:t>Deferred income taxes</w:t>
            </w: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30,163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44,178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47,197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63,774</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7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Changes in current assets and liabilities: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780" w:type="dxa"/>
            <w:vAlign w:val="bottom"/>
            <w:gridSpan w:val="3"/>
          </w:tcPr>
          <w:p>
            <w:pPr>
              <w:ind w:left="1100"/>
              <w:spacing w:after="0"/>
              <w:rPr>
                <w:sz w:val="20"/>
                <w:szCs w:val="20"/>
                <w:color w:val="auto"/>
              </w:rPr>
            </w:pPr>
            <w:r>
              <w:rPr>
                <w:rFonts w:ascii="Times New Roman" w:cs="Times New Roman" w:eastAsia="Times New Roman" w:hAnsi="Times New Roman"/>
                <w:sz w:val="14"/>
                <w:szCs w:val="14"/>
                <w:color w:val="auto"/>
              </w:rPr>
              <w:t>Accounts receivable, net of allowances</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(42,212)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(103,771)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(29,021)</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78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Accrued utility revenue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44,900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43,900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780" w:type="dxa"/>
            <w:vAlign w:val="bottom"/>
            <w:gridSpan w:val="3"/>
          </w:tcPr>
          <w:p>
            <w:pPr>
              <w:ind w:left="1100"/>
              <w:spacing w:after="0"/>
              <w:rPr>
                <w:sz w:val="20"/>
                <w:szCs w:val="20"/>
                <w:color w:val="auto"/>
              </w:rPr>
            </w:pPr>
            <w:r>
              <w:rPr>
                <w:rFonts w:ascii="Times New Roman" w:cs="Times New Roman" w:eastAsia="Times New Roman" w:hAnsi="Times New Roman"/>
                <w:sz w:val="14"/>
                <w:szCs w:val="14"/>
                <w:color w:val="auto"/>
              </w:rPr>
              <w:t>Deferred purchased gas costs</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(64,176)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(287,687)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(305,043)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78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58,145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780" w:type="dxa"/>
            <w:vAlign w:val="bottom"/>
            <w:gridSpan w:val="3"/>
          </w:tcPr>
          <w:p>
            <w:pPr>
              <w:ind w:left="1100"/>
              <w:spacing w:after="0"/>
              <w:rPr>
                <w:sz w:val="20"/>
                <w:szCs w:val="20"/>
                <w:color w:val="auto"/>
              </w:rPr>
            </w:pPr>
            <w:r>
              <w:rPr>
                <w:rFonts w:ascii="Times New Roman" w:cs="Times New Roman" w:eastAsia="Times New Roman" w:hAnsi="Times New Roman"/>
                <w:sz w:val="14"/>
                <w:szCs w:val="14"/>
                <w:color w:val="auto"/>
              </w:rPr>
              <w:t>Accrued taxes</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2,988</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78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Other current assets and liabilities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16,480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780" w:type="dxa"/>
            <w:vAlign w:val="bottom"/>
            <w:gridSpan w:val="3"/>
          </w:tcPr>
          <w:p>
            <w:pPr>
              <w:ind w:left="640"/>
              <w:spacing w:after="0"/>
              <w:rPr>
                <w:sz w:val="20"/>
                <w:szCs w:val="20"/>
                <w:color w:val="auto"/>
              </w:rPr>
            </w:pPr>
            <w:r>
              <w:rPr>
                <w:rFonts w:ascii="Times New Roman" w:cs="Times New Roman" w:eastAsia="Times New Roman" w:hAnsi="Times New Roman"/>
                <w:sz w:val="14"/>
                <w:szCs w:val="14"/>
                <w:color w:val="auto"/>
              </w:rPr>
              <w:t>Gains on sale of property and equipment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(5,572)</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7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Changes in undistributed stock compensation</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10,594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8,518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780" w:type="dxa"/>
            <w:vAlign w:val="bottom"/>
            <w:gridSpan w:val="3"/>
          </w:tcPr>
          <w:p>
            <w:pPr>
              <w:ind w:left="640"/>
              <w:spacing w:after="0"/>
              <w:rPr>
                <w:sz w:val="20"/>
                <w:szCs w:val="20"/>
                <w:color w:val="auto"/>
              </w:rPr>
            </w:pPr>
            <w:r>
              <w:rPr>
                <w:rFonts w:ascii="Times New Roman" w:cs="Times New Roman" w:eastAsia="Times New Roman" w:hAnsi="Times New Roman"/>
                <w:sz w:val="14"/>
                <w:szCs w:val="14"/>
                <w:color w:val="auto"/>
              </w:rPr>
              <w:t>Equity AFUDC</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7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Changes in deferred charges and other assets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13,736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11,366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(35,494)</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6780" w:type="dxa"/>
            <w:vAlign w:val="bottom"/>
            <w:tcBorders>
              <w:bottom w:val="single" w:sz="8" w:color="CCEEFF"/>
            </w:tcBorders>
            <w:gridSpan w:val="3"/>
          </w:tcPr>
          <w:p>
            <w:pPr>
              <w:ind w:left="640"/>
              <w:spacing w:after="0"/>
              <w:rPr>
                <w:sz w:val="20"/>
                <w:szCs w:val="20"/>
                <w:color w:val="auto"/>
              </w:rPr>
            </w:pPr>
            <w:r>
              <w:rPr>
                <w:rFonts w:ascii="Times New Roman" w:cs="Times New Roman" w:eastAsia="Times New Roman" w:hAnsi="Times New Roman"/>
                <w:sz w:val="14"/>
                <w:szCs w:val="14"/>
                <w:color w:val="auto"/>
              </w:rPr>
              <w:t>Changes in other liabilities and deferred credits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(21,705)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(45,013)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(50,321)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(52,865)</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7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263,618</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1,357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373,644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252,297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CASH FLOW FROM INVESTING ACTIVITIES:</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Construction expenditures and property additions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(367,932)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(338,049)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(745,509)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(739,719)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78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Acquisition of businesses, net of cash acquired</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(18,809)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(2,373,069)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Changes in customer advances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17,051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25,518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17,442</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678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3,905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9,159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13,002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13,367</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7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(365,785)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(321,383)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(3,080,058)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(708,910)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CASH FLOW FROM FINANCING ACTIVITIES:</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Issuance of common stock, net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456,280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121,302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548,619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205,049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78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Centuri distribution to redeemable noncontrolling interest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(39,649)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Dividends paid</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(131,189)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78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Issuance of long-term debt, net</w:t>
            </w: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759,602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82,245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2,338,053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124,319</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Retirement of long-term debt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(412,263)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(804,427)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(299,370)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78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Change in credit facility and commercial paper</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150,000</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Change in short-term debt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(446,253)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211,000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(705,253)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260,000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78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Issuance of short-term debt</w:t>
            </w:r>
          </w:p>
        </w:tc>
        <w:tc>
          <w:tcPr>
            <w:tcW w:w="2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1,850,000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Withholding remittance - share-based compensation</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678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(12,811)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(11,917)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(3,565)</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7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95,398</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284,051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2,874,805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304,001</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678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4"/>
                <w:szCs w:val="14"/>
                <w:color w:val="auto"/>
              </w:rPr>
              <w:t>Effects of currency translation on cash and cash equivalents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586</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Change in cash and cash equivalents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(35,787)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168,398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(152,026)</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678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222,697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83,352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47,565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199,591</w:t>
            </w: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678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215,963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47,565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215,963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47,565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7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4"/>
                <w:szCs w:val="14"/>
                <w:color w:val="auto"/>
              </w:rPr>
              <w:t>SUPPLEMENTAL INFORMATION:</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678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Interest paid, net of amounts capitalized</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92,297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47,475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149,174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101,227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color w:val="auto"/>
              </w:rPr>
              <w:t>Income taxes paid (received), net</w:t>
            </w: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780" w:type="dxa"/>
            <w:vAlign w:val="bottom"/>
            <w:gridSpan w:val="3"/>
            <w:vMerge w:val="continue"/>
          </w:tcPr>
          <w:p>
            <w:pPr>
              <w:spacing w:after="0"/>
              <w:rPr>
                <w:sz w:val="15"/>
                <w:szCs w:val="15"/>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8,300</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6,659</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5,849</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15,118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124460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257"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Form 10-Q</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3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June 30, 2022</w:t>
            </w:r>
          </w:p>
        </w:tc>
        <w:tc>
          <w:tcPr>
            <w:tcW w:w="0" w:type="dxa"/>
            <w:vAlign w:val="bottom"/>
          </w:tcPr>
          <w:p>
            <w:pPr>
              <w:spacing w:after="0"/>
              <w:rPr>
                <w:sz w:val="1"/>
                <w:szCs w:val="1"/>
                <w:color w:val="auto"/>
              </w:rPr>
            </w:pPr>
          </w:p>
        </w:tc>
      </w:tr>
      <w:tr>
        <w:trPr>
          <w:trHeight w:val="86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60" w:type="dxa"/>
            <w:vAlign w:val="bottom"/>
            <w:gridSpan w:val="5"/>
          </w:tcPr>
          <w:p>
            <w:pPr>
              <w:jc w:val="center"/>
              <w:ind w:left="170"/>
              <w:spacing w:after="0"/>
              <w:rPr>
                <w:sz w:val="20"/>
                <w:szCs w:val="20"/>
                <w:color w:val="auto"/>
              </w:rPr>
            </w:pPr>
            <w:r>
              <w:rPr>
                <w:rFonts w:ascii="Times New Roman" w:cs="Times New Roman" w:eastAsia="Times New Roman" w:hAnsi="Times New Roman"/>
                <w:sz w:val="18"/>
                <w:szCs w:val="18"/>
                <w:color w:val="auto"/>
                <w:w w:val="99"/>
              </w:rPr>
              <w:t>SOUTHWEST GAS HOLDINGS, INC. AND SUBSIDIARIES</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60" w:type="dxa"/>
            <w:vAlign w:val="bottom"/>
            <w:gridSpan w:val="5"/>
          </w:tcPr>
          <w:p>
            <w:pPr>
              <w:jc w:val="center"/>
              <w:ind w:left="170"/>
              <w:spacing w:after="0"/>
              <w:rPr>
                <w:sz w:val="20"/>
                <w:szCs w:val="20"/>
                <w:color w:val="auto"/>
              </w:rPr>
            </w:pPr>
            <w:r>
              <w:rPr>
                <w:rFonts w:ascii="Times New Roman" w:cs="Times New Roman" w:eastAsia="Times New Roman" w:hAnsi="Times New Roman"/>
                <w:sz w:val="18"/>
                <w:szCs w:val="18"/>
                <w:color w:val="auto"/>
                <w:w w:val="98"/>
              </w:rPr>
              <w:t>CONDENSED CONSOLIDATED STATEMENTS OF EQUITY</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40" w:type="dxa"/>
            <w:vAlign w:val="bottom"/>
            <w:gridSpan w:val="4"/>
          </w:tcPr>
          <w:p>
            <w:pPr>
              <w:jc w:val="center"/>
              <w:ind w:left="510"/>
              <w:spacing w:after="0"/>
              <w:rPr>
                <w:sz w:val="20"/>
                <w:szCs w:val="20"/>
                <w:color w:val="auto"/>
              </w:rPr>
            </w:pPr>
            <w:r>
              <w:rPr>
                <w:rFonts w:ascii="Times New Roman" w:cs="Times New Roman" w:eastAsia="Times New Roman" w:hAnsi="Times New Roman"/>
                <w:sz w:val="18"/>
                <w:szCs w:val="18"/>
                <w:color w:val="auto"/>
                <w:w w:val="99"/>
              </w:rPr>
              <w:t>(In thousands, except per share amounts)</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2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rPr>
              <w:t>(Unaudited)</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8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Three Months Ended</w:t>
            </w:r>
          </w:p>
        </w:tc>
        <w:tc>
          <w:tcPr>
            <w:tcW w:w="240" w:type="dxa"/>
            <w:vAlign w:val="bottom"/>
          </w:tcPr>
          <w:p>
            <w:pPr>
              <w:spacing w:after="0"/>
              <w:rPr>
                <w:sz w:val="24"/>
                <w:szCs w:val="24"/>
                <w:color w:val="auto"/>
              </w:rPr>
            </w:pPr>
          </w:p>
        </w:tc>
        <w:tc>
          <w:tcPr>
            <w:tcW w:w="2080" w:type="dxa"/>
            <w:vAlign w:val="bottom"/>
            <w:gridSpan w:val="4"/>
          </w:tcPr>
          <w:p>
            <w:pPr>
              <w:jc w:val="right"/>
              <w:ind w:right="479"/>
              <w:spacing w:after="0"/>
              <w:rPr>
                <w:sz w:val="20"/>
                <w:szCs w:val="20"/>
                <w:color w:val="auto"/>
              </w:rPr>
            </w:pPr>
            <w:r>
              <w:rPr>
                <w:rFonts w:ascii="Times New Roman" w:cs="Times New Roman" w:eastAsia="Times New Roman" w:hAnsi="Times New Roman"/>
                <w:sz w:val="16"/>
                <w:szCs w:val="16"/>
                <w:color w:val="auto"/>
              </w:rPr>
              <w:t>Six Months Ended</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June 30,</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June 30,</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5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2021</w:t>
            </w:r>
          </w:p>
        </w:tc>
        <w:tc>
          <w:tcPr>
            <w:tcW w:w="0" w:type="dxa"/>
            <w:vAlign w:val="bottom"/>
          </w:tcPr>
          <w:p>
            <w:pPr>
              <w:spacing w:after="0"/>
              <w:rPr>
                <w:sz w:val="1"/>
                <w:szCs w:val="1"/>
                <w:color w:val="auto"/>
              </w:rPr>
            </w:pPr>
          </w:p>
        </w:tc>
      </w:tr>
      <w:tr>
        <w:trPr>
          <w:trHeight w:val="199"/>
        </w:trPr>
        <w:tc>
          <w:tcPr>
            <w:tcW w:w="6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shares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42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Beginning balances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57,995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57,193</w:t>
            </w: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642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Common stock issuances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1,895</w:t>
            </w: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642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Ending balances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67,004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59,088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67,004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59,088</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amount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42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Beginning balances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68,479</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59,625</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62,052</w:t>
            </w:r>
          </w:p>
        </w:tc>
        <w:tc>
          <w:tcPr>
            <w:tcW w:w="120" w:type="dxa"/>
            <w:vAlign w:val="bottom"/>
          </w:tcPr>
          <w:p>
            <w:pPr>
              <w:spacing w:after="0"/>
              <w:rPr>
                <w:sz w:val="18"/>
                <w:szCs w:val="18"/>
                <w:color w:val="auto"/>
              </w:rPr>
            </w:pPr>
          </w:p>
        </w:tc>
        <w:tc>
          <w:tcPr>
            <w:tcW w:w="220" w:type="dxa"/>
            <w:vAlign w:val="bottom"/>
          </w:tcPr>
          <w:p>
            <w:pPr>
              <w:jc w:val="right"/>
              <w:ind w:right="37"/>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58,823</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Common stock issuances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1,895</w:t>
            </w:r>
          </w:p>
        </w:tc>
        <w:tc>
          <w:tcPr>
            <w:tcW w:w="0" w:type="dxa"/>
            <w:vAlign w:val="bottom"/>
          </w:tcPr>
          <w:p>
            <w:pPr>
              <w:spacing w:after="0"/>
              <w:rPr>
                <w:sz w:val="1"/>
                <w:szCs w:val="1"/>
                <w:color w:val="auto"/>
              </w:rPr>
            </w:pPr>
          </w:p>
        </w:tc>
      </w:tr>
      <w:tr>
        <w:trPr>
          <w:trHeight w:val="207"/>
        </w:trPr>
        <w:tc>
          <w:tcPr>
            <w:tcW w:w="60" w:type="dxa"/>
            <w:vAlign w:val="bottom"/>
            <w:tcBorders>
              <w:bottom w:val="single" w:sz="8" w:color="CCEEFF"/>
            </w:tcBorders>
          </w:tcPr>
          <w:p>
            <w:pPr>
              <w:spacing w:after="0"/>
              <w:rPr>
                <w:sz w:val="17"/>
                <w:szCs w:val="17"/>
                <w:color w:val="auto"/>
              </w:rPr>
            </w:pPr>
          </w:p>
        </w:tc>
        <w:tc>
          <w:tcPr>
            <w:tcW w:w="642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6"/>
                <w:szCs w:val="16"/>
                <w:color w:val="auto"/>
              </w:rPr>
              <w:t>Ending balances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68,634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60,718</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68,634</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60,718</w:t>
            </w:r>
          </w:p>
        </w:tc>
        <w:tc>
          <w:tcPr>
            <w:tcW w:w="0" w:type="dxa"/>
            <w:vAlign w:val="bottom"/>
          </w:tcPr>
          <w:p>
            <w:pPr>
              <w:spacing w:after="0"/>
              <w:rPr>
                <w:sz w:val="1"/>
                <w:szCs w:val="1"/>
                <w:color w:val="auto"/>
              </w:rPr>
            </w:pPr>
          </w:p>
        </w:tc>
      </w:tr>
      <w:tr>
        <w:trPr>
          <w:trHeight w:val="199"/>
        </w:trPr>
        <w:tc>
          <w:tcPr>
            <w:tcW w:w="6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42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Beginning balances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2,273,837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1,660,108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1,824,216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1,609,155</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Common stock issuances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73,464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455,277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124,417</w:t>
            </w:r>
          </w:p>
        </w:tc>
        <w:tc>
          <w:tcPr>
            <w:tcW w:w="0" w:type="dxa"/>
            <w:vAlign w:val="bottom"/>
          </w:tcPr>
          <w:p>
            <w:pPr>
              <w:spacing w:after="0"/>
              <w:rPr>
                <w:sz w:val="1"/>
                <w:szCs w:val="1"/>
                <w:color w:val="auto"/>
              </w:rPr>
            </w:pPr>
          </w:p>
        </w:tc>
      </w:tr>
      <w:tr>
        <w:trPr>
          <w:trHeight w:val="207"/>
        </w:trPr>
        <w:tc>
          <w:tcPr>
            <w:tcW w:w="60" w:type="dxa"/>
            <w:vAlign w:val="bottom"/>
            <w:tcBorders>
              <w:bottom w:val="single" w:sz="8" w:color="CCEEFF"/>
            </w:tcBorders>
          </w:tcPr>
          <w:p>
            <w:pPr>
              <w:spacing w:after="0"/>
              <w:rPr>
                <w:sz w:val="17"/>
                <w:szCs w:val="17"/>
                <w:color w:val="auto"/>
              </w:rPr>
            </w:pPr>
          </w:p>
        </w:tc>
        <w:tc>
          <w:tcPr>
            <w:tcW w:w="642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6"/>
                <w:szCs w:val="16"/>
                <w:color w:val="auto"/>
              </w:rPr>
              <w:t>Ending balances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2,279,493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1,733,572</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2,279,493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1,733,572</w:t>
            </w:r>
          </w:p>
        </w:tc>
        <w:tc>
          <w:tcPr>
            <w:tcW w:w="0" w:type="dxa"/>
            <w:vAlign w:val="bottom"/>
          </w:tcPr>
          <w:p>
            <w:pPr>
              <w:spacing w:after="0"/>
              <w:rPr>
                <w:sz w:val="1"/>
                <w:szCs w:val="1"/>
                <w:color w:val="auto"/>
              </w:rPr>
            </w:pPr>
          </w:p>
        </w:tc>
      </w:tr>
      <w:tr>
        <w:trPr>
          <w:trHeight w:val="199"/>
        </w:trPr>
        <w:tc>
          <w:tcPr>
            <w:tcW w:w="6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42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Beginning balances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(61,003)</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Foreign currency exchange translation adjustment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1,732</w:t>
            </w: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6420" w:type="dxa"/>
            <w:vAlign w:val="bottom"/>
            <w:gridSpan w:val="3"/>
          </w:tcPr>
          <w:p>
            <w:pPr>
              <w:ind w:left="900"/>
              <w:spacing w:after="0" w:line="162" w:lineRule="exact"/>
              <w:rPr>
                <w:sz w:val="20"/>
                <w:szCs w:val="20"/>
                <w:color w:val="auto"/>
              </w:rPr>
            </w:pPr>
            <w:r>
              <w:rPr>
                <w:rFonts w:ascii="Times New Roman" w:cs="Times New Roman" w:eastAsia="Times New Roman" w:hAnsi="Times New Roman"/>
                <w:sz w:val="16"/>
                <w:szCs w:val="16"/>
                <w:color w:val="auto"/>
              </w:rPr>
              <w:t>Net actuarial gain arising during period, less amortization of unamortized benefit</w:t>
            </w: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1,377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2,250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2,756</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420" w:type="dxa"/>
            <w:vAlign w:val="bottom"/>
            <w:gridSpan w:val="3"/>
          </w:tcPr>
          <w:p>
            <w:pPr>
              <w:ind w:left="1060"/>
              <w:spacing w:after="0"/>
              <w:rPr>
                <w:sz w:val="20"/>
                <w:szCs w:val="20"/>
                <w:color w:val="auto"/>
              </w:rPr>
            </w:pPr>
            <w:r>
              <w:rPr>
                <w:rFonts w:ascii="Times New Roman" w:cs="Times New Roman" w:eastAsia="Times New Roman" w:hAnsi="Times New Roman"/>
                <w:sz w:val="16"/>
                <w:szCs w:val="16"/>
                <w:color w:val="auto"/>
              </w:rPr>
              <w:t>plan cost, net of tax</w:t>
            </w: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FSIRS amounts reclassified to net income, net of tax</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0" w:type="dxa"/>
            <w:vAlign w:val="bottom"/>
          </w:tcPr>
          <w:p>
            <w:pPr>
              <w:spacing w:after="0"/>
              <w:rPr>
                <w:sz w:val="1"/>
                <w:szCs w:val="1"/>
                <w:color w:val="auto"/>
              </w:rPr>
            </w:pPr>
          </w:p>
        </w:tc>
      </w:tr>
      <w:tr>
        <w:trPr>
          <w:trHeight w:val="207"/>
        </w:trPr>
        <w:tc>
          <w:tcPr>
            <w:tcW w:w="60" w:type="dxa"/>
            <w:vAlign w:val="bottom"/>
            <w:tcBorders>
              <w:bottom w:val="single" w:sz="8" w:color="CCEEFF"/>
            </w:tcBorders>
          </w:tcPr>
          <w:p>
            <w:pPr>
              <w:spacing w:after="0"/>
              <w:rPr>
                <w:sz w:val="17"/>
                <w:szCs w:val="17"/>
                <w:color w:val="auto"/>
              </w:rPr>
            </w:pPr>
          </w:p>
        </w:tc>
        <w:tc>
          <w:tcPr>
            <w:tcW w:w="642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6"/>
                <w:szCs w:val="16"/>
                <w:color w:val="auto"/>
              </w:rPr>
              <w:t>Ending balances</w:t>
            </w: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(45,528)</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(55,688)</w:t>
            </w:r>
          </w:p>
        </w:tc>
        <w:tc>
          <w:tcPr>
            <w:tcW w:w="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(45,528)</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(55,688)</w:t>
            </w:r>
          </w:p>
        </w:tc>
        <w:tc>
          <w:tcPr>
            <w:tcW w:w="0" w:type="dxa"/>
            <w:vAlign w:val="bottom"/>
          </w:tcPr>
          <w:p>
            <w:pPr>
              <w:spacing w:after="0"/>
              <w:rPr>
                <w:sz w:val="1"/>
                <w:szCs w:val="1"/>
                <w:color w:val="auto"/>
              </w:rPr>
            </w:pPr>
          </w:p>
        </w:tc>
      </w:tr>
      <w:tr>
        <w:trPr>
          <w:trHeight w:val="199"/>
        </w:trPr>
        <w:tc>
          <w:tcPr>
            <w:tcW w:w="6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42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Beginning balances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1,190,738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1,112,377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1,114,313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1,067,978</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142,412</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420" w:type="dxa"/>
            <w:vAlign w:val="bottom"/>
            <w:gridSpan w:val="3"/>
          </w:tcPr>
          <w:p>
            <w:pPr>
              <w:ind w:left="900"/>
              <w:spacing w:after="0"/>
              <w:rPr>
                <w:sz w:val="20"/>
                <w:szCs w:val="20"/>
                <w:color w:val="auto"/>
              </w:rPr>
            </w:pPr>
            <w:r>
              <w:rPr>
                <w:rFonts w:ascii="Times New Roman" w:cs="Times New Roman" w:eastAsia="Times New Roman" w:hAnsi="Times New Roman"/>
                <w:sz w:val="16"/>
                <w:szCs w:val="16"/>
                <w:color w:val="auto"/>
              </w:rPr>
              <w:t>Dividends declared</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(83,641)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(70,205)</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Redemption value adjustments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35,978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(31,906)</w:t>
            </w:r>
          </w:p>
        </w:tc>
        <w:tc>
          <w:tcPr>
            <w:tcW w:w="0" w:type="dxa"/>
            <w:vAlign w:val="bottom"/>
          </w:tcPr>
          <w:p>
            <w:pPr>
              <w:spacing w:after="0"/>
              <w:rPr>
                <w:sz w:val="1"/>
                <w:szCs w:val="1"/>
                <w:color w:val="auto"/>
              </w:rPr>
            </w:pPr>
          </w:p>
        </w:tc>
      </w:tr>
      <w:tr>
        <w:trPr>
          <w:trHeight w:val="207"/>
        </w:trPr>
        <w:tc>
          <w:tcPr>
            <w:tcW w:w="60" w:type="dxa"/>
            <w:vAlign w:val="bottom"/>
            <w:tcBorders>
              <w:bottom w:val="single" w:sz="8" w:color="CCEEFF"/>
            </w:tcBorders>
          </w:tcPr>
          <w:p>
            <w:pPr>
              <w:spacing w:after="0"/>
              <w:rPr>
                <w:sz w:val="17"/>
                <w:szCs w:val="17"/>
                <w:color w:val="auto"/>
              </w:rPr>
            </w:pPr>
          </w:p>
        </w:tc>
        <w:tc>
          <w:tcPr>
            <w:tcW w:w="642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6"/>
                <w:szCs w:val="16"/>
                <w:color w:val="auto"/>
              </w:rPr>
              <w:t>Ending balances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1,156,253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1,108,279</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1,156,253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1,108,279</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equity ending balances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3,458,852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2,846,881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3,458,852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2,846,881</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gridSpan w:val="4"/>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4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Dividends declared per common share</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0.62</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0.595</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7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Form 10-Q</w:t>
            </w:r>
          </w:p>
        </w:tc>
        <w:tc>
          <w:tcPr>
            <w:tcW w:w="0" w:type="dxa"/>
            <w:vAlign w:val="bottom"/>
          </w:tcPr>
          <w:p>
            <w:pPr>
              <w:spacing w:after="0"/>
              <w:rPr>
                <w:sz w:val="1"/>
                <w:szCs w:val="1"/>
                <w:color w:val="auto"/>
              </w:rPr>
            </w:pPr>
          </w:p>
        </w:tc>
      </w:tr>
      <w:tr>
        <w:trPr>
          <w:trHeight w:val="210"/>
        </w:trPr>
        <w:tc>
          <w:tcPr>
            <w:tcW w:w="29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472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June 30, 2022</w:t>
            </w:r>
          </w:p>
        </w:tc>
        <w:tc>
          <w:tcPr>
            <w:tcW w:w="0" w:type="dxa"/>
            <w:vAlign w:val="bottom"/>
          </w:tcPr>
          <w:p>
            <w:pPr>
              <w:spacing w:after="0"/>
              <w:rPr>
                <w:sz w:val="1"/>
                <w:szCs w:val="1"/>
                <w:color w:val="auto"/>
              </w:rPr>
            </w:pPr>
          </w:p>
        </w:tc>
      </w:tr>
      <w:tr>
        <w:trPr>
          <w:trHeight w:val="866"/>
        </w:trPr>
        <w:tc>
          <w:tcPr>
            <w:tcW w:w="120" w:type="dxa"/>
            <w:vAlign w:val="bottom"/>
            <w:tcBorders>
              <w:top w:val="single" w:sz="8" w:color="auto"/>
            </w:tcBorders>
          </w:tcPr>
          <w:p>
            <w:pPr>
              <w:spacing w:after="0"/>
              <w:rPr>
                <w:sz w:val="24"/>
                <w:szCs w:val="24"/>
                <w:color w:val="auto"/>
              </w:rPr>
            </w:pPr>
          </w:p>
        </w:tc>
        <w:tc>
          <w:tcPr>
            <w:tcW w:w="2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2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w w:val="99"/>
              </w:rPr>
              <w:t>SOUTHWEST GAS CORPORATION AND SUBSIDIARIES</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2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9"/>
              </w:rPr>
              <w:t>CONDENSED CONSOLIDATED BALANCE SHEETS</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2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rPr>
              <w:t>(Thousands of dollars)</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rPr>
              <w:t>(Unaudited)</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June 30, 2022</w:t>
            </w:r>
          </w:p>
        </w:tc>
        <w:tc>
          <w:tcPr>
            <w:tcW w:w="180" w:type="dxa"/>
            <w:vAlign w:val="bottom"/>
          </w:tcPr>
          <w:p>
            <w:pPr>
              <w:spacing w:after="0"/>
              <w:rPr>
                <w:sz w:val="24"/>
                <w:szCs w:val="24"/>
                <w:color w:val="auto"/>
              </w:rPr>
            </w:pPr>
          </w:p>
        </w:tc>
        <w:tc>
          <w:tcPr>
            <w:tcW w:w="15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December 31, 2021</w:t>
            </w:r>
          </w:p>
        </w:tc>
        <w:tc>
          <w:tcPr>
            <w:tcW w:w="0" w:type="dxa"/>
            <w:vAlign w:val="bottom"/>
          </w:tcPr>
          <w:p>
            <w:pPr>
              <w:spacing w:after="0"/>
              <w:rPr>
                <w:sz w:val="1"/>
                <w:szCs w:val="1"/>
                <w:color w:val="auto"/>
              </w:rPr>
            </w:pPr>
          </w:p>
        </w:tc>
      </w:tr>
      <w:tr>
        <w:trPr>
          <w:trHeight w:val="23"/>
        </w:trPr>
        <w:tc>
          <w:tcPr>
            <w:tcW w:w="120" w:type="dxa"/>
            <w:vAlign w:val="bottom"/>
          </w:tcPr>
          <w:p>
            <w:pPr>
              <w:spacing w:after="0"/>
              <w:rPr>
                <w:sz w:val="2"/>
                <w:szCs w:val="2"/>
                <w:color w:val="auto"/>
              </w:rPr>
            </w:pPr>
          </w:p>
        </w:tc>
        <w:tc>
          <w:tcPr>
            <w:tcW w:w="7480" w:type="dxa"/>
            <w:vAlign w:val="bottom"/>
            <w:tcBorders>
              <w:bottom w:val="single" w:sz="8" w:color="CCEEFF"/>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7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75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Regulated operations plant:</w:t>
            </w: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5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Gas plant</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9,137,313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8,901,575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3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(2,613,096)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(2,538,508)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5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Construction work in progress</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193,269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183,485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748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4"/>
                <w:szCs w:val="14"/>
                <w:color w:val="auto"/>
              </w:rPr>
              <w:t>Net regulated operations plant</w:t>
            </w:r>
          </w:p>
        </w:tc>
        <w:tc>
          <w:tcPr>
            <w:tcW w:w="2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6,717,486</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6,546,552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property and investments, net</w:t>
            </w:r>
          </w:p>
        </w:tc>
        <w:tc>
          <w:tcPr>
            <w:tcW w:w="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146,599</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153,093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7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5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Times New Roman" w:cs="Times New Roman" w:eastAsia="Times New Roman" w:hAnsi="Times New Roman"/>
                <w:sz w:val="14"/>
                <w:szCs w:val="14"/>
                <w:color w:val="auto"/>
              </w:rPr>
              <w:t>Accounts receivable, net of allowance</w:t>
            </w:r>
          </w:p>
        </w:tc>
        <w:tc>
          <w:tcPr>
            <w:tcW w:w="3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141,820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169,666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5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utility revenue</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Times New Roman" w:cs="Times New Roman" w:eastAsia="Times New Roman" w:hAnsi="Times New Roman"/>
                <w:sz w:val="14"/>
                <w:szCs w:val="14"/>
                <w:color w:val="auto"/>
              </w:rPr>
              <w:t>Income taxes receivable, net</w:t>
            </w:r>
          </w:p>
        </w:tc>
        <w:tc>
          <w:tcPr>
            <w:tcW w:w="3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5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purchased gas costs</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354,571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291,145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Times New Roman" w:cs="Times New Roman" w:eastAsia="Times New Roman" w:hAnsi="Times New Roman"/>
                <w:sz w:val="14"/>
                <w:szCs w:val="14"/>
                <w:color w:val="auto"/>
              </w:rPr>
              <w:t>Receivable from parent</w:t>
            </w:r>
          </w:p>
        </w:tc>
        <w:tc>
          <w:tcPr>
            <w:tcW w:w="30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5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207,545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242,243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748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4"/>
                <w:szCs w:val="14"/>
                <w:color w:val="auto"/>
              </w:rPr>
              <w:t>Total current assets</w:t>
            </w:r>
          </w:p>
        </w:tc>
        <w:tc>
          <w:tcPr>
            <w:tcW w:w="2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852,744</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835,502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7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assets:</w:t>
            </w: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Times New Roman" w:cs="Times New Roman" w:eastAsia="Times New Roman" w:hAnsi="Times New Roman"/>
                <w:sz w:val="14"/>
                <w:szCs w:val="14"/>
                <w:color w:val="auto"/>
              </w:rPr>
              <w:t>Goodwill</w:t>
            </w:r>
          </w:p>
        </w:tc>
        <w:tc>
          <w:tcPr>
            <w:tcW w:w="3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5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charges and other assets</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388,054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748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4"/>
                <w:szCs w:val="14"/>
                <w:color w:val="auto"/>
              </w:rPr>
              <w:t>Total noncurrent assets</w:t>
            </w:r>
          </w:p>
        </w:tc>
        <w:tc>
          <w:tcPr>
            <w:tcW w:w="2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398,149</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415,116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7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8,114,978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7,950,263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48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CAPITALIZATION AND LIABILITIES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0" w:type="dxa"/>
            <w:vAlign w:val="bottom"/>
          </w:tcPr>
          <w:p>
            <w:pPr>
              <w:spacing w:after="0"/>
              <w:rPr>
                <w:sz w:val="12"/>
                <w:szCs w:val="12"/>
                <w:color w:val="auto"/>
              </w:rPr>
            </w:pPr>
          </w:p>
        </w:tc>
        <w:tc>
          <w:tcPr>
            <w:tcW w:w="74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Capitalization:</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Times New Roman" w:cs="Times New Roman" w:eastAsia="Times New Roman" w:hAnsi="Times New Roman"/>
                <w:sz w:val="14"/>
                <w:szCs w:val="14"/>
                <w:color w:val="auto"/>
              </w:rPr>
              <w:t>Common stock</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49,112</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49,112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5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1,622,006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1,618,911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Times New Roman" w:cs="Times New Roman" w:eastAsia="Times New Roman" w:hAnsi="Times New Roman"/>
                <w:sz w:val="14"/>
                <w:szCs w:val="14"/>
                <w:color w:val="auto"/>
              </w:rPr>
              <w:t>Accumulated other comprehensive loss, net</w:t>
            </w:r>
          </w:p>
        </w:tc>
        <w:tc>
          <w:tcPr>
            <w:tcW w:w="3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(44,247)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(46,913)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5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Retained earnings</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952,725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906,827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7480" w:type="dxa"/>
            <w:vAlign w:val="bottom"/>
            <w:gridSpan w:val="3"/>
          </w:tcPr>
          <w:p>
            <w:pPr>
              <w:ind w:left="660"/>
              <w:spacing w:after="0"/>
              <w:rPr>
                <w:sz w:val="20"/>
                <w:szCs w:val="20"/>
                <w:color w:val="auto"/>
              </w:rPr>
            </w:pPr>
            <w:r>
              <w:rPr>
                <w:rFonts w:ascii="Times New Roman" w:cs="Times New Roman" w:eastAsia="Times New Roman" w:hAnsi="Times New Roman"/>
                <w:sz w:val="14"/>
                <w:szCs w:val="14"/>
                <w:color w:val="auto"/>
              </w:rPr>
              <w:t>Total equity</w:t>
            </w:r>
          </w:p>
        </w:tc>
        <w:tc>
          <w:tcPr>
            <w:tcW w:w="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2,579,596</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2,527,937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5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Long-term debt, less current maturities</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2,904,099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2,440,603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748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4"/>
                <w:szCs w:val="14"/>
                <w:color w:val="auto"/>
              </w:rPr>
              <w:t>Total capitalization</w:t>
            </w:r>
          </w:p>
        </w:tc>
        <w:tc>
          <w:tcPr>
            <w:tcW w:w="2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5,483,695</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4,968,540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7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Times New Roman" w:cs="Times New Roman" w:eastAsia="Times New Roman" w:hAnsi="Times New Roman"/>
                <w:sz w:val="14"/>
                <w:szCs w:val="14"/>
                <w:color w:val="auto"/>
              </w:rPr>
              <w:t>Current maturities of long-term debt</w:t>
            </w:r>
          </w:p>
        </w:tc>
        <w:tc>
          <w:tcPr>
            <w:tcW w:w="30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275,000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5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Short-term debt</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Times New Roman" w:cs="Times New Roman" w:eastAsia="Times New Roman" w:hAnsi="Times New Roman"/>
                <w:sz w:val="14"/>
                <w:szCs w:val="14"/>
                <w:color w:val="auto"/>
              </w:rPr>
              <w:t>Accounts payable</w:t>
            </w:r>
          </w:p>
        </w:tc>
        <w:tc>
          <w:tcPr>
            <w:tcW w:w="3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143,569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234,070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5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Customer deposits</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50,925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Times New Roman" w:cs="Times New Roman" w:eastAsia="Times New Roman" w:hAnsi="Times New Roman"/>
                <w:sz w:val="14"/>
                <w:szCs w:val="14"/>
                <w:color w:val="auto"/>
              </w:rPr>
              <w:t>Accrued general taxes</w:t>
            </w:r>
          </w:p>
        </w:tc>
        <w:tc>
          <w:tcPr>
            <w:tcW w:w="3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51,722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53,064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5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interest</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26,942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Times New Roman" w:cs="Times New Roman" w:eastAsia="Times New Roman" w:hAnsi="Times New Roman"/>
                <w:sz w:val="14"/>
                <w:szCs w:val="14"/>
                <w:color w:val="auto"/>
              </w:rPr>
              <w:t>Payable to parent</w:t>
            </w:r>
          </w:p>
        </w:tc>
        <w:tc>
          <w:tcPr>
            <w:tcW w:w="3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5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162,151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748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660,639</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1,037,609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7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taxes and other credits:</w:t>
            </w: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Times New Roman" w:cs="Times New Roman" w:eastAsia="Times New Roman" w:hAnsi="Times New Roman"/>
                <w:sz w:val="14"/>
                <w:szCs w:val="14"/>
                <w:color w:val="auto"/>
              </w:rPr>
              <w:t>Deferred income taxes and investment tax credits, net</w:t>
            </w:r>
          </w:p>
        </w:tc>
        <w:tc>
          <w:tcPr>
            <w:tcW w:w="3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676,294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638,828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5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Accumulated removal costs</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7500" w:type="dxa"/>
            <w:vAlign w:val="bottom"/>
            <w:gridSpan w:val="4"/>
          </w:tcPr>
          <w:p>
            <w:pPr>
              <w:ind w:left="340"/>
              <w:spacing w:after="0"/>
              <w:rPr>
                <w:sz w:val="20"/>
                <w:szCs w:val="20"/>
                <w:color w:val="auto"/>
              </w:rPr>
            </w:pPr>
            <w:r>
              <w:rPr>
                <w:rFonts w:ascii="Times New Roman" w:cs="Times New Roman" w:eastAsia="Times New Roman" w:hAnsi="Times New Roman"/>
                <w:sz w:val="14"/>
                <w:szCs w:val="14"/>
                <w:color w:val="auto"/>
              </w:rPr>
              <w:t>Other deferred credits and other long-term liabilities</w:t>
            </w: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857,350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881,286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7480" w:type="dxa"/>
            <w:vAlign w:val="bottom"/>
            <w:tcBorders>
              <w:top w:val="single" w:sz="8" w:color="CCEEFF"/>
            </w:tcBorders>
            <w:gridSpan w:val="3"/>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 deferred income taxes and other credits</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1,970,644</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1,944,114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5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Total capitalization and liabilities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8,114,978</w:t>
            </w:r>
          </w:p>
        </w:tc>
        <w:tc>
          <w:tcPr>
            <w:tcW w:w="1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7,950,263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124460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257" w:right="3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June 30, 2022</w:t>
            </w:r>
          </w:p>
        </w:tc>
      </w:tr>
      <w:tr>
        <w:trPr>
          <w:trHeight w:val="86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40" w:type="dxa"/>
            <w:vAlign w:val="bottom"/>
            <w:gridSpan w:val="11"/>
          </w:tcPr>
          <w:p>
            <w:pPr>
              <w:jc w:val="center"/>
              <w:spacing w:after="0"/>
              <w:rPr>
                <w:sz w:val="20"/>
                <w:szCs w:val="20"/>
                <w:color w:val="auto"/>
              </w:rPr>
            </w:pPr>
            <w:r>
              <w:rPr>
                <w:rFonts w:ascii="Times New Roman" w:cs="Times New Roman" w:eastAsia="Times New Roman" w:hAnsi="Times New Roman"/>
                <w:sz w:val="18"/>
                <w:szCs w:val="18"/>
                <w:color w:val="auto"/>
                <w:w w:val="99"/>
              </w:rPr>
              <w:t>SOUTHWEST GAS CORPORATION AND SUBSIDIARIES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40" w:type="dxa"/>
            <w:vAlign w:val="bottom"/>
            <w:gridSpan w:val="11"/>
          </w:tcPr>
          <w:p>
            <w:pPr>
              <w:jc w:val="center"/>
              <w:spacing w:after="0"/>
              <w:rPr>
                <w:sz w:val="20"/>
                <w:szCs w:val="20"/>
                <w:color w:val="auto"/>
              </w:rPr>
            </w:pPr>
            <w:r>
              <w:rPr>
                <w:rFonts w:ascii="Times New Roman" w:cs="Times New Roman" w:eastAsia="Times New Roman" w:hAnsi="Times New Roman"/>
                <w:sz w:val="18"/>
                <w:szCs w:val="18"/>
                <w:color w:val="auto"/>
                <w:w w:val="98"/>
              </w:rPr>
              <w:t>CONDENSED CONSOLIDATED STATEMENTS OF INCOME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(Thousands of dollars)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(Unaudited)</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6"/>
        </w:trPr>
        <w:tc>
          <w:tcPr>
            <w:tcW w:w="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40" w:type="dxa"/>
            <w:vAlign w:val="bottom"/>
            <w:gridSpan w:val="5"/>
          </w:tcPr>
          <w:p>
            <w:pPr>
              <w:ind w:left="240"/>
              <w:spacing w:after="0"/>
              <w:rPr>
                <w:sz w:val="20"/>
                <w:szCs w:val="20"/>
                <w:color w:val="auto"/>
              </w:rPr>
            </w:pPr>
            <w:r>
              <w:rPr>
                <w:rFonts w:ascii="Times New Roman" w:cs="Times New Roman" w:eastAsia="Times New Roman" w:hAnsi="Times New Roman"/>
                <w:sz w:val="14"/>
                <w:szCs w:val="14"/>
                <w:color w:val="auto"/>
              </w:rPr>
              <w:t>Three Months Ended</w:t>
            </w:r>
          </w:p>
        </w:tc>
        <w:tc>
          <w:tcPr>
            <w:tcW w:w="240" w:type="dxa"/>
            <w:vAlign w:val="bottom"/>
          </w:tcPr>
          <w:p>
            <w:pPr>
              <w:spacing w:after="0"/>
              <w:rPr>
                <w:sz w:val="22"/>
                <w:szCs w:val="22"/>
                <w:color w:val="auto"/>
              </w:rPr>
            </w:pPr>
          </w:p>
        </w:tc>
        <w:tc>
          <w:tcPr>
            <w:tcW w:w="2040" w:type="dxa"/>
            <w:vAlign w:val="bottom"/>
            <w:gridSpan w:val="5"/>
          </w:tcPr>
          <w:p>
            <w:pPr>
              <w:ind w:left="320"/>
              <w:spacing w:after="0"/>
              <w:rPr>
                <w:sz w:val="20"/>
                <w:szCs w:val="20"/>
                <w:color w:val="auto"/>
              </w:rPr>
            </w:pPr>
            <w:r>
              <w:rPr>
                <w:rFonts w:ascii="Times New Roman" w:cs="Times New Roman" w:eastAsia="Times New Roman" w:hAnsi="Times New Roman"/>
                <w:sz w:val="14"/>
                <w:szCs w:val="14"/>
                <w:color w:val="auto"/>
              </w:rPr>
              <w:t>Six Months Ended</w:t>
            </w:r>
          </w:p>
        </w:tc>
        <w:tc>
          <w:tcPr>
            <w:tcW w:w="240" w:type="dxa"/>
            <w:vAlign w:val="bottom"/>
          </w:tcPr>
          <w:p>
            <w:pPr>
              <w:spacing w:after="0"/>
              <w:rPr>
                <w:sz w:val="22"/>
                <w:szCs w:val="22"/>
                <w:color w:val="auto"/>
              </w:rPr>
            </w:pPr>
          </w:p>
        </w:tc>
        <w:tc>
          <w:tcPr>
            <w:tcW w:w="204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color w:val="auto"/>
              </w:rPr>
              <w:t>Twelve Months Ended</w:t>
            </w:r>
          </w:p>
        </w:tc>
      </w:tr>
      <w:tr>
        <w:trPr>
          <w:trHeight w:val="196"/>
        </w:trPr>
        <w:tc>
          <w:tcPr>
            <w:tcW w:w="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June 30,</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color w:val="auto"/>
              </w:rPr>
              <w:t>June 30,</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gridSpan w:val="5"/>
          </w:tcPr>
          <w:p>
            <w:pPr>
              <w:jc w:val="right"/>
              <w:ind w:right="940"/>
              <w:spacing w:after="0"/>
              <w:rPr>
                <w:sz w:val="20"/>
                <w:szCs w:val="20"/>
                <w:color w:val="auto"/>
              </w:rPr>
            </w:pPr>
            <w:r>
              <w:rPr>
                <w:rFonts w:ascii="Times New Roman" w:cs="Times New Roman" w:eastAsia="Times New Roman" w:hAnsi="Times New Roman"/>
                <w:sz w:val="14"/>
                <w:szCs w:val="14"/>
                <w:color w:val="auto"/>
              </w:rPr>
              <w:t>June 30,</w:t>
            </w:r>
          </w:p>
        </w:tc>
      </w:tr>
      <w:tr>
        <w:trPr>
          <w:trHeight w:val="203"/>
        </w:trPr>
        <w:tc>
          <w:tcPr>
            <w:tcW w:w="60" w:type="dxa"/>
            <w:vAlign w:val="bottom"/>
            <w:tcBorders>
              <w:top w:val="single" w:sz="8" w:color="CCEEFF"/>
            </w:tcBorders>
            <w:shd w:val="clear" w:color="auto" w:fill="CCEEFF"/>
          </w:tcPr>
          <w:p>
            <w:pPr>
              <w:spacing w:after="0"/>
              <w:rPr>
                <w:sz w:val="17"/>
                <w:szCs w:val="17"/>
                <w:color w:val="auto"/>
              </w:rPr>
            </w:pPr>
          </w:p>
        </w:tc>
        <w:tc>
          <w:tcPr>
            <w:tcW w:w="2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ind w:right="286"/>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ind w:right="306"/>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Pr>
          <w:p>
            <w:pPr>
              <w:spacing w:after="0"/>
              <w:rPr>
                <w:sz w:val="17"/>
                <w:szCs w:val="17"/>
                <w:color w:val="auto"/>
              </w:rPr>
            </w:pPr>
          </w:p>
        </w:tc>
      </w:tr>
      <w:tr>
        <w:trPr>
          <w:trHeight w:val="189"/>
        </w:trPr>
        <w:tc>
          <w:tcPr>
            <w:tcW w:w="31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4"/>
                <w:szCs w:val="14"/>
                <w:color w:val="auto"/>
              </w:rPr>
              <w:t>Regulated operations revenues</w:t>
            </w:r>
          </w:p>
        </w:tc>
        <w:tc>
          <w:tcPr>
            <w:tcW w:w="1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377,942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292,796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1,054,481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814,728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1,761,543</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4"/>
                <w:szCs w:val="14"/>
                <w:color w:val="auto"/>
              </w:rPr>
              <w:t>1,400,052</w:t>
            </w:r>
          </w:p>
        </w:tc>
        <w:tc>
          <w:tcPr>
            <w:tcW w:w="80" w:type="dxa"/>
            <w:vAlign w:val="bottom"/>
          </w:tcPr>
          <w:p>
            <w:pPr>
              <w:spacing w:after="0"/>
              <w:rPr>
                <w:sz w:val="16"/>
                <w:szCs w:val="16"/>
                <w:color w:val="auto"/>
              </w:rPr>
            </w:pPr>
          </w:p>
        </w:tc>
      </w:tr>
      <w:tr>
        <w:trPr>
          <w:trHeight w:val="189"/>
        </w:trPr>
        <w:tc>
          <w:tcPr>
            <w:tcW w:w="3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30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Net cost of gas sold</w:t>
            </w: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146,654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76,496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443,775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232,517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642,165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4"/>
                <w:szCs w:val="14"/>
                <w:color w:val="auto"/>
              </w:rPr>
              <w:t>347,060</w:t>
            </w:r>
          </w:p>
        </w:tc>
        <w:tc>
          <w:tcPr>
            <w:tcW w:w="80" w:type="dxa"/>
            <w:vAlign w:val="bottom"/>
          </w:tcPr>
          <w:p>
            <w:pPr>
              <w:spacing w:after="0"/>
              <w:rPr>
                <w:sz w:val="16"/>
                <w:szCs w:val="16"/>
                <w:color w:val="auto"/>
              </w:rPr>
            </w:pPr>
          </w:p>
        </w:tc>
      </w:tr>
      <w:tr>
        <w:trPr>
          <w:trHeight w:val="210"/>
        </w:trPr>
        <w:tc>
          <w:tcPr>
            <w:tcW w:w="60" w:type="dxa"/>
            <w:vAlign w:val="bottom"/>
            <w:shd w:val="clear" w:color="auto" w:fill="CCEEFF"/>
          </w:tcPr>
          <w:p>
            <w:pPr>
              <w:spacing w:after="0"/>
              <w:rPr>
                <w:sz w:val="18"/>
                <w:szCs w:val="18"/>
                <w:color w:val="auto"/>
              </w:rPr>
            </w:pPr>
          </w:p>
        </w:tc>
        <w:tc>
          <w:tcPr>
            <w:tcW w:w="30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Operations and maintenance</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103,137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247,447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209,272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476,725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rPr>
              <w:t>413,246</w:t>
            </w:r>
          </w:p>
        </w:tc>
        <w:tc>
          <w:tcPr>
            <w:tcW w:w="80" w:type="dxa"/>
            <w:vAlign w:val="bottom"/>
          </w:tcPr>
          <w:p>
            <w:pPr>
              <w:spacing w:after="0"/>
              <w:rPr>
                <w:sz w:val="18"/>
                <w:szCs w:val="18"/>
                <w:color w:val="auto"/>
              </w:rPr>
            </w:pPr>
          </w:p>
        </w:tc>
      </w:tr>
      <w:tr>
        <w:trPr>
          <w:trHeight w:val="195"/>
        </w:trPr>
        <w:tc>
          <w:tcPr>
            <w:tcW w:w="60" w:type="dxa"/>
            <w:vAlign w:val="bottom"/>
          </w:tcPr>
          <w:p>
            <w:pPr>
              <w:spacing w:after="0"/>
              <w:rPr>
                <w:sz w:val="16"/>
                <w:szCs w:val="16"/>
                <w:color w:val="auto"/>
              </w:rPr>
            </w:pPr>
          </w:p>
        </w:tc>
        <w:tc>
          <w:tcPr>
            <w:tcW w:w="30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55,930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57,631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128,044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126,329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255,113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4"/>
                <w:szCs w:val="14"/>
                <w:color w:val="auto"/>
              </w:rPr>
              <w:t>243,701</w:t>
            </w:r>
          </w:p>
        </w:tc>
        <w:tc>
          <w:tcPr>
            <w:tcW w:w="80" w:type="dxa"/>
            <w:vAlign w:val="bottom"/>
          </w:tcPr>
          <w:p>
            <w:pPr>
              <w:spacing w:after="0"/>
              <w:rPr>
                <w:sz w:val="16"/>
                <w:szCs w:val="16"/>
                <w:color w:val="auto"/>
              </w:rPr>
            </w:pPr>
          </w:p>
        </w:tc>
      </w:tr>
      <w:tr>
        <w:trPr>
          <w:trHeight w:val="210"/>
        </w:trPr>
        <w:tc>
          <w:tcPr>
            <w:tcW w:w="60" w:type="dxa"/>
            <w:vAlign w:val="bottom"/>
            <w:shd w:val="clear" w:color="auto" w:fill="CCEEFF"/>
          </w:tcPr>
          <w:p>
            <w:pPr>
              <w:spacing w:after="0"/>
              <w:rPr>
                <w:sz w:val="18"/>
                <w:szCs w:val="18"/>
                <w:color w:val="auto"/>
              </w:rPr>
            </w:pPr>
          </w:p>
        </w:tc>
        <w:tc>
          <w:tcPr>
            <w:tcW w:w="30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Taxes other than income taxes</w:t>
            </w:r>
          </w:p>
        </w:tc>
        <w:tc>
          <w:tcPr>
            <w:tcW w:w="1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20,098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19,338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41,750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40,025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82,068</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rPr>
              <w:t>71,765</w:t>
            </w:r>
          </w:p>
        </w:tc>
        <w:tc>
          <w:tcPr>
            <w:tcW w:w="80" w:type="dxa"/>
            <w:vAlign w:val="bottom"/>
          </w:tcPr>
          <w:p>
            <w:pPr>
              <w:spacing w:after="0"/>
              <w:rPr>
                <w:sz w:val="18"/>
                <w:szCs w:val="18"/>
                <w:color w:val="auto"/>
              </w:rPr>
            </w:pPr>
          </w:p>
        </w:tc>
      </w:tr>
      <w:tr>
        <w:trPr>
          <w:trHeight w:val="189"/>
        </w:trPr>
        <w:tc>
          <w:tcPr>
            <w:tcW w:w="60" w:type="dxa"/>
            <w:vAlign w:val="bottom"/>
            <w:tcBorders>
              <w:bottom w:val="single" w:sz="8" w:color="CCEEFF"/>
            </w:tcBorders>
          </w:tcPr>
          <w:p>
            <w:pPr>
              <w:spacing w:after="0"/>
              <w:rPr>
                <w:sz w:val="16"/>
                <w:szCs w:val="16"/>
                <w:color w:val="auto"/>
              </w:rPr>
            </w:pPr>
          </w:p>
        </w:tc>
        <w:tc>
          <w:tcPr>
            <w:tcW w:w="3060" w:type="dxa"/>
            <w:vAlign w:val="bottom"/>
            <w:tcBorders>
              <w:bottom w:val="single" w:sz="8" w:color="CCEEFF"/>
            </w:tcBorders>
            <w:gridSpan w:val="3"/>
          </w:tcPr>
          <w:p>
            <w:pPr>
              <w:ind w:left="6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350,493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256,602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861,016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608,143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1,456,071</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4"/>
                <w:szCs w:val="14"/>
                <w:color w:val="auto"/>
              </w:rPr>
              <w:t>1,075,772</w:t>
            </w:r>
          </w:p>
        </w:tc>
        <w:tc>
          <w:tcPr>
            <w:tcW w:w="80" w:type="dxa"/>
            <w:vAlign w:val="bottom"/>
          </w:tcPr>
          <w:p>
            <w:pPr>
              <w:spacing w:after="0"/>
              <w:rPr>
                <w:sz w:val="16"/>
                <w:szCs w:val="16"/>
                <w:color w:val="auto"/>
              </w:rPr>
            </w:pPr>
          </w:p>
        </w:tc>
      </w:tr>
      <w:tr>
        <w:trPr>
          <w:trHeight w:val="203"/>
        </w:trPr>
        <w:tc>
          <w:tcPr>
            <w:tcW w:w="3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1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27,449</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36,194</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193,465</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206,585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305,472</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rPr>
              <w:t>324,280</w:t>
            </w:r>
          </w:p>
        </w:tc>
        <w:tc>
          <w:tcPr>
            <w:tcW w:w="80" w:type="dxa"/>
            <w:vAlign w:val="bottom"/>
          </w:tcPr>
          <w:p>
            <w:pPr>
              <w:spacing w:after="0"/>
              <w:rPr>
                <w:sz w:val="17"/>
                <w:szCs w:val="17"/>
                <w:color w:val="auto"/>
              </w:rPr>
            </w:pPr>
          </w:p>
        </w:tc>
      </w:tr>
      <w:tr>
        <w:trPr>
          <w:trHeight w:val="175"/>
        </w:trPr>
        <w:tc>
          <w:tcPr>
            <w:tcW w:w="31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Other income and (expenses):</w:t>
            </w: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0"/>
        </w:trPr>
        <w:tc>
          <w:tcPr>
            <w:tcW w:w="60" w:type="dxa"/>
            <w:vAlign w:val="bottom"/>
            <w:shd w:val="clear" w:color="auto" w:fill="CCEEFF"/>
          </w:tcPr>
          <w:p>
            <w:pPr>
              <w:spacing w:after="0"/>
              <w:rPr>
                <w:sz w:val="18"/>
                <w:szCs w:val="18"/>
                <w:color w:val="auto"/>
              </w:rPr>
            </w:pPr>
          </w:p>
        </w:tc>
        <w:tc>
          <w:tcPr>
            <w:tcW w:w="30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Net interest deductions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(24,175)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(55,243)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(98,440)</w:t>
            </w:r>
          </w:p>
        </w:tc>
        <w:tc>
          <w:tcPr>
            <w:tcW w:w="80" w:type="dxa"/>
            <w:vAlign w:val="bottom"/>
          </w:tcPr>
          <w:p>
            <w:pPr>
              <w:spacing w:after="0"/>
              <w:rPr>
                <w:sz w:val="18"/>
                <w:szCs w:val="18"/>
                <w:color w:val="auto"/>
              </w:rPr>
            </w:pPr>
          </w:p>
        </w:tc>
      </w:tr>
      <w:tr>
        <w:trPr>
          <w:trHeight w:val="196"/>
        </w:trPr>
        <w:tc>
          <w:tcPr>
            <w:tcW w:w="60" w:type="dxa"/>
            <w:vAlign w:val="bottom"/>
            <w:tcBorders>
              <w:bottom w:val="single" w:sz="8" w:color="CCEEFF"/>
            </w:tcBorders>
          </w:tcPr>
          <w:p>
            <w:pPr>
              <w:spacing w:after="0"/>
              <w:rPr>
                <w:sz w:val="17"/>
                <w:szCs w:val="17"/>
                <w:color w:val="auto"/>
              </w:rPr>
            </w:pPr>
          </w:p>
        </w:tc>
        <w:tc>
          <w:tcPr>
            <w:tcW w:w="306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4"/>
                <w:szCs w:val="14"/>
                <w:color w:val="auto"/>
              </w:rPr>
              <w:t>Other income (deductions)</w:t>
            </w:r>
          </w:p>
        </w:tc>
        <w:tc>
          <w:tcPr>
            <w:tcW w:w="1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(2,118)</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(6,062)</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4"/>
                <w:szCs w:val="14"/>
                <w:color w:val="auto"/>
              </w:rPr>
              <w:t>5,493</w:t>
            </w:r>
          </w:p>
        </w:tc>
        <w:tc>
          <w:tcPr>
            <w:tcW w:w="80" w:type="dxa"/>
            <w:vAlign w:val="bottom"/>
          </w:tcPr>
          <w:p>
            <w:pPr>
              <w:spacing w:after="0"/>
              <w:rPr>
                <w:sz w:val="17"/>
                <w:szCs w:val="17"/>
                <w:color w:val="auto"/>
              </w:rPr>
            </w:pPr>
          </w:p>
        </w:tc>
      </w:tr>
      <w:tr>
        <w:trPr>
          <w:trHeight w:val="203"/>
        </w:trPr>
        <w:tc>
          <w:tcPr>
            <w:tcW w:w="60" w:type="dxa"/>
            <w:vAlign w:val="bottom"/>
            <w:shd w:val="clear" w:color="auto" w:fill="CCEEFF"/>
          </w:tcPr>
          <w:p>
            <w:pPr>
              <w:spacing w:after="0"/>
              <w:rPr>
                <w:sz w:val="17"/>
                <w:szCs w:val="17"/>
                <w:color w:val="auto"/>
              </w:rPr>
            </w:pPr>
          </w:p>
        </w:tc>
        <w:tc>
          <w:tcPr>
            <w:tcW w:w="30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Total other income and (expenses)</w:t>
            </w:r>
          </w:p>
        </w:tc>
        <w:tc>
          <w:tcPr>
            <w:tcW w:w="1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(32,066)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(25,340)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(57,361)</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(46,956)</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(112,524)</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(92,947)</w:t>
            </w:r>
          </w:p>
        </w:tc>
        <w:tc>
          <w:tcPr>
            <w:tcW w:w="80" w:type="dxa"/>
            <w:vAlign w:val="bottom"/>
          </w:tcPr>
          <w:p>
            <w:pPr>
              <w:spacing w:after="0"/>
              <w:rPr>
                <w:sz w:val="17"/>
                <w:szCs w:val="17"/>
                <w:color w:val="auto"/>
              </w:rPr>
            </w:pPr>
          </w:p>
        </w:tc>
      </w:tr>
      <w:tr>
        <w:trPr>
          <w:trHeight w:val="189"/>
        </w:trPr>
        <w:tc>
          <w:tcPr>
            <w:tcW w:w="31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136,104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159,629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192,948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4"/>
                <w:szCs w:val="14"/>
                <w:color w:val="auto"/>
              </w:rPr>
              <w:t>231,333</w:t>
            </w:r>
          </w:p>
        </w:tc>
        <w:tc>
          <w:tcPr>
            <w:tcW w:w="80" w:type="dxa"/>
            <w:vAlign w:val="bottom"/>
          </w:tcPr>
          <w:p>
            <w:pPr>
              <w:spacing w:after="0"/>
              <w:rPr>
                <w:sz w:val="16"/>
                <w:szCs w:val="16"/>
                <w:color w:val="auto"/>
              </w:rPr>
            </w:pPr>
          </w:p>
        </w:tc>
      </w:tr>
      <w:tr>
        <w:trPr>
          <w:trHeight w:val="210"/>
        </w:trPr>
        <w:tc>
          <w:tcPr>
            <w:tcW w:w="3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26,575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29,501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26,412</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rPr>
              <w:t>37,628</w:t>
            </w:r>
          </w:p>
        </w:tc>
        <w:tc>
          <w:tcPr>
            <w:tcW w:w="80" w:type="dxa"/>
            <w:vAlign w:val="bottom"/>
          </w:tcPr>
          <w:p>
            <w:pPr>
              <w:spacing w:after="0"/>
              <w:rPr>
                <w:sz w:val="18"/>
                <w:szCs w:val="18"/>
                <w:color w:val="auto"/>
              </w:rPr>
            </w:pPr>
          </w:p>
        </w:tc>
      </w:tr>
      <w:tr>
        <w:trPr>
          <w:trHeight w:val="196"/>
        </w:trPr>
        <w:tc>
          <w:tcPr>
            <w:tcW w:w="31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24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11,413</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109,529</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130,128</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166,536</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4"/>
                <w:szCs w:val="14"/>
                <w:color w:val="auto"/>
              </w:rPr>
              <w:t>193,705</w:t>
            </w:r>
          </w:p>
        </w:tc>
        <w:tc>
          <w:tcPr>
            <w:tcW w:w="80" w:type="dxa"/>
            <w:vAlign w:val="bottom"/>
          </w:tcPr>
          <w:p>
            <w:pPr>
              <w:spacing w:after="0"/>
              <w:rPr>
                <w:sz w:val="17"/>
                <w:szCs w:val="17"/>
                <w:color w:val="auto"/>
              </w:rPr>
            </w:pPr>
          </w:p>
        </w:tc>
      </w:tr>
      <w:tr>
        <w:trPr>
          <w:trHeight w:val="21"/>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57" w:right="3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SOUTHWEST GAS HOLDINGS, INC.</w:t>
            </w:r>
          </w:p>
        </w:tc>
        <w:tc>
          <w:tcPr>
            <w:tcW w:w="1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June 30, 2022</w:t>
            </w:r>
          </w:p>
        </w:tc>
      </w:tr>
      <w:tr>
        <w:trPr>
          <w:trHeight w:val="86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80" w:type="dxa"/>
            <w:vAlign w:val="bottom"/>
            <w:gridSpan w:val="10"/>
          </w:tcPr>
          <w:p>
            <w:pPr>
              <w:jc w:val="center"/>
              <w:spacing w:after="0"/>
              <w:rPr>
                <w:sz w:val="20"/>
                <w:szCs w:val="20"/>
                <w:color w:val="auto"/>
              </w:rPr>
            </w:pPr>
            <w:r>
              <w:rPr>
                <w:rFonts w:ascii="Times New Roman" w:cs="Times New Roman" w:eastAsia="Times New Roman" w:hAnsi="Times New Roman"/>
                <w:sz w:val="18"/>
                <w:szCs w:val="18"/>
                <w:color w:val="auto"/>
                <w:w w:val="99"/>
              </w:rPr>
              <w:t>SOUTHWEST GAS CORPORATION AND SUBSIDIARIES</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9100" w:type="dxa"/>
            <w:vAlign w:val="bottom"/>
            <w:gridSpan w:val="16"/>
          </w:tcPr>
          <w:p>
            <w:pPr>
              <w:jc w:val="center"/>
              <w:ind w:left="1944"/>
              <w:spacing w:after="0"/>
              <w:rPr>
                <w:sz w:val="20"/>
                <w:szCs w:val="20"/>
                <w:color w:val="auto"/>
              </w:rPr>
            </w:pPr>
            <w:r>
              <w:rPr>
                <w:rFonts w:ascii="Times New Roman" w:cs="Times New Roman" w:eastAsia="Times New Roman" w:hAnsi="Times New Roman"/>
                <w:sz w:val="18"/>
                <w:szCs w:val="18"/>
                <w:color w:val="auto"/>
                <w:w w:val="99"/>
              </w:rPr>
              <w:t>CONDENSED CONSOLIDATED STATEMENTS OF COMPREHENSIVE INCOME</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7"/>
          </w:tcPr>
          <w:p>
            <w:pPr>
              <w:jc w:val="center"/>
              <w:ind w:left="990"/>
              <w:spacing w:after="0"/>
              <w:rPr>
                <w:sz w:val="20"/>
                <w:szCs w:val="20"/>
                <w:color w:val="auto"/>
              </w:rPr>
            </w:pPr>
            <w:r>
              <w:rPr>
                <w:rFonts w:ascii="Times New Roman" w:cs="Times New Roman" w:eastAsia="Times New Roman" w:hAnsi="Times New Roman"/>
                <w:sz w:val="18"/>
                <w:szCs w:val="18"/>
                <w:color w:val="auto"/>
              </w:rPr>
              <w:t>(Thousands of dollars)</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(Unaudited)</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6"/>
        </w:trPr>
        <w:tc>
          <w:tcPr>
            <w:tcW w:w="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40" w:type="dxa"/>
            <w:vAlign w:val="bottom"/>
            <w:gridSpan w:val="5"/>
          </w:tcPr>
          <w:p>
            <w:pPr>
              <w:ind w:left="200"/>
              <w:spacing w:after="0"/>
              <w:rPr>
                <w:sz w:val="20"/>
                <w:szCs w:val="20"/>
                <w:color w:val="auto"/>
              </w:rPr>
            </w:pPr>
            <w:r>
              <w:rPr>
                <w:rFonts w:ascii="Times New Roman" w:cs="Times New Roman" w:eastAsia="Times New Roman" w:hAnsi="Times New Roman"/>
                <w:sz w:val="14"/>
                <w:szCs w:val="14"/>
                <w:color w:val="auto"/>
              </w:rPr>
              <w:t>Three Months Ended</w:t>
            </w:r>
          </w:p>
        </w:tc>
        <w:tc>
          <w:tcPr>
            <w:tcW w:w="220" w:type="dxa"/>
            <w:vAlign w:val="bottom"/>
          </w:tcPr>
          <w:p>
            <w:pPr>
              <w:spacing w:after="0"/>
              <w:rPr>
                <w:sz w:val="22"/>
                <w:szCs w:val="22"/>
                <w:color w:val="auto"/>
              </w:rPr>
            </w:pPr>
          </w:p>
        </w:tc>
        <w:tc>
          <w:tcPr>
            <w:tcW w:w="1960" w:type="dxa"/>
            <w:vAlign w:val="bottom"/>
            <w:gridSpan w:val="5"/>
          </w:tcPr>
          <w:p>
            <w:pPr>
              <w:ind w:left="280"/>
              <w:spacing w:after="0"/>
              <w:rPr>
                <w:sz w:val="20"/>
                <w:szCs w:val="20"/>
                <w:color w:val="auto"/>
              </w:rPr>
            </w:pPr>
            <w:r>
              <w:rPr>
                <w:rFonts w:ascii="Times New Roman" w:cs="Times New Roman" w:eastAsia="Times New Roman" w:hAnsi="Times New Roman"/>
                <w:sz w:val="14"/>
                <w:szCs w:val="14"/>
                <w:color w:val="auto"/>
              </w:rPr>
              <w:t>Six Months Ended</w:t>
            </w:r>
          </w:p>
        </w:tc>
        <w:tc>
          <w:tcPr>
            <w:tcW w:w="220" w:type="dxa"/>
            <w:vAlign w:val="bottom"/>
          </w:tcPr>
          <w:p>
            <w:pPr>
              <w:spacing w:after="0"/>
              <w:rPr>
                <w:sz w:val="22"/>
                <w:szCs w:val="22"/>
                <w:color w:val="auto"/>
              </w:rPr>
            </w:pPr>
          </w:p>
        </w:tc>
        <w:tc>
          <w:tcPr>
            <w:tcW w:w="1860" w:type="dxa"/>
            <w:vAlign w:val="bottom"/>
            <w:gridSpan w:val="4"/>
          </w:tcPr>
          <w:p>
            <w:pPr>
              <w:jc w:val="right"/>
              <w:ind w:right="307"/>
              <w:spacing w:after="0"/>
              <w:rPr>
                <w:sz w:val="20"/>
                <w:szCs w:val="20"/>
                <w:color w:val="auto"/>
              </w:rPr>
            </w:pPr>
            <w:r>
              <w:rPr>
                <w:rFonts w:ascii="Times New Roman" w:cs="Times New Roman" w:eastAsia="Times New Roman" w:hAnsi="Times New Roman"/>
                <w:sz w:val="14"/>
                <w:szCs w:val="14"/>
                <w:color w:val="auto"/>
              </w:rPr>
              <w:t>Twelve Months Ended</w:t>
            </w:r>
          </w:p>
        </w:tc>
      </w:tr>
      <w:tr>
        <w:trPr>
          <w:trHeight w:val="196"/>
        </w:trPr>
        <w:tc>
          <w:tcPr>
            <w:tcW w:w="60" w:type="dxa"/>
            <w:vAlign w:val="bottom"/>
            <w:tcBorders>
              <w:bottom w:val="single" w:sz="8" w:color="CCEEFF"/>
            </w:tcBorders>
          </w:tcPr>
          <w:p>
            <w:pPr>
              <w:spacing w:after="0"/>
              <w:rPr>
                <w:sz w:val="17"/>
                <w:szCs w:val="17"/>
                <w:color w:val="auto"/>
              </w:rPr>
            </w:pPr>
          </w:p>
        </w:tc>
        <w:tc>
          <w:tcPr>
            <w:tcW w:w="28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6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June 30,</w:t>
            </w: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June 30,</w:t>
            </w: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4"/>
          </w:tcPr>
          <w:p>
            <w:pPr>
              <w:jc w:val="right"/>
              <w:ind w:right="727"/>
              <w:spacing w:after="0"/>
              <w:rPr>
                <w:sz w:val="20"/>
                <w:szCs w:val="20"/>
                <w:color w:val="auto"/>
              </w:rPr>
            </w:pPr>
            <w:r>
              <w:rPr>
                <w:rFonts w:ascii="Times New Roman" w:cs="Times New Roman" w:eastAsia="Times New Roman" w:hAnsi="Times New Roman"/>
                <w:sz w:val="14"/>
                <w:szCs w:val="14"/>
                <w:color w:val="auto"/>
              </w:rPr>
              <w:t>June 30,</w:t>
            </w:r>
          </w:p>
        </w:tc>
      </w:tr>
      <w:tr>
        <w:trPr>
          <w:trHeight w:val="203"/>
        </w:trPr>
        <w:tc>
          <w:tcPr>
            <w:tcW w:w="6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267"/>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267"/>
              <w:spacing w:after="0"/>
              <w:rPr>
                <w:sz w:val="20"/>
                <w:szCs w:val="20"/>
                <w:color w:val="auto"/>
              </w:rPr>
            </w:pPr>
            <w:r>
              <w:rPr>
                <w:rFonts w:ascii="Times New Roman" w:cs="Times New Roman" w:eastAsia="Times New Roman" w:hAnsi="Times New Roman"/>
                <w:sz w:val="14"/>
                <w:szCs w:val="14"/>
                <w:color w:val="auto"/>
              </w:rPr>
              <w:t>2021</w:t>
            </w:r>
          </w:p>
        </w:tc>
      </w:tr>
      <w:tr>
        <w:trPr>
          <w:trHeight w:val="189"/>
        </w:trPr>
        <w:tc>
          <w:tcPr>
            <w:tcW w:w="318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6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(2,266)</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11,413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109,529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130,128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166,536</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193,705</w:t>
            </w:r>
          </w:p>
        </w:tc>
      </w:tr>
      <w:tr>
        <w:trPr>
          <w:trHeight w:val="189"/>
        </w:trPr>
        <w:tc>
          <w:tcPr>
            <w:tcW w:w="31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1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31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Defined benefit pension plans:</w:t>
            </w:r>
          </w:p>
        </w:tc>
        <w:tc>
          <w:tcPr>
            <w:tcW w:w="1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0"/>
        </w:trPr>
        <w:tc>
          <w:tcPr>
            <w:tcW w:w="60" w:type="dxa"/>
            <w:vAlign w:val="bottom"/>
            <w:shd w:val="clear" w:color="auto" w:fill="CCEEFF"/>
          </w:tcPr>
          <w:p>
            <w:pPr>
              <w:spacing w:after="0"/>
              <w:rPr>
                <w:sz w:val="18"/>
                <w:szCs w:val="18"/>
                <w:color w:val="auto"/>
              </w:rPr>
            </w:pPr>
          </w:p>
        </w:tc>
        <w:tc>
          <w:tcPr>
            <w:tcW w:w="31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actuarial gain (loss)</w:t>
            </w: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(43,730)</w:t>
            </w:r>
          </w:p>
        </w:tc>
      </w:tr>
      <w:tr>
        <w:trPr>
          <w:trHeight w:val="195"/>
        </w:trPr>
        <w:tc>
          <w:tcPr>
            <w:tcW w:w="60" w:type="dxa"/>
            <w:vAlign w:val="bottom"/>
          </w:tcPr>
          <w:p>
            <w:pPr>
              <w:spacing w:after="0"/>
              <w:rPr>
                <w:sz w:val="16"/>
                <w:szCs w:val="16"/>
                <w:color w:val="auto"/>
              </w:rPr>
            </w:pPr>
          </w:p>
        </w:tc>
        <w:tc>
          <w:tcPr>
            <w:tcW w:w="312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Amortization of prior service cost</w:t>
            </w:r>
          </w:p>
        </w:tc>
        <w:tc>
          <w:tcPr>
            <w:tcW w:w="1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w:t>
            </w:r>
          </w:p>
        </w:tc>
      </w:tr>
      <w:tr>
        <w:trPr>
          <w:trHeight w:val="210"/>
        </w:trPr>
        <w:tc>
          <w:tcPr>
            <w:tcW w:w="60" w:type="dxa"/>
            <w:vAlign w:val="bottom"/>
            <w:shd w:val="clear" w:color="auto" w:fill="CCEEFF"/>
          </w:tcPr>
          <w:p>
            <w:pPr>
              <w:spacing w:after="0"/>
              <w:rPr>
                <w:sz w:val="18"/>
                <w:szCs w:val="18"/>
                <w:color w:val="auto"/>
              </w:rPr>
            </w:pPr>
          </w:p>
        </w:tc>
        <w:tc>
          <w:tcPr>
            <w:tcW w:w="31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Amortization of net actuarial loss</w:t>
            </w: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31,322</w:t>
            </w:r>
          </w:p>
        </w:tc>
      </w:tr>
      <w:tr>
        <w:trPr>
          <w:trHeight w:val="196"/>
        </w:trPr>
        <w:tc>
          <w:tcPr>
            <w:tcW w:w="60" w:type="dxa"/>
            <w:vAlign w:val="bottom"/>
            <w:tcBorders>
              <w:bottom w:val="single" w:sz="8" w:color="CCEEFF"/>
            </w:tcBorders>
          </w:tcPr>
          <w:p>
            <w:pPr>
              <w:spacing w:after="0"/>
              <w:rPr>
                <w:sz w:val="17"/>
                <w:szCs w:val="17"/>
                <w:color w:val="auto"/>
              </w:rPr>
            </w:pPr>
          </w:p>
        </w:tc>
        <w:tc>
          <w:tcPr>
            <w:tcW w:w="312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4"/>
                <w:szCs w:val="14"/>
                <w:color w:val="auto"/>
              </w:rPr>
              <w:t>Regulatory adjustment</w:t>
            </w:r>
          </w:p>
        </w:tc>
        <w:tc>
          <w:tcPr>
            <w:tcW w:w="16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(5,524)</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(7,277)</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(11,047)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(14,554)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(63,520)</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3,856</w:t>
            </w:r>
          </w:p>
        </w:tc>
      </w:tr>
      <w:tr>
        <w:trPr>
          <w:trHeight w:val="203"/>
        </w:trPr>
        <w:tc>
          <w:tcPr>
            <w:tcW w:w="60" w:type="dxa"/>
            <w:vAlign w:val="bottom"/>
            <w:shd w:val="clear" w:color="auto" w:fill="CCEEFF"/>
          </w:tcPr>
          <w:p>
            <w:pPr>
              <w:spacing w:after="0"/>
              <w:rPr>
                <w:sz w:val="17"/>
                <w:szCs w:val="17"/>
                <w:color w:val="auto"/>
              </w:rPr>
            </w:pPr>
          </w:p>
        </w:tc>
        <w:tc>
          <w:tcPr>
            <w:tcW w:w="31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Net defined benefit pension plans</w:t>
            </w:r>
          </w:p>
        </w:tc>
        <w:tc>
          <w:tcPr>
            <w:tcW w:w="16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12,064</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(7,750)</w:t>
            </w:r>
          </w:p>
        </w:tc>
      </w:tr>
      <w:tr>
        <w:trPr>
          <w:trHeight w:val="175"/>
        </w:trPr>
        <w:tc>
          <w:tcPr>
            <w:tcW w:w="60" w:type="dxa"/>
            <w:vAlign w:val="bottom"/>
          </w:tcPr>
          <w:p>
            <w:pPr>
              <w:spacing w:after="0"/>
              <w:rPr>
                <w:sz w:val="15"/>
                <w:szCs w:val="15"/>
                <w:color w:val="auto"/>
              </w:rPr>
            </w:pPr>
          </w:p>
        </w:tc>
        <w:tc>
          <w:tcPr>
            <w:tcW w:w="31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color w:val="auto"/>
              </w:rPr>
              <w:t>Forward-starting interest rate swaps (“FSIRS”):</w:t>
            </w:r>
          </w:p>
        </w:tc>
        <w:tc>
          <w:tcPr>
            <w:tcW w:w="1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10"/>
        </w:trPr>
        <w:tc>
          <w:tcPr>
            <w:tcW w:w="60" w:type="dxa"/>
            <w:vAlign w:val="bottom"/>
            <w:shd w:val="clear" w:color="auto" w:fill="CCEEFF"/>
          </w:tcPr>
          <w:p>
            <w:pPr>
              <w:spacing w:after="0"/>
              <w:rPr>
                <w:sz w:val="18"/>
                <w:szCs w:val="18"/>
                <w:color w:val="auto"/>
              </w:rPr>
            </w:pPr>
          </w:p>
        </w:tc>
        <w:tc>
          <w:tcPr>
            <w:tcW w:w="31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Amounts reclassified into net income</w:t>
            </w: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189"/>
        </w:trPr>
        <w:tc>
          <w:tcPr>
            <w:tcW w:w="60" w:type="dxa"/>
            <w:vAlign w:val="bottom"/>
            <w:tcBorders>
              <w:bottom w:val="single" w:sz="8" w:color="CCEEFF"/>
            </w:tcBorders>
          </w:tcPr>
          <w:p>
            <w:pPr>
              <w:spacing w:after="0"/>
              <w:rPr>
                <w:sz w:val="16"/>
                <w:szCs w:val="16"/>
                <w:color w:val="auto"/>
              </w:rPr>
            </w:pPr>
          </w:p>
        </w:tc>
        <w:tc>
          <w:tcPr>
            <w:tcW w:w="3120" w:type="dxa"/>
            <w:vAlign w:val="bottom"/>
            <w:tcBorders>
              <w:bottom w:val="single" w:sz="8" w:color="CCEEFF"/>
            </w:tcBorders>
            <w:gridSpan w:val="3"/>
          </w:tcPr>
          <w:p>
            <w:pPr>
              <w:jc w:val="center"/>
              <w:ind w:right="260"/>
              <w:spacing w:after="0"/>
              <w:rPr>
                <w:sz w:val="20"/>
                <w:szCs w:val="20"/>
                <w:color w:val="auto"/>
              </w:rPr>
            </w:pPr>
            <w:r>
              <w:rPr>
                <w:rFonts w:ascii="Times New Roman" w:cs="Times New Roman" w:eastAsia="Times New Roman" w:hAnsi="Times New Roman"/>
                <w:sz w:val="14"/>
                <w:szCs w:val="14"/>
                <w:color w:val="auto"/>
              </w:rPr>
              <w:t>Net forward-starting interest rate swaps</w:t>
            </w:r>
          </w:p>
        </w:tc>
        <w:tc>
          <w:tcPr>
            <w:tcW w:w="164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1,241</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203"/>
        </w:trPr>
        <w:tc>
          <w:tcPr>
            <w:tcW w:w="31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 net of tax</w:t>
            </w:r>
          </w:p>
        </w:tc>
        <w:tc>
          <w:tcPr>
            <w:tcW w:w="16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1,791</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13,305</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(5,727)</w:t>
            </w:r>
          </w:p>
        </w:tc>
      </w:tr>
      <w:tr>
        <w:trPr>
          <w:trHeight w:val="196"/>
        </w:trPr>
        <w:tc>
          <w:tcPr>
            <w:tcW w:w="31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164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13,204</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112,195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133,711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179,841</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187,978</w:t>
            </w:r>
          </w:p>
        </w:tc>
      </w:tr>
      <w:tr>
        <w:trPr>
          <w:trHeight w:val="21"/>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June 30, 2022</w:t>
            </w:r>
          </w:p>
        </w:tc>
      </w:tr>
      <w:tr>
        <w:trPr>
          <w:trHeight w:val="86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98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auto"/>
                <w:w w:val="99"/>
              </w:rPr>
              <w:t>SOUTHWEST GAS CORPORATION AND SUBSIDIARIES</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8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8"/>
              </w:rPr>
              <w:t>CONDENSED CONSOLIDATED STATEMENTS OF CASH FLOWS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rPr>
              <w:t>(Thousands of dollars)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6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56"/>
        </w:trPr>
        <w:tc>
          <w:tcPr>
            <w:tcW w:w="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20" w:type="dxa"/>
            <w:vAlign w:val="bottom"/>
            <w:gridSpan w:val="5"/>
          </w:tcPr>
          <w:p>
            <w:pPr>
              <w:ind w:left="300"/>
              <w:spacing w:after="0"/>
              <w:rPr>
                <w:sz w:val="20"/>
                <w:szCs w:val="20"/>
                <w:color w:val="auto"/>
              </w:rPr>
            </w:pPr>
            <w:r>
              <w:rPr>
                <w:rFonts w:ascii="Times New Roman" w:cs="Times New Roman" w:eastAsia="Times New Roman" w:hAnsi="Times New Roman"/>
                <w:sz w:val="14"/>
                <w:szCs w:val="14"/>
                <w:color w:val="auto"/>
              </w:rPr>
              <w:t>Six Months Ended</w:t>
            </w:r>
          </w:p>
        </w:tc>
        <w:tc>
          <w:tcPr>
            <w:tcW w:w="220" w:type="dxa"/>
            <w:vAlign w:val="bottom"/>
          </w:tcPr>
          <w:p>
            <w:pPr>
              <w:spacing w:after="0"/>
              <w:rPr>
                <w:sz w:val="22"/>
                <w:szCs w:val="22"/>
                <w:color w:val="auto"/>
              </w:rPr>
            </w:pPr>
          </w:p>
        </w:tc>
        <w:tc>
          <w:tcPr>
            <w:tcW w:w="1900" w:type="dxa"/>
            <w:vAlign w:val="bottom"/>
            <w:gridSpan w:val="4"/>
          </w:tcPr>
          <w:p>
            <w:pPr>
              <w:jc w:val="center"/>
              <w:ind w:right="168"/>
              <w:spacing w:after="0"/>
              <w:rPr>
                <w:sz w:val="20"/>
                <w:szCs w:val="20"/>
                <w:color w:val="auto"/>
              </w:rPr>
            </w:pPr>
            <w:r>
              <w:rPr>
                <w:rFonts w:ascii="Times New Roman" w:cs="Times New Roman" w:eastAsia="Times New Roman" w:hAnsi="Times New Roman"/>
                <w:sz w:val="14"/>
                <w:szCs w:val="14"/>
                <w:color w:val="auto"/>
              </w:rPr>
              <w:t>Twelve Months Ended</w:t>
            </w:r>
          </w:p>
        </w:tc>
      </w:tr>
      <w:tr>
        <w:trPr>
          <w:trHeight w:val="196"/>
        </w:trPr>
        <w:tc>
          <w:tcPr>
            <w:tcW w:w="60" w:type="dxa"/>
            <w:vAlign w:val="bottom"/>
            <w:tcBorders>
              <w:bottom w:val="single" w:sz="8" w:color="CCEEFF"/>
            </w:tcBorders>
          </w:tcPr>
          <w:p>
            <w:pPr>
              <w:spacing w:after="0"/>
              <w:rPr>
                <w:sz w:val="17"/>
                <w:szCs w:val="17"/>
                <w:color w:val="auto"/>
              </w:rPr>
            </w:pPr>
          </w:p>
        </w:tc>
        <w:tc>
          <w:tcPr>
            <w:tcW w:w="28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color w:val="auto"/>
              </w:rPr>
              <w:t>June 30,</w:t>
            </w: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center"/>
              <w:ind w:left="508"/>
              <w:spacing w:after="0"/>
              <w:rPr>
                <w:sz w:val="20"/>
                <w:szCs w:val="20"/>
                <w:color w:val="auto"/>
              </w:rPr>
            </w:pPr>
            <w:r>
              <w:rPr>
                <w:rFonts w:ascii="Times New Roman" w:cs="Times New Roman" w:eastAsia="Times New Roman" w:hAnsi="Times New Roman"/>
                <w:sz w:val="14"/>
                <w:szCs w:val="14"/>
                <w:color w:val="auto"/>
              </w:rPr>
              <w:t>June 30,</w:t>
            </w:r>
          </w:p>
        </w:tc>
        <w:tc>
          <w:tcPr>
            <w:tcW w:w="800" w:type="dxa"/>
            <w:vAlign w:val="bottom"/>
            <w:tcBorders>
              <w:bottom w:val="single" w:sz="8" w:color="auto"/>
            </w:tcBorders>
          </w:tcPr>
          <w:p>
            <w:pPr>
              <w:spacing w:after="0"/>
              <w:rPr>
                <w:sz w:val="17"/>
                <w:szCs w:val="17"/>
                <w:color w:val="auto"/>
              </w:rPr>
            </w:pPr>
          </w:p>
        </w:tc>
      </w:tr>
      <w:tr>
        <w:trPr>
          <w:trHeight w:val="203"/>
        </w:trPr>
        <w:tc>
          <w:tcPr>
            <w:tcW w:w="6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2021</w:t>
            </w:r>
          </w:p>
        </w:tc>
      </w:tr>
      <w:tr>
        <w:trPr>
          <w:trHeight w:val="175"/>
        </w:trPr>
        <w:tc>
          <w:tcPr>
            <w:tcW w:w="68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CASH FLOW FROM OPERATING ACTIVITIES: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10"/>
        </w:trPr>
        <w:tc>
          <w:tcPr>
            <w:tcW w:w="60" w:type="dxa"/>
            <w:vAlign w:val="bottom"/>
            <w:shd w:val="clear" w:color="auto" w:fill="CCEEFF"/>
          </w:tcPr>
          <w:p>
            <w:pPr>
              <w:spacing w:after="0"/>
              <w:rPr>
                <w:sz w:val="18"/>
                <w:szCs w:val="18"/>
                <w:color w:val="auto"/>
              </w:rPr>
            </w:pPr>
          </w:p>
        </w:tc>
        <w:tc>
          <w:tcPr>
            <w:tcW w:w="67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109,529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130,128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166,536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193,705</w:t>
            </w:r>
          </w:p>
        </w:tc>
      </w:tr>
      <w:tr>
        <w:trPr>
          <w:trHeight w:val="195"/>
        </w:trPr>
        <w:tc>
          <w:tcPr>
            <w:tcW w:w="60" w:type="dxa"/>
            <w:vAlign w:val="bottom"/>
          </w:tcPr>
          <w:p>
            <w:pPr>
              <w:spacing w:after="0"/>
              <w:rPr>
                <w:sz w:val="16"/>
                <w:szCs w:val="16"/>
                <w:color w:val="auto"/>
              </w:rPr>
            </w:pPr>
          </w:p>
        </w:tc>
        <w:tc>
          <w:tcPr>
            <w:tcW w:w="67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(used in) operating activities:</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0"/>
        </w:trPr>
        <w:tc>
          <w:tcPr>
            <w:tcW w:w="60" w:type="dxa"/>
            <w:vAlign w:val="bottom"/>
            <w:shd w:val="clear" w:color="auto" w:fill="CCEEFF"/>
          </w:tcPr>
          <w:p>
            <w:pPr>
              <w:spacing w:after="0"/>
              <w:rPr>
                <w:sz w:val="18"/>
                <w:szCs w:val="18"/>
                <w:color w:val="auto"/>
              </w:rPr>
            </w:pPr>
          </w:p>
        </w:tc>
        <w:tc>
          <w:tcPr>
            <w:tcW w:w="67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128,044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126,329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255,113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243,701</w:t>
            </w:r>
          </w:p>
        </w:tc>
      </w:tr>
      <w:tr>
        <w:trPr>
          <w:trHeight w:val="195"/>
        </w:trPr>
        <w:tc>
          <w:tcPr>
            <w:tcW w:w="60" w:type="dxa"/>
            <w:vAlign w:val="bottom"/>
          </w:tcPr>
          <w:p>
            <w:pPr>
              <w:spacing w:after="0"/>
              <w:rPr>
                <w:sz w:val="16"/>
                <w:szCs w:val="16"/>
                <w:color w:val="auto"/>
              </w:rPr>
            </w:pPr>
          </w:p>
        </w:tc>
        <w:tc>
          <w:tcPr>
            <w:tcW w:w="6760" w:type="dxa"/>
            <w:vAlign w:val="bottom"/>
            <w:gridSpan w:val="3"/>
          </w:tcPr>
          <w:p>
            <w:pPr>
              <w:ind w:left="620"/>
              <w:spacing w:after="0"/>
              <w:rPr>
                <w:sz w:val="20"/>
                <w:szCs w:val="20"/>
                <w:color w:val="auto"/>
              </w:rPr>
            </w:pPr>
            <w:r>
              <w:rPr>
                <w:rFonts w:ascii="Times New Roman" w:cs="Times New Roman" w:eastAsia="Times New Roman" w:hAnsi="Times New Roman"/>
                <w:sz w:val="14"/>
                <w:szCs w:val="14"/>
                <w:color w:val="auto"/>
              </w:rPr>
              <w:t>Deferred income taxes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38,178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51,683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64,989</w:t>
            </w:r>
          </w:p>
        </w:tc>
      </w:tr>
      <w:tr>
        <w:trPr>
          <w:trHeight w:val="210"/>
        </w:trPr>
        <w:tc>
          <w:tcPr>
            <w:tcW w:w="60" w:type="dxa"/>
            <w:vAlign w:val="bottom"/>
            <w:shd w:val="clear" w:color="auto" w:fill="CCEEFF"/>
          </w:tcPr>
          <w:p>
            <w:pPr>
              <w:spacing w:after="0"/>
              <w:rPr>
                <w:sz w:val="18"/>
                <w:szCs w:val="18"/>
                <w:color w:val="auto"/>
              </w:rPr>
            </w:pPr>
          </w:p>
        </w:tc>
        <w:tc>
          <w:tcPr>
            <w:tcW w:w="67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Changes in current assets and liabilities: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195"/>
        </w:trPr>
        <w:tc>
          <w:tcPr>
            <w:tcW w:w="60" w:type="dxa"/>
            <w:vAlign w:val="bottom"/>
          </w:tcPr>
          <w:p>
            <w:pPr>
              <w:spacing w:after="0"/>
              <w:rPr>
                <w:sz w:val="16"/>
                <w:szCs w:val="16"/>
                <w:color w:val="auto"/>
              </w:rPr>
            </w:pPr>
          </w:p>
        </w:tc>
        <w:tc>
          <w:tcPr>
            <w:tcW w:w="6760" w:type="dxa"/>
            <w:vAlign w:val="bottom"/>
            <w:gridSpan w:val="3"/>
          </w:tcPr>
          <w:p>
            <w:pPr>
              <w:ind w:left="940"/>
              <w:spacing w:after="0"/>
              <w:rPr>
                <w:sz w:val="20"/>
                <w:szCs w:val="20"/>
                <w:color w:val="auto"/>
              </w:rPr>
            </w:pPr>
            <w:r>
              <w:rPr>
                <w:rFonts w:ascii="Times New Roman" w:cs="Times New Roman" w:eastAsia="Times New Roman" w:hAnsi="Times New Roman"/>
                <w:sz w:val="14"/>
                <w:szCs w:val="14"/>
                <w:color w:val="auto"/>
              </w:rPr>
              <w:t>Accounts receivable, net of allowance</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27,846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28,018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(22,978)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(25,096)</w:t>
            </w:r>
          </w:p>
        </w:tc>
      </w:tr>
      <w:tr>
        <w:trPr>
          <w:trHeight w:val="210"/>
        </w:trPr>
        <w:tc>
          <w:tcPr>
            <w:tcW w:w="60" w:type="dxa"/>
            <w:vAlign w:val="bottom"/>
            <w:shd w:val="clear" w:color="auto" w:fill="CCEEFF"/>
          </w:tcPr>
          <w:p>
            <w:pPr>
              <w:spacing w:after="0"/>
              <w:rPr>
                <w:sz w:val="18"/>
                <w:szCs w:val="18"/>
                <w:color w:val="auto"/>
              </w:rPr>
            </w:pPr>
          </w:p>
        </w:tc>
        <w:tc>
          <w:tcPr>
            <w:tcW w:w="676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Accrued utility revenue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w:t>
            </w:r>
          </w:p>
        </w:tc>
      </w:tr>
      <w:tr>
        <w:trPr>
          <w:trHeight w:val="195"/>
        </w:trPr>
        <w:tc>
          <w:tcPr>
            <w:tcW w:w="60" w:type="dxa"/>
            <w:vAlign w:val="bottom"/>
          </w:tcPr>
          <w:p>
            <w:pPr>
              <w:spacing w:after="0"/>
              <w:rPr>
                <w:sz w:val="16"/>
                <w:szCs w:val="16"/>
                <w:color w:val="auto"/>
              </w:rPr>
            </w:pPr>
          </w:p>
        </w:tc>
        <w:tc>
          <w:tcPr>
            <w:tcW w:w="6760" w:type="dxa"/>
            <w:vAlign w:val="bottom"/>
            <w:gridSpan w:val="3"/>
          </w:tcPr>
          <w:p>
            <w:pPr>
              <w:ind w:left="940"/>
              <w:spacing w:after="0"/>
              <w:rPr>
                <w:sz w:val="20"/>
                <w:szCs w:val="20"/>
                <w:color w:val="auto"/>
              </w:rPr>
            </w:pPr>
            <w:r>
              <w:rPr>
                <w:rFonts w:ascii="Times New Roman" w:cs="Times New Roman" w:eastAsia="Times New Roman" w:hAnsi="Times New Roman"/>
                <w:sz w:val="14"/>
                <w:szCs w:val="14"/>
                <w:color w:val="auto"/>
              </w:rPr>
              <w:t>Deferred purchased gas costs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(63,426)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(287,687)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(119,467)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(305,043)</w:t>
            </w:r>
          </w:p>
        </w:tc>
      </w:tr>
      <w:tr>
        <w:trPr>
          <w:trHeight w:val="210"/>
        </w:trPr>
        <w:tc>
          <w:tcPr>
            <w:tcW w:w="60" w:type="dxa"/>
            <w:vAlign w:val="bottom"/>
            <w:shd w:val="clear" w:color="auto" w:fill="CCEEFF"/>
          </w:tcPr>
          <w:p>
            <w:pPr>
              <w:spacing w:after="0"/>
              <w:rPr>
                <w:sz w:val="18"/>
                <w:szCs w:val="18"/>
                <w:color w:val="auto"/>
              </w:rPr>
            </w:pPr>
          </w:p>
        </w:tc>
        <w:tc>
          <w:tcPr>
            <w:tcW w:w="676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(72,201)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(56,518)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42,081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6,812</w:t>
            </w:r>
          </w:p>
        </w:tc>
      </w:tr>
      <w:tr>
        <w:trPr>
          <w:trHeight w:val="195"/>
        </w:trPr>
        <w:tc>
          <w:tcPr>
            <w:tcW w:w="60" w:type="dxa"/>
            <w:vAlign w:val="bottom"/>
          </w:tcPr>
          <w:p>
            <w:pPr>
              <w:spacing w:after="0"/>
              <w:rPr>
                <w:sz w:val="16"/>
                <w:szCs w:val="16"/>
                <w:color w:val="auto"/>
              </w:rPr>
            </w:pPr>
          </w:p>
        </w:tc>
        <w:tc>
          <w:tcPr>
            <w:tcW w:w="6760" w:type="dxa"/>
            <w:vAlign w:val="bottom"/>
            <w:gridSpan w:val="3"/>
          </w:tcPr>
          <w:p>
            <w:pPr>
              <w:ind w:left="940"/>
              <w:spacing w:after="0"/>
              <w:rPr>
                <w:sz w:val="20"/>
                <w:szCs w:val="20"/>
                <w:color w:val="auto"/>
              </w:rPr>
            </w:pPr>
            <w:r>
              <w:rPr>
                <w:rFonts w:ascii="Times New Roman" w:cs="Times New Roman" w:eastAsia="Times New Roman" w:hAnsi="Times New Roman"/>
                <w:sz w:val="14"/>
                <w:szCs w:val="14"/>
                <w:color w:val="auto"/>
              </w:rPr>
              <w:t>Accrued taxes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(16,872)</w:t>
            </w:r>
          </w:p>
        </w:tc>
      </w:tr>
      <w:tr>
        <w:trPr>
          <w:trHeight w:val="210"/>
        </w:trPr>
        <w:tc>
          <w:tcPr>
            <w:tcW w:w="60" w:type="dxa"/>
            <w:vAlign w:val="bottom"/>
            <w:shd w:val="clear" w:color="auto" w:fill="CCEEFF"/>
          </w:tcPr>
          <w:p>
            <w:pPr>
              <w:spacing w:after="0"/>
              <w:rPr>
                <w:sz w:val="18"/>
                <w:szCs w:val="18"/>
                <w:color w:val="auto"/>
              </w:rPr>
            </w:pPr>
          </w:p>
        </w:tc>
        <w:tc>
          <w:tcPr>
            <w:tcW w:w="676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Other current assets and liabilities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46,730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(28,090)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(18,418)</w:t>
            </w:r>
          </w:p>
        </w:tc>
      </w:tr>
      <w:tr>
        <w:trPr>
          <w:trHeight w:val="195"/>
        </w:trPr>
        <w:tc>
          <w:tcPr>
            <w:tcW w:w="60" w:type="dxa"/>
            <w:vAlign w:val="bottom"/>
          </w:tcPr>
          <w:p>
            <w:pPr>
              <w:spacing w:after="0"/>
              <w:rPr>
                <w:sz w:val="16"/>
                <w:szCs w:val="16"/>
                <w:color w:val="auto"/>
              </w:rPr>
            </w:pPr>
          </w:p>
        </w:tc>
        <w:tc>
          <w:tcPr>
            <w:tcW w:w="6760" w:type="dxa"/>
            <w:vAlign w:val="bottom"/>
            <w:gridSpan w:val="3"/>
          </w:tcPr>
          <w:p>
            <w:pPr>
              <w:ind w:left="620"/>
              <w:spacing w:after="0"/>
              <w:rPr>
                <w:sz w:val="20"/>
                <w:szCs w:val="20"/>
                <w:color w:val="auto"/>
              </w:rPr>
            </w:pPr>
            <w:r>
              <w:rPr>
                <w:rFonts w:ascii="Times New Roman" w:cs="Times New Roman" w:eastAsia="Times New Roman" w:hAnsi="Times New Roman"/>
                <w:sz w:val="14"/>
                <w:szCs w:val="14"/>
                <w:color w:val="auto"/>
              </w:rPr>
              <w:t>Gain on sale of property</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0" w:type="dxa"/>
            <w:vAlign w:val="bottom"/>
            <w:shd w:val="clear" w:color="auto" w:fill="CCEEFF"/>
          </w:tcPr>
          <w:p>
            <w:pPr>
              <w:spacing w:after="0"/>
              <w:rPr>
                <w:sz w:val="18"/>
                <w:szCs w:val="18"/>
                <w:color w:val="auto"/>
              </w:rPr>
            </w:pPr>
          </w:p>
        </w:tc>
        <w:tc>
          <w:tcPr>
            <w:tcW w:w="67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Changes in undistributed stock compensation</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5,959</w:t>
            </w:r>
          </w:p>
        </w:tc>
      </w:tr>
      <w:tr>
        <w:trPr>
          <w:trHeight w:val="195"/>
        </w:trPr>
        <w:tc>
          <w:tcPr>
            <w:tcW w:w="60" w:type="dxa"/>
            <w:vAlign w:val="bottom"/>
          </w:tcPr>
          <w:p>
            <w:pPr>
              <w:spacing w:after="0"/>
              <w:rPr>
                <w:sz w:val="16"/>
                <w:szCs w:val="16"/>
                <w:color w:val="auto"/>
              </w:rPr>
            </w:pPr>
          </w:p>
        </w:tc>
        <w:tc>
          <w:tcPr>
            <w:tcW w:w="6760" w:type="dxa"/>
            <w:vAlign w:val="bottom"/>
            <w:gridSpan w:val="3"/>
          </w:tcPr>
          <w:p>
            <w:pPr>
              <w:ind w:left="620"/>
              <w:spacing w:after="0"/>
              <w:rPr>
                <w:sz w:val="20"/>
                <w:szCs w:val="20"/>
                <w:color w:val="auto"/>
              </w:rPr>
            </w:pPr>
            <w:r>
              <w:rPr>
                <w:rFonts w:ascii="Times New Roman" w:cs="Times New Roman" w:eastAsia="Times New Roman" w:hAnsi="Times New Roman"/>
                <w:sz w:val="14"/>
                <w:szCs w:val="14"/>
                <w:color w:val="auto"/>
              </w:rPr>
              <w:t>Equity AFUDC</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(2,543)</w:t>
            </w:r>
          </w:p>
        </w:tc>
      </w:tr>
      <w:tr>
        <w:trPr>
          <w:trHeight w:val="210"/>
        </w:trPr>
        <w:tc>
          <w:tcPr>
            <w:tcW w:w="60" w:type="dxa"/>
            <w:vAlign w:val="bottom"/>
            <w:shd w:val="clear" w:color="auto" w:fill="CCEEFF"/>
          </w:tcPr>
          <w:p>
            <w:pPr>
              <w:spacing w:after="0"/>
              <w:rPr>
                <w:sz w:val="18"/>
                <w:szCs w:val="18"/>
                <w:color w:val="auto"/>
              </w:rPr>
            </w:pPr>
          </w:p>
        </w:tc>
        <w:tc>
          <w:tcPr>
            <w:tcW w:w="67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Changes in deferred charges and other assets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(48,142)</w:t>
            </w:r>
          </w:p>
        </w:tc>
      </w:tr>
      <w:tr>
        <w:trPr>
          <w:trHeight w:val="196"/>
        </w:trPr>
        <w:tc>
          <w:tcPr>
            <w:tcW w:w="60" w:type="dxa"/>
            <w:vAlign w:val="bottom"/>
            <w:tcBorders>
              <w:bottom w:val="single" w:sz="8" w:color="CCEEFF"/>
            </w:tcBorders>
          </w:tcPr>
          <w:p>
            <w:pPr>
              <w:spacing w:after="0"/>
              <w:rPr>
                <w:sz w:val="17"/>
                <w:szCs w:val="17"/>
                <w:color w:val="auto"/>
              </w:rPr>
            </w:pPr>
          </w:p>
        </w:tc>
        <w:tc>
          <w:tcPr>
            <w:tcW w:w="6760" w:type="dxa"/>
            <w:vAlign w:val="bottom"/>
            <w:tcBorders>
              <w:bottom w:val="single" w:sz="8" w:color="CCEEFF"/>
            </w:tcBorders>
            <w:gridSpan w:val="3"/>
          </w:tcPr>
          <w:p>
            <w:pPr>
              <w:ind w:left="620"/>
              <w:spacing w:after="0"/>
              <w:rPr>
                <w:sz w:val="20"/>
                <w:szCs w:val="20"/>
                <w:color w:val="auto"/>
              </w:rPr>
            </w:pPr>
            <w:r>
              <w:rPr>
                <w:rFonts w:ascii="Times New Roman" w:cs="Times New Roman" w:eastAsia="Times New Roman" w:hAnsi="Times New Roman"/>
                <w:sz w:val="14"/>
                <w:szCs w:val="14"/>
                <w:color w:val="auto"/>
              </w:rPr>
              <w:t>Changes in other liabilities and deferred credits</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(22,230)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(45,309)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(49,307)</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(55,272)</w:t>
            </w:r>
          </w:p>
        </w:tc>
      </w:tr>
      <w:tr>
        <w:trPr>
          <w:trHeight w:val="203"/>
        </w:trPr>
        <w:tc>
          <w:tcPr>
            <w:tcW w:w="60" w:type="dxa"/>
            <w:vAlign w:val="bottom"/>
            <w:shd w:val="clear" w:color="auto" w:fill="CCEEFF"/>
          </w:tcPr>
          <w:p>
            <w:pPr>
              <w:spacing w:after="0"/>
              <w:rPr>
                <w:sz w:val="17"/>
                <w:szCs w:val="17"/>
                <w:color w:val="auto"/>
              </w:rPr>
            </w:pPr>
          </w:p>
        </w:tc>
        <w:tc>
          <w:tcPr>
            <w:tcW w:w="67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240,963</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(29,392)</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295,600</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41,080</w:t>
            </w:r>
          </w:p>
        </w:tc>
      </w:tr>
      <w:tr>
        <w:trPr>
          <w:trHeight w:val="175"/>
        </w:trPr>
        <w:tc>
          <w:tcPr>
            <w:tcW w:w="68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CASH FLOW FROM INVESTING ACTIVITIES: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10"/>
        </w:trPr>
        <w:tc>
          <w:tcPr>
            <w:tcW w:w="60" w:type="dxa"/>
            <w:vAlign w:val="bottom"/>
            <w:shd w:val="clear" w:color="auto" w:fill="CCEEFF"/>
          </w:tcPr>
          <w:p>
            <w:pPr>
              <w:spacing w:after="0"/>
              <w:rPr>
                <w:sz w:val="18"/>
                <w:szCs w:val="18"/>
                <w:color w:val="auto"/>
              </w:rPr>
            </w:pPr>
          </w:p>
        </w:tc>
        <w:tc>
          <w:tcPr>
            <w:tcW w:w="67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Construction expenditures and property additions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(293,197)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(276,109)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(619,071)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(613,824)</w:t>
            </w:r>
          </w:p>
        </w:tc>
      </w:tr>
      <w:tr>
        <w:trPr>
          <w:trHeight w:val="195"/>
        </w:trPr>
        <w:tc>
          <w:tcPr>
            <w:tcW w:w="60" w:type="dxa"/>
            <w:vAlign w:val="bottom"/>
          </w:tcPr>
          <w:p>
            <w:pPr>
              <w:spacing w:after="0"/>
              <w:rPr>
                <w:sz w:val="16"/>
                <w:szCs w:val="16"/>
                <w:color w:val="auto"/>
              </w:rPr>
            </w:pPr>
          </w:p>
        </w:tc>
        <w:tc>
          <w:tcPr>
            <w:tcW w:w="67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Changes in customer advances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17,051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25,517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17,442</w:t>
            </w:r>
          </w:p>
        </w:tc>
      </w:tr>
      <w:tr>
        <w:trPr>
          <w:trHeight w:val="210"/>
        </w:trPr>
        <w:tc>
          <w:tcPr>
            <w:tcW w:w="60" w:type="dxa"/>
            <w:vAlign w:val="bottom"/>
            <w:shd w:val="clear" w:color="auto" w:fill="CCEEFF"/>
          </w:tcPr>
          <w:p>
            <w:pPr>
              <w:spacing w:after="0"/>
              <w:rPr>
                <w:sz w:val="18"/>
                <w:szCs w:val="18"/>
                <w:color w:val="auto"/>
              </w:rPr>
            </w:pPr>
          </w:p>
        </w:tc>
        <w:tc>
          <w:tcPr>
            <w:tcW w:w="67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w:t>
            </w:r>
          </w:p>
        </w:tc>
      </w:tr>
      <w:tr>
        <w:trPr>
          <w:trHeight w:val="190"/>
        </w:trPr>
        <w:tc>
          <w:tcPr>
            <w:tcW w:w="60" w:type="dxa"/>
            <w:vAlign w:val="bottom"/>
            <w:tcBorders>
              <w:bottom w:val="single" w:sz="8" w:color="CCEEFF"/>
            </w:tcBorders>
          </w:tcPr>
          <w:p>
            <w:pPr>
              <w:spacing w:after="0"/>
              <w:rPr>
                <w:sz w:val="16"/>
                <w:szCs w:val="16"/>
                <w:color w:val="auto"/>
              </w:rPr>
            </w:pPr>
          </w:p>
        </w:tc>
        <w:tc>
          <w:tcPr>
            <w:tcW w:w="676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(277,042)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(268,596)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(594,488)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(595,705)</w:t>
            </w:r>
          </w:p>
        </w:tc>
      </w:tr>
      <w:tr>
        <w:trPr>
          <w:trHeight w:val="189"/>
        </w:trPr>
        <w:tc>
          <w:tcPr>
            <w:tcW w:w="6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 FROM FINANCING ACTIVITIES: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67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Contributions from parent</w:t>
            </w:r>
          </w:p>
        </w:tc>
        <w:tc>
          <w:tcPr>
            <w:tcW w:w="2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115,641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86,942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194,063</w:t>
            </w:r>
          </w:p>
        </w:tc>
      </w:tr>
      <w:tr>
        <w:trPr>
          <w:trHeight w:val="210"/>
        </w:trPr>
        <w:tc>
          <w:tcPr>
            <w:tcW w:w="60" w:type="dxa"/>
            <w:vAlign w:val="bottom"/>
            <w:shd w:val="clear" w:color="auto" w:fill="CCEEFF"/>
          </w:tcPr>
          <w:p>
            <w:pPr>
              <w:spacing w:after="0"/>
              <w:rPr>
                <w:sz w:val="18"/>
                <w:szCs w:val="18"/>
                <w:color w:val="auto"/>
              </w:rPr>
            </w:pPr>
          </w:p>
        </w:tc>
        <w:tc>
          <w:tcPr>
            <w:tcW w:w="67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Dividends paid</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(106,900)</w:t>
            </w:r>
          </w:p>
        </w:tc>
      </w:tr>
      <w:tr>
        <w:trPr>
          <w:trHeight w:val="195"/>
        </w:trPr>
        <w:tc>
          <w:tcPr>
            <w:tcW w:w="60" w:type="dxa"/>
            <w:vAlign w:val="bottom"/>
          </w:tcPr>
          <w:p>
            <w:pPr>
              <w:spacing w:after="0"/>
              <w:rPr>
                <w:sz w:val="16"/>
                <w:szCs w:val="16"/>
                <w:color w:val="auto"/>
              </w:rPr>
            </w:pPr>
          </w:p>
        </w:tc>
        <w:tc>
          <w:tcPr>
            <w:tcW w:w="67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Issuance of long-term debt, net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593,862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891,180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0" w:type="dxa"/>
            <w:vAlign w:val="bottom"/>
            <w:shd w:val="clear" w:color="auto" w:fill="CCEEFF"/>
          </w:tcPr>
          <w:p>
            <w:pPr>
              <w:spacing w:after="0"/>
              <w:rPr>
                <w:sz w:val="18"/>
                <w:szCs w:val="18"/>
                <w:color w:val="auto"/>
              </w:rPr>
            </w:pPr>
          </w:p>
        </w:tc>
        <w:tc>
          <w:tcPr>
            <w:tcW w:w="67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Retirement of long-term debt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(125,000)</w:t>
            </w:r>
          </w:p>
        </w:tc>
      </w:tr>
      <w:tr>
        <w:trPr>
          <w:trHeight w:val="195"/>
        </w:trPr>
        <w:tc>
          <w:tcPr>
            <w:tcW w:w="60" w:type="dxa"/>
            <w:vAlign w:val="bottom"/>
          </w:tcPr>
          <w:p>
            <w:pPr>
              <w:spacing w:after="0"/>
              <w:rPr>
                <w:sz w:val="16"/>
                <w:szCs w:val="16"/>
                <w:color w:val="auto"/>
              </w:rPr>
            </w:pPr>
          </w:p>
        </w:tc>
        <w:tc>
          <w:tcPr>
            <w:tcW w:w="67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Change in credit facility and commercial paper</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(130,000)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w:t>
            </w:r>
          </w:p>
        </w:tc>
      </w:tr>
      <w:tr>
        <w:trPr>
          <w:trHeight w:val="210"/>
        </w:trPr>
        <w:tc>
          <w:tcPr>
            <w:tcW w:w="60" w:type="dxa"/>
            <w:vAlign w:val="bottom"/>
            <w:shd w:val="clear" w:color="auto" w:fill="CCEEFF"/>
          </w:tcPr>
          <w:p>
            <w:pPr>
              <w:spacing w:after="0"/>
              <w:rPr>
                <w:sz w:val="18"/>
                <w:szCs w:val="18"/>
                <w:color w:val="auto"/>
              </w:rPr>
            </w:pPr>
          </w:p>
        </w:tc>
        <w:tc>
          <w:tcPr>
            <w:tcW w:w="67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Change in short-term debt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291,000</w:t>
            </w:r>
          </w:p>
        </w:tc>
      </w:tr>
      <w:tr>
        <w:trPr>
          <w:trHeight w:val="195"/>
        </w:trPr>
        <w:tc>
          <w:tcPr>
            <w:tcW w:w="60" w:type="dxa"/>
            <w:vAlign w:val="bottom"/>
          </w:tcPr>
          <w:p>
            <w:pPr>
              <w:spacing w:after="0"/>
              <w:rPr>
                <w:sz w:val="16"/>
                <w:szCs w:val="16"/>
                <w:color w:val="auto"/>
              </w:rPr>
            </w:pPr>
          </w:p>
        </w:tc>
        <w:tc>
          <w:tcPr>
            <w:tcW w:w="67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Withholding remittance - share-based compensation</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(1,242)</w:t>
            </w:r>
          </w:p>
        </w:tc>
      </w:tr>
      <w:tr>
        <w:trPr>
          <w:trHeight w:val="210"/>
        </w:trPr>
        <w:tc>
          <w:tcPr>
            <w:tcW w:w="60" w:type="dxa"/>
            <w:vAlign w:val="bottom"/>
            <w:shd w:val="clear" w:color="auto" w:fill="CCEEFF"/>
          </w:tcPr>
          <w:p>
            <w:pPr>
              <w:spacing w:after="0"/>
              <w:rPr>
                <w:sz w:val="18"/>
                <w:szCs w:val="18"/>
                <w:color w:val="auto"/>
              </w:rPr>
            </w:pPr>
          </w:p>
        </w:tc>
        <w:tc>
          <w:tcPr>
            <w:tcW w:w="67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r>
      <w:tr>
        <w:trPr>
          <w:trHeight w:val="190"/>
        </w:trPr>
        <w:tc>
          <w:tcPr>
            <w:tcW w:w="60" w:type="dxa"/>
            <w:vAlign w:val="bottom"/>
            <w:tcBorders>
              <w:bottom w:val="single" w:sz="8" w:color="CCEEFF"/>
            </w:tcBorders>
          </w:tcPr>
          <w:p>
            <w:pPr>
              <w:spacing w:after="0"/>
              <w:rPr>
                <w:sz w:val="16"/>
                <w:szCs w:val="16"/>
                <w:color w:val="auto"/>
              </w:rPr>
            </w:pPr>
          </w:p>
        </w:tc>
        <w:tc>
          <w:tcPr>
            <w:tcW w:w="676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99,531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294,636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363,313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401,559</w:t>
            </w:r>
          </w:p>
        </w:tc>
      </w:tr>
      <w:tr>
        <w:trPr>
          <w:trHeight w:val="189"/>
        </w:trPr>
        <w:tc>
          <w:tcPr>
            <w:tcW w:w="6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95"/>
        </w:trPr>
        <w:tc>
          <w:tcPr>
            <w:tcW w:w="68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Change in cash and cash equivalents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63,452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(153,066)</w:t>
            </w:r>
          </w:p>
        </w:tc>
      </w:tr>
      <w:tr>
        <w:trPr>
          <w:trHeight w:val="210"/>
        </w:trPr>
        <w:tc>
          <w:tcPr>
            <w:tcW w:w="6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38,691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41,070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37,718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190,784</w:t>
            </w:r>
          </w:p>
        </w:tc>
      </w:tr>
      <w:tr>
        <w:trPr>
          <w:trHeight w:val="190"/>
        </w:trPr>
        <w:tc>
          <w:tcPr>
            <w:tcW w:w="68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102,143</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37,718</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102,143</w:t>
            </w:r>
          </w:p>
        </w:tc>
        <w:tc>
          <w:tcPr>
            <w:tcW w:w="120" w:type="dxa"/>
            <w:vAlign w:val="bottom"/>
          </w:tcPr>
          <w:p>
            <w:pPr>
              <w:spacing w:after="0"/>
              <w:rPr>
                <w:sz w:val="16"/>
                <w:szCs w:val="16"/>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37,718</w:t>
            </w: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76"/>
        </w:trPr>
        <w:tc>
          <w:tcPr>
            <w:tcW w:w="6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INFORMATION:</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96"/>
        </w:trPr>
        <w:tc>
          <w:tcPr>
            <w:tcW w:w="60" w:type="dxa"/>
            <w:vAlign w:val="bottom"/>
          </w:tcPr>
          <w:p>
            <w:pPr>
              <w:spacing w:after="0"/>
              <w:rPr>
                <w:sz w:val="17"/>
                <w:szCs w:val="17"/>
                <w:color w:val="auto"/>
              </w:rPr>
            </w:pPr>
          </w:p>
        </w:tc>
        <w:tc>
          <w:tcPr>
            <w:tcW w:w="67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Interest paid, net of amounts capitalized</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51,312</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44,834</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96,718</w:t>
            </w:r>
          </w:p>
        </w:tc>
        <w:tc>
          <w:tcPr>
            <w:tcW w:w="120" w:type="dxa"/>
            <w:vAlign w:val="bottom"/>
          </w:tcPr>
          <w:p>
            <w:pPr>
              <w:spacing w:after="0"/>
              <w:rPr>
                <w:sz w:val="17"/>
                <w:szCs w:val="17"/>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94,984</w:t>
            </w: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21"/>
        </w:trPr>
        <w:tc>
          <w:tcPr>
            <w:tcW w:w="60" w:type="dxa"/>
            <w:vAlign w:val="bottom"/>
            <w:tcBorders>
              <w:bottom w:val="single" w:sz="8" w:color="CCEEFF"/>
            </w:tcBorders>
            <w:shd w:val="clear" w:color="auto" w:fill="CCEEFF"/>
          </w:tcPr>
          <w:p>
            <w:pPr>
              <w:spacing w:after="0"/>
              <w:rPr>
                <w:sz w:val="18"/>
                <w:szCs w:val="18"/>
                <w:color w:val="auto"/>
              </w:rPr>
            </w:pPr>
          </w:p>
        </w:tc>
        <w:tc>
          <w:tcPr>
            <w:tcW w:w="676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Income taxes paid (received), net</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(13,524)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3,359</w:t>
            </w: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57" w:right="3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Form 10-Q</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3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June 30, 2022</w:t>
            </w:r>
          </w:p>
        </w:tc>
        <w:tc>
          <w:tcPr>
            <w:tcW w:w="0" w:type="dxa"/>
            <w:vAlign w:val="bottom"/>
          </w:tcPr>
          <w:p>
            <w:pPr>
              <w:spacing w:after="0"/>
              <w:rPr>
                <w:sz w:val="1"/>
                <w:szCs w:val="1"/>
                <w:color w:val="auto"/>
              </w:rPr>
            </w:pPr>
          </w:p>
        </w:tc>
      </w:tr>
      <w:tr>
        <w:trPr>
          <w:trHeight w:val="86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60" w:type="dxa"/>
            <w:vAlign w:val="bottom"/>
            <w:gridSpan w:val="5"/>
          </w:tcPr>
          <w:p>
            <w:pPr>
              <w:jc w:val="center"/>
              <w:ind w:left="190"/>
              <w:spacing w:after="0"/>
              <w:rPr>
                <w:sz w:val="20"/>
                <w:szCs w:val="20"/>
                <w:color w:val="auto"/>
              </w:rPr>
            </w:pPr>
            <w:r>
              <w:rPr>
                <w:rFonts w:ascii="Times New Roman" w:cs="Times New Roman" w:eastAsia="Times New Roman" w:hAnsi="Times New Roman"/>
                <w:sz w:val="18"/>
                <w:szCs w:val="18"/>
                <w:color w:val="auto"/>
                <w:w w:val="99"/>
              </w:rPr>
              <w:t>SOUTHWEST GAS CORPORATION AND SUBSIDIARIES</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60" w:type="dxa"/>
            <w:vAlign w:val="bottom"/>
            <w:gridSpan w:val="5"/>
          </w:tcPr>
          <w:p>
            <w:pPr>
              <w:jc w:val="center"/>
              <w:ind w:left="170"/>
              <w:spacing w:after="0"/>
              <w:rPr>
                <w:sz w:val="20"/>
                <w:szCs w:val="20"/>
                <w:color w:val="auto"/>
              </w:rPr>
            </w:pPr>
            <w:r>
              <w:rPr>
                <w:rFonts w:ascii="Times New Roman" w:cs="Times New Roman" w:eastAsia="Times New Roman" w:hAnsi="Times New Roman"/>
                <w:sz w:val="18"/>
                <w:szCs w:val="18"/>
                <w:color w:val="auto"/>
                <w:w w:val="98"/>
              </w:rPr>
              <w:t>CONDENSED CONSOLIDATED STATEMENTS OF EQUITY</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2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2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rPr>
              <w:t>(Unaudited)</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8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Three Months Ended</w:t>
            </w:r>
          </w:p>
        </w:tc>
        <w:tc>
          <w:tcPr>
            <w:tcW w:w="240" w:type="dxa"/>
            <w:vAlign w:val="bottom"/>
          </w:tcPr>
          <w:p>
            <w:pPr>
              <w:spacing w:after="0"/>
              <w:rPr>
                <w:sz w:val="24"/>
                <w:szCs w:val="24"/>
                <w:color w:val="auto"/>
              </w:rPr>
            </w:pPr>
          </w:p>
        </w:tc>
        <w:tc>
          <w:tcPr>
            <w:tcW w:w="2080" w:type="dxa"/>
            <w:vAlign w:val="bottom"/>
            <w:gridSpan w:val="4"/>
          </w:tcPr>
          <w:p>
            <w:pPr>
              <w:jc w:val="right"/>
              <w:ind w:right="479"/>
              <w:spacing w:after="0"/>
              <w:rPr>
                <w:sz w:val="20"/>
                <w:szCs w:val="20"/>
                <w:color w:val="auto"/>
              </w:rPr>
            </w:pPr>
            <w:r>
              <w:rPr>
                <w:rFonts w:ascii="Times New Roman" w:cs="Times New Roman" w:eastAsia="Times New Roman" w:hAnsi="Times New Roman"/>
                <w:sz w:val="16"/>
                <w:szCs w:val="16"/>
                <w:color w:val="auto"/>
              </w:rPr>
              <w:t>Six Months Ended</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June 30,</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June 30,</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5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2021</w:t>
            </w:r>
          </w:p>
        </w:tc>
        <w:tc>
          <w:tcPr>
            <w:tcW w:w="0" w:type="dxa"/>
            <w:vAlign w:val="bottom"/>
          </w:tcPr>
          <w:p>
            <w:pPr>
              <w:spacing w:after="0"/>
              <w:rPr>
                <w:sz w:val="1"/>
                <w:szCs w:val="1"/>
                <w:color w:val="auto"/>
              </w:rPr>
            </w:pPr>
          </w:p>
        </w:tc>
      </w:tr>
      <w:tr>
        <w:trPr>
          <w:trHeight w:val="196"/>
        </w:trPr>
        <w:tc>
          <w:tcPr>
            <w:tcW w:w="6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shares</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642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Beginning and ending balances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47,482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47,482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47,482</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47,482</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amount</w:t>
            </w: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0" w:type="dxa"/>
            <w:vAlign w:val="bottom"/>
            <w:tcBorders>
              <w:bottom w:val="single" w:sz="8" w:color="CCEEFF"/>
            </w:tcBorders>
          </w:tcPr>
          <w:p>
            <w:pPr>
              <w:spacing w:after="0"/>
              <w:rPr>
                <w:sz w:val="17"/>
                <w:szCs w:val="17"/>
                <w:color w:val="auto"/>
              </w:rPr>
            </w:pPr>
          </w:p>
        </w:tc>
        <w:tc>
          <w:tcPr>
            <w:tcW w:w="642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6"/>
                <w:szCs w:val="16"/>
                <w:color w:val="auto"/>
              </w:rPr>
              <w:t>Beginning and ending balances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0" w:type="dxa"/>
            <w:vAlign w:val="bottom"/>
          </w:tcPr>
          <w:p>
            <w:pPr>
              <w:spacing w:after="0"/>
              <w:rPr>
                <w:sz w:val="1"/>
                <w:szCs w:val="1"/>
                <w:color w:val="auto"/>
              </w:rPr>
            </w:pPr>
          </w:p>
        </w:tc>
      </w:tr>
      <w:tr>
        <w:trPr>
          <w:trHeight w:val="199"/>
        </w:trPr>
        <w:tc>
          <w:tcPr>
            <w:tcW w:w="6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42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Beginning balances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1,620,616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1,458,344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1,618,911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1,410,345</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Share-based compensation</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3,433</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42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Contributions from Southwest Gas Holdings, Inc.</w:t>
            </w: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69,657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115,641</w:t>
            </w:r>
          </w:p>
        </w:tc>
        <w:tc>
          <w:tcPr>
            <w:tcW w:w="0" w:type="dxa"/>
            <w:vAlign w:val="bottom"/>
          </w:tcPr>
          <w:p>
            <w:pPr>
              <w:spacing w:after="0"/>
              <w:rPr>
                <w:sz w:val="1"/>
                <w:szCs w:val="1"/>
                <w:color w:val="auto"/>
              </w:rPr>
            </w:pPr>
          </w:p>
        </w:tc>
      </w:tr>
      <w:tr>
        <w:trPr>
          <w:trHeight w:val="212"/>
        </w:trPr>
        <w:tc>
          <w:tcPr>
            <w:tcW w:w="60" w:type="dxa"/>
            <w:vAlign w:val="bottom"/>
            <w:tcBorders>
              <w:top w:val="single" w:sz="8" w:color="CCEEFF"/>
            </w:tcBorders>
            <w:shd w:val="clear" w:color="auto" w:fill="CCEEFF"/>
          </w:tcPr>
          <w:p>
            <w:pPr>
              <w:spacing w:after="0"/>
              <w:rPr>
                <w:sz w:val="18"/>
                <w:szCs w:val="18"/>
                <w:color w:val="auto"/>
              </w:rPr>
            </w:pPr>
          </w:p>
        </w:tc>
        <w:tc>
          <w:tcPr>
            <w:tcW w:w="6420" w:type="dxa"/>
            <w:vAlign w:val="bottom"/>
            <w:tcBorders>
              <w:top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Ending balances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1,622,006</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1,529,419</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1,622,006</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1,529,419</w:t>
            </w:r>
          </w:p>
        </w:tc>
        <w:tc>
          <w:tcPr>
            <w:tcW w:w="0" w:type="dxa"/>
            <w:vAlign w:val="bottom"/>
          </w:tcPr>
          <w:p>
            <w:pPr>
              <w:spacing w:after="0"/>
              <w:rPr>
                <w:sz w:val="1"/>
                <w:szCs w:val="1"/>
                <w:color w:val="auto"/>
              </w:rPr>
            </w:pPr>
          </w:p>
        </w:tc>
      </w:tr>
      <w:tr>
        <w:trPr>
          <w:trHeight w:val="193"/>
        </w:trPr>
        <w:tc>
          <w:tcPr>
            <w:tcW w:w="64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Beginning balances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(61,135)</w:t>
            </w: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6420" w:type="dxa"/>
            <w:vAlign w:val="bottom"/>
            <w:gridSpan w:val="3"/>
          </w:tcPr>
          <w:p>
            <w:pPr>
              <w:ind w:left="620"/>
              <w:spacing w:after="0" w:line="162" w:lineRule="exact"/>
              <w:rPr>
                <w:sz w:val="20"/>
                <w:szCs w:val="20"/>
                <w:color w:val="auto"/>
              </w:rPr>
            </w:pPr>
            <w:r>
              <w:rPr>
                <w:rFonts w:ascii="Times New Roman" w:cs="Times New Roman" w:eastAsia="Times New Roman" w:hAnsi="Times New Roman"/>
                <w:sz w:val="16"/>
                <w:szCs w:val="16"/>
                <w:color w:val="auto"/>
              </w:rPr>
              <w:t>Net actuarial gain arising during period, less amortization of unamortized benefit plan</w:t>
            </w: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1,377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2,250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2,756</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42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cost, net of tax</w:t>
            </w: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FSIRS amounts reclassified to net income, net of tax</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0" w:type="dxa"/>
            <w:vAlign w:val="bottom"/>
          </w:tcPr>
          <w:p>
            <w:pPr>
              <w:spacing w:after="0"/>
              <w:rPr>
                <w:sz w:val="1"/>
                <w:szCs w:val="1"/>
                <w:color w:val="auto"/>
              </w:rPr>
            </w:pPr>
          </w:p>
        </w:tc>
      </w:tr>
      <w:tr>
        <w:trPr>
          <w:trHeight w:val="207"/>
        </w:trPr>
        <w:tc>
          <w:tcPr>
            <w:tcW w:w="60" w:type="dxa"/>
            <w:vAlign w:val="bottom"/>
            <w:tcBorders>
              <w:bottom w:val="single" w:sz="8" w:color="CCEEFF"/>
            </w:tcBorders>
          </w:tcPr>
          <w:p>
            <w:pPr>
              <w:spacing w:after="0"/>
              <w:rPr>
                <w:sz w:val="17"/>
                <w:szCs w:val="17"/>
                <w:color w:val="auto"/>
              </w:rPr>
            </w:pPr>
          </w:p>
        </w:tc>
        <w:tc>
          <w:tcPr>
            <w:tcW w:w="642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6"/>
                <w:szCs w:val="16"/>
                <w:color w:val="auto"/>
              </w:rPr>
              <w:t>Ending balances</w:t>
            </w: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(44,247)</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(57,552)</w:t>
            </w:r>
          </w:p>
        </w:tc>
        <w:tc>
          <w:tcPr>
            <w:tcW w:w="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(44,247)</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(57,552)</w:t>
            </w:r>
          </w:p>
        </w:tc>
        <w:tc>
          <w:tcPr>
            <w:tcW w:w="0" w:type="dxa"/>
            <w:vAlign w:val="bottom"/>
          </w:tcPr>
          <w:p>
            <w:pPr>
              <w:spacing w:after="0"/>
              <w:rPr>
                <w:sz w:val="1"/>
                <w:szCs w:val="1"/>
                <w:color w:val="auto"/>
              </w:rPr>
            </w:pPr>
          </w:p>
        </w:tc>
      </w:tr>
      <w:tr>
        <w:trPr>
          <w:trHeight w:val="199"/>
        </w:trPr>
        <w:tc>
          <w:tcPr>
            <w:tcW w:w="6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42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Beginning balances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987,177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926,011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906,827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835,146</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130,128</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42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Share-based compensation</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Dividends declared to Southwest Gas Holdings, Inc.</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(28,500)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(63,000)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(56,000)</w:t>
            </w:r>
          </w:p>
        </w:tc>
        <w:tc>
          <w:tcPr>
            <w:tcW w:w="0" w:type="dxa"/>
            <w:vAlign w:val="bottom"/>
          </w:tcPr>
          <w:p>
            <w:pPr>
              <w:spacing w:after="0"/>
              <w:rPr>
                <w:sz w:val="1"/>
                <w:szCs w:val="1"/>
                <w:color w:val="auto"/>
              </w:rPr>
            </w:pPr>
          </w:p>
        </w:tc>
      </w:tr>
      <w:tr>
        <w:trPr>
          <w:trHeight w:val="207"/>
        </w:trPr>
        <w:tc>
          <w:tcPr>
            <w:tcW w:w="60" w:type="dxa"/>
            <w:vAlign w:val="bottom"/>
            <w:tcBorders>
              <w:bottom w:val="single" w:sz="8" w:color="CCEEFF"/>
            </w:tcBorders>
          </w:tcPr>
          <w:p>
            <w:pPr>
              <w:spacing w:after="0"/>
              <w:rPr>
                <w:sz w:val="17"/>
                <w:szCs w:val="17"/>
                <w:color w:val="auto"/>
              </w:rPr>
            </w:pPr>
          </w:p>
        </w:tc>
        <w:tc>
          <w:tcPr>
            <w:tcW w:w="642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6"/>
                <w:szCs w:val="16"/>
                <w:color w:val="auto"/>
              </w:rPr>
              <w:t>Ending balances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952,725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908,757</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952,725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908,757</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Southwest Gas Corporation equity ending balances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2,579,596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2,429,736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2,579,596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2,429,736</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r>
        <w:rPr>
          <w:rFonts w:ascii="Times New Roman" w:cs="Times New Roman" w:eastAsia="Times New Roman" w:hAnsi="Times New Roman"/>
          <w:sz w:val="18"/>
          <w:szCs w:val="18"/>
          <w:color w:val="EE2724"/>
        </w:rPr>
        <w:t>.</w:t>
      </w: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2" w:name="page13"/>
    <w:bookmarkEnd w:id="12"/>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2022</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Background, Organization, and Summary of Significant Accounting Policies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Nature of Operations. </w:t>
      </w:r>
      <w:r>
        <w:rPr>
          <w:rFonts w:ascii="Times New Roman" w:cs="Times New Roman" w:eastAsia="Times New Roman" w:hAnsi="Times New Roman"/>
          <w:sz w:val="18"/>
          <w:szCs w:val="18"/>
          <w:color w:val="auto"/>
        </w:rPr>
        <w:t>Southwest Gas Holdings, Inc. (together with its subsidiaries, the “Company”) is a holding company, owning all of the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of Southwest Gas Corporation (“Southwest” or the “natural gas distribution” segment), all of the shares of common stock of Centuri Group, Inc. (“Centuri,” or the “utility infrastructure services” segment), and all of the shares of common stock of MountainWest Pipelines Holding Company (“MountainWest,” or the “pipeline and storage” segment).</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completed the acquisition of Dominion Energy Questar Pipeline, LLC and related entities (“Questar Pipelines”) in December 2021. Following the completion of the acquisition, the Company formed MountainWest which owns all of the membership interests in Questar Pipelines. In April 2022, the Company completed a general rebranding of the Questar Pipelines entities under the MountainWest name. The acquired operations further diversify the Company’s business in the midstream sector, with an expansion of interstate natural gas pipelines and underground storage services, primarily composed of regulated operations under the jurisdiction of the Federal Energy Regulatory Commission (the “FERC”), thereby expanding natural gas transportation services into Utah, Wyoming, and Colorado. See </w:t>
      </w:r>
      <w:r>
        <w:rPr>
          <w:rFonts w:ascii="Times New Roman" w:cs="Times New Roman" w:eastAsia="Times New Roman" w:hAnsi="Times New Roman"/>
          <w:sz w:val="18"/>
          <w:szCs w:val="18"/>
          <w:b w:val="1"/>
          <w:bCs w:val="1"/>
          <w:color w:val="auto"/>
        </w:rPr>
        <w:t>Note 8 - Business Acquisitions</w:t>
      </w:r>
      <w:r>
        <w:rPr>
          <w:rFonts w:ascii="Times New Roman" w:cs="Times New Roman" w:eastAsia="Times New Roman" w:hAnsi="Times New Roman"/>
          <w:sz w:val="18"/>
          <w:szCs w:val="18"/>
          <w:color w:val="auto"/>
        </w:rPr>
        <w:t xml:space="preserve"> for more information.</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Southwest is engaged in the business of purchasing, distributing, and transporting natural gas for customers in portions of Arizona, Nevada, and California. Public utility rates, practices, facilities, and service territories of Southwest are subject to regulatory oversight. The timing and amount of rate relief can materially impact results of operations. Natural gas purchases and the timing of related recoveries can materially impact liquidity. Results for the natural gas distribution segment are higher during winter periods due to the seasonality incorporated in its regulatory rate structures.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Centuri is a strategic utility infrastructure services company dedicated to partnering with North America’s gas and electric providers to build and maintain the energy network that powers millions of homes across the United States (“U.S.”) and Canada. Centuri derives revenue primarily from installation, replacement, repair, and maintenance of energy networks. Centuri operates in the U.S., primarily as NPL, Neuco, Linetec, and Riggs Distler, and in Canada, primarily as NPL Canada. Utility infrastructure services activity is seasonal in many of Centuri’s operating areas. Peak periods are the summer and fall months in colder climate areas, such as the northeastern and midwestern U.S. and in Canada. In warmer climate areas, such as the southwestern and southeastern U.S., utility infrastructure services activity continues year round.</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Centuri completed the acquisition of Drum Parent LLC (“Drum”), including Drum’s most significant operating subsidiary, Riggs Distler, in August 2021, thereby expanding Centuri’s electric infrastructure services footprint in the northeast and mid-Atlantic regions of the U.S. See </w:t>
      </w:r>
      <w:r>
        <w:rPr>
          <w:rFonts w:ascii="Times New Roman" w:cs="Times New Roman" w:eastAsia="Times New Roman" w:hAnsi="Times New Roman"/>
          <w:sz w:val="18"/>
          <w:szCs w:val="18"/>
          <w:b w:val="1"/>
          <w:bCs w:val="1"/>
          <w:color w:val="auto"/>
        </w:rPr>
        <w:t>Note 8 -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Acquisitions </w:t>
      </w:r>
      <w:r>
        <w:rPr>
          <w:rFonts w:ascii="Times New Roman" w:cs="Times New Roman" w:eastAsia="Times New Roman" w:hAnsi="Times New Roman"/>
          <w:sz w:val="18"/>
          <w:szCs w:val="18"/>
          <w:color w:val="auto"/>
        </w:rPr>
        <w:t>for more information.</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2022, the Company announced that its Board of Directors (the “Board”) had determined to separate Centuri from the Company and authorized management to complete the separation within nine to twelve months. Initially it was contemplated that the Centuri separation would take the form of a spin-off. Then, in April 2022, as a result of interest in the Company well in excess of an earlier tender offer to other shareholders by an activist stockholder (affiliates of Carl C. Icahn), the Board authorized the review of a full range of strategic alternatives to maximize stockholder value. As part of this process, a strategic transactions committee of the Board (the “Strategic Transactions Committee”), consisting entirely of independent directors, has been evaluating a sale of the Company, as well as a range of alternatives, including, but not limited to, a separate sale of its business units and/or pursuing the spin-off of Centuri (collectively, the “Strategic Review”). On August 3, 2022, the Company announced that the Board had unanimously determined that the best path forward to maximize value for all stockholders is to (i) focus on the strategic plan and conclude the strategic review process for Southwest Gas Holdings, Inc. and Southwest Gas Corporation; (ii) continue to review strategic alternatives for MountainWest; and (iii) continue to review strategic alternatives for Centuri, including a sale or spin-off of Centuri.</w:t>
      </w:r>
    </w:p>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6, 2022, the Company entered into a Cooperation Agreement (the “Cooperation Agreement”) with Carl C. Icahn and the persons and entities referenced therein (collectively, the “Icahn Group”). In accordance with the Cooperation Agreement, among other things, John P. Hester, President and Chief Executive Officer of the Company and Southwest, retired from his positions with the Company and Southwest and resigned from the Board. Thereafter, Karen S. Haller, the Company’s former Executive Vice President/Chief Legal and Administrative Officer, was appointed President and Chief Executive Officer of the Company and Chief Executive Officer of Southwest, and was appointed as a member of the Board effective immediately following the completion of the Company’s 2022 annual meeting of stockholders (the “2022 Annual Meeting”). Justin L. Brown, formerly Southwest’s Senior Vice President/General Counsel, was appointed as President of Southwest.</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pursuant to the Cooperation Agreement, the Company agreed to appoint three new directors, Andrew W. Evans, H. Russell Frisby, Jr., and Henry P. Linginfelter (collectively, the “Icahn Designees”), to the Board, which became effective immediately following the 2022 Annual Meeting. Also pursuant to the Cooperation Agreement, on May 27, 2022, the Icahn group informed the Company that it would cause Mr. Frisby to resign from the Board and requested that Andrew J. Teno be</w:t>
      </w: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3" w:name="page14"/>
    <w:bookmarkEnd w:id="13"/>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appointed to the Board to fill the vacancy created by Mr. Frisby’s resignation. As a result, on May 27, Mr. Frisby resigned from the Board, effective immediately, and the Board appointed Mr. Teno to fill the vacancy created by Mr. Frisby’s resignation, effective immediately. The Icahn Group’s ability to designate directors to the Board is subject to certain ownership thresholds. Consistent with the May 6, 2022 Cooperation Agreement with the Icahn Group, the Company expects José A. Cárdenas to step down from the Board in the near future, and a new director will be appointed.</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Cooperation Agreement required the Board expand the Strategic Transactions Committee from three directors to six directors, comprised of the existing members of the Strategic Transactions Committee in addition to the three Icahn Designees. Also, as the Icahn Group has the ability to designate at least three members of the Board, such individuals are to be included on the Strategic Transactions Committee. If the Icahn Group may only designate two members of the Board, then both would serve on the Strategic Transactions Committee.</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May 9, 2022, the Company also entered into Amendment No. 1 to the Rights Agreement dated October 10, 2021 (the “Original Rights Agreement” and as amended, the “Amended Rights Agreement”), to increase the triggering percentage from 10% to 24.9% pursuant to the terms of the Cooperation Agreement and permit the subsequent consummation of the Offer (as defined below). See details in the Company’s and Southwest’s Annual Report on Form 10-K for the fiscal year ended December 31, 2021 (the “2021 Form 10-K”) regarding the Original Rights Agreement, as well as </w:t>
      </w:r>
      <w:r>
        <w:rPr>
          <w:rFonts w:ascii="Times New Roman" w:cs="Times New Roman" w:eastAsia="Times New Roman" w:hAnsi="Times New Roman"/>
          <w:sz w:val="18"/>
          <w:szCs w:val="18"/>
          <w:b w:val="1"/>
          <w:bCs w:val="1"/>
          <w:color w:val="auto"/>
        </w:rPr>
        <w:t>Note 4 –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Stock </w:t>
      </w:r>
      <w:r>
        <w:rPr>
          <w:rFonts w:ascii="Times New Roman" w:cs="Times New Roman" w:eastAsia="Times New Roman" w:hAnsi="Times New Roman"/>
          <w:sz w:val="18"/>
          <w:szCs w:val="18"/>
          <w:color w:val="auto"/>
        </w:rPr>
        <w:t>in this current report on Form 10-Q.</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pursuant to the Cooperation Agreement, the Icahn Group is permitted to acquire up to 24.9% of the shares of the Company, which would include shares as part of an updated tender offer of $82.50 per share, with the updated tender offer expiring on May 20, 2022. An earlier civil suit (initiated in November 2021) by Icahn entities against the Company and certain directors and officers of the Company was subject to a stipulation of dismissal as part of the Cooperation Agreement. The Cooperation Agreement also provides for the reimbursement by the Company of certain out-of-pocket third-party expenses, including certain legal fees, incurred by the Icahn Group.</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The condensed consolidated financial statements of Southwest Gas Holdings, Inc. and subsidiaries and Southwest included herein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been prepared pursuant to the rules and regulations of the Securities and Exchange Commission (the “SEC”). The year-end 2021 condensed balance sheet data was derived from audited financial statements. Certain information and footnote disclosures normally included in financial statements prepared in accordance with U.S. generally accepted accounting principles (“U.S. GAAP”) have been condensed or omitted pursuant to such rules and regulations. No substantive change has occurred with regard to the Company’s business segments on the whole during the recently completed quarter.</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 In the opinion of management, all adjustments, consisting of normal recurring items and estimates necessary for a fair depiction of results for the interim periods, have been made.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condensed consolidated financial statements should be read in conjunction with the consolidated financial statements and notes thereto included in the 2021 Annual Report to Stockholders, which is incorporated by reference into the 2021 Form 10-K.</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Property and Investments. </w:t>
      </w:r>
      <w:r>
        <w:rPr>
          <w:rFonts w:ascii="Times New Roman" w:cs="Times New Roman" w:eastAsia="Times New Roman" w:hAnsi="Times New Roman"/>
          <w:sz w:val="18"/>
          <w:szCs w:val="18"/>
          <w:color w:val="auto"/>
        </w:rPr>
        <w:t>Other property and investments on Southwest’s and the Company’s Condensed Consolidated Balance Sheets includes: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00" w:type="dxa"/>
            <w:vAlign w:val="bottom"/>
          </w:tcPr>
          <w:p>
            <w:pPr>
              <w:spacing w:after="0"/>
              <w:rPr>
                <w:sz w:val="20"/>
                <w:szCs w:val="20"/>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June 30, 2022</w:t>
            </w:r>
          </w:p>
        </w:tc>
        <w:tc>
          <w:tcPr>
            <w:tcW w:w="200" w:type="dxa"/>
            <w:vAlign w:val="bottom"/>
          </w:tcPr>
          <w:p>
            <w:pPr>
              <w:spacing w:after="0"/>
              <w:rPr>
                <w:sz w:val="20"/>
                <w:szCs w:val="20"/>
                <w:color w:val="auto"/>
              </w:rPr>
            </w:pPr>
          </w:p>
        </w:tc>
        <w:tc>
          <w:tcPr>
            <w:tcW w:w="1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December 31, 2021</w:t>
            </w:r>
          </w:p>
        </w:tc>
      </w:tr>
      <w:tr>
        <w:trPr>
          <w:trHeight w:val="223"/>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surrender value of COLI policies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142,819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149,947</w:t>
            </w:r>
          </w:p>
        </w:tc>
      </w:tr>
      <w:tr>
        <w:trPr>
          <w:trHeight w:val="23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property</w:t>
            </w: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3,146</w:t>
            </w:r>
          </w:p>
        </w:tc>
      </w:tr>
      <w:tr>
        <w:trPr>
          <w:trHeight w:val="223"/>
        </w:trPr>
        <w:tc>
          <w:tcPr>
            <w:tcW w:w="7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Southwest Gas Corporation</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153,093</w:t>
            </w: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Non-regulated property, equipment, and intangibles</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1,678,683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1,616,392</w:t>
            </w: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Non-regulated accumulated provision for depreciation and amortization</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(569,630)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(512,343)</w:t>
            </w:r>
          </w:p>
        </w:tc>
      </w:tr>
      <w:tr>
        <w:trPr>
          <w:trHeight w:val="229"/>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property and investments</w:t>
            </w: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57,049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59,337</w:t>
            </w:r>
          </w:p>
        </w:tc>
      </w:tr>
      <w:tr>
        <w:trPr>
          <w:trHeight w:val="248"/>
        </w:trPr>
        <w:tc>
          <w:tcPr>
            <w:tcW w:w="7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Southwest Gas Holdings, Inc.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1,312,701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1,316,479</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Included in the table above are the net cash surrender values of company-owned life insurance (“COLI”) policies. These life insurance policies on members of management and other key employees are used by Southwest to indemnify itself against the loss of talent, expertise, and knowledge, as well as to provide indirect funding for certain nonqualified benefit plans. The term</w:t>
      </w: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4" w:name="page15"/>
    <w:bookmarkEnd w:id="14"/>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non-regulated in regard to assets and related balances in the table above is in reference to the non-rate regulated operations of Centuri, and to a more limited extent, certain assets of MountainWest.</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Cash and cash equivalents include money market fund investments totaling approximately $77 million and $97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Southwest and the Company, respectively, at June 30, 2022, and $20 million for the Company as of December 31, 2021. The balance for Southwest as of December 31, 2021 was insignificant. These investments fall within Level 2 of the fair value hierarchy, due to the asset valuation methods used by money market funds.</w:t>
      </w:r>
    </w:p>
    <w:p>
      <w:pPr>
        <w:spacing w:after="0" w:line="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Non-cash investing activities for the Company and Southwest include capital expenditures that were not yet paid, thereby remaining in accounts payable, which declined by approximately $11.6 million and $18.3 million, respectively, during the six months ended June 30, 2022, and increased $6.5 million and $6.6 million, respectively, during the twelve months ended June 30, 2022.</w:t>
      </w:r>
    </w:p>
    <w:p>
      <w:pPr>
        <w:spacing w:after="0" w:line="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Accounts Receivable, net of allowances. </w:t>
      </w:r>
      <w:r>
        <w:rPr>
          <w:rFonts w:ascii="Times New Roman" w:cs="Times New Roman" w:eastAsia="Times New Roman" w:hAnsi="Times New Roman"/>
          <w:sz w:val="18"/>
          <w:szCs w:val="18"/>
          <w:color w:val="auto"/>
        </w:rPr>
        <w:t>Following an earlier moratorium on account disconnections amidst the COVID-19 environment, account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collection efforts resumed in 2021 in all jurisdictions in which Southwest operates. Ultimately, some accounts may not be collected, and if so, would be written off. Estimates as to collectibility are made on an ongoing basis. However, </w:t>
      </w:r>
      <w:r>
        <w:rPr>
          <w:rFonts w:ascii="Times New Roman" w:cs="Times New Roman" w:eastAsia="Times New Roman" w:hAnsi="Times New Roman"/>
          <w:sz w:val="18"/>
          <w:szCs w:val="18"/>
          <w:color w:val="212529"/>
        </w:rPr>
        <w:t>Southwest continues to actively work with customers experiencing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financial hardship by means of flexible payment options and partnering with assistance agencies. The cost of gas included in customer rates also influences account balances at each reporting date.</w:t>
      </w:r>
    </w:p>
    <w:p>
      <w:pPr>
        <w:spacing w:after="0" w:line="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Deferred Purchased Gas Costs. </w:t>
      </w:r>
      <w:r>
        <w:rPr>
          <w:rFonts w:ascii="Times New Roman" w:cs="Times New Roman" w:eastAsia="Times New Roman" w:hAnsi="Times New Roman"/>
          <w:sz w:val="18"/>
          <w:szCs w:val="18"/>
          <w:color w:val="auto"/>
        </w:rPr>
        <w:t>The various regulatory commissions have established procedures to enable the rate-regulated companies to adjust billing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rates for changes in the cost of natural gas purchased. The difference between the current cost of gas purchased and the cost of gas recovered in billed rates is deferred. Generally, these deferred amounts are recovered or refunded within one year.</w:t>
      </w:r>
    </w:p>
    <w:p>
      <w:pPr>
        <w:spacing w:after="0" w:line="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Prepaid and other current assets. </w:t>
      </w:r>
      <w:r>
        <w:rPr>
          <w:rFonts w:ascii="Times New Roman" w:cs="Times New Roman" w:eastAsia="Times New Roman" w:hAnsi="Times New Roman"/>
          <w:sz w:val="18"/>
          <w:szCs w:val="18"/>
          <w:color w:val="auto"/>
        </w:rPr>
        <w:t>Prepaid and other current assets for Southwest include, among other things, materials and operating supplies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$70.2 million at June 30, 2022 and $62.9 million at December 31, 2021 (carried at weighted average cost). For the Company, there were materials and operating supplies of $74.5 million and $67.4 million at June 30, 2022 and December 31, 2021, respectively, which included amounts for MountainWest. Also included in the balance for both Southwest and the Company was $10.2 million and $52 million as of June 30, 2022 and December 31, 2021, respectively, in accrued purchased gas cost.</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Goodwill is assessed as of October 1</w:t>
      </w:r>
      <w:r>
        <w:rPr>
          <w:rFonts w:ascii="Times New Roman" w:cs="Times New Roman" w:eastAsia="Times New Roman" w:hAnsi="Times New Roman"/>
          <w:sz w:val="16"/>
          <w:szCs w:val="16"/>
          <w:color w:val="auto"/>
        </w:rPr>
        <w:t>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year for impairment, or more frequently, if circumstances indicate an impairment to the carrying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value of goodwill may have occurred. Management of the Company and Southwest considered its reporting units and segments, determining that they remained consistent between periods presented below, and that no change was necessary with regard to the level at which goodwill is assessed for impairment. The acquisition of MountainWest resulted in a new reportable segment which is assessed for impairment beginning in 2022. Since December 31, 2021, management qualitatively assessed whether events during the first six months of 2022 may have resulted in conditions whereby the carrying value of goodwill was higher than its fair value, which if the case, could be an indication of a permanent impairment. Through this assessment, no such condition was believed to have existed and therefore, no impairment was deemed to have occurred. However, there can be no assurances that future assessments of goodwill will not result in an impairment, and various factors, including the results of the continuing Strategic Review related to Centuri and MountainWest, or changes in economic conditions, governmental monetary policies, interest rates, or others, on their own or in combination with the undertakings of the Strategic Review, could result in the fair value of the related reporting units being lower than their carrying value. See also </w:t>
      </w:r>
      <w:r>
        <w:rPr>
          <w:rFonts w:ascii="Times New Roman" w:cs="Times New Roman" w:eastAsia="Times New Roman" w:hAnsi="Times New Roman"/>
          <w:sz w:val="18"/>
          <w:szCs w:val="18"/>
          <w:b w:val="1"/>
          <w:bCs w:val="1"/>
          <w:color w:val="auto"/>
        </w:rPr>
        <w:t>Note 8 -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Business Acquisitions</w:t>
      </w:r>
      <w:r>
        <w:rPr>
          <w:rFonts w:ascii="Times New Roman" w:cs="Times New Roman" w:eastAsia="Times New Roman" w:hAnsi="Times New Roman"/>
          <w:sz w:val="18"/>
          <w:szCs w:val="18"/>
          <w:color w:val="auto"/>
        </w:rPr>
        <w:t>. Goodwill in the Natural Gas Distribution operations of Southwest, and across all operations of the Company, is included in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Condensed Consolidated Balance Sheets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Natural Gas</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Utility</w:t>
            </w:r>
          </w:p>
        </w:tc>
        <w:tc>
          <w:tcPr>
            <w:tcW w:w="160" w:type="dxa"/>
            <w:vAlign w:val="bottom"/>
          </w:tcPr>
          <w:p>
            <w:pPr>
              <w:spacing w:after="0"/>
              <w:rPr>
                <w:sz w:val="18"/>
                <w:szCs w:val="18"/>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rPr>
              <w:t>Pipeline and</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w w:val="99"/>
              </w:rPr>
              <w:t>Infrastructure</w:t>
            </w: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6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Distribution</w:t>
            </w:r>
          </w:p>
        </w:tc>
        <w:tc>
          <w:tcPr>
            <w:tcW w:w="140" w:type="dxa"/>
            <w:vAlign w:val="bottom"/>
          </w:tcPr>
          <w:p>
            <w:pPr>
              <w:spacing w:after="0"/>
              <w:rPr>
                <w:sz w:val="21"/>
                <w:szCs w:val="21"/>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Services</w:t>
            </w:r>
          </w:p>
        </w:tc>
        <w:tc>
          <w:tcPr>
            <w:tcW w:w="160" w:type="dxa"/>
            <w:vAlign w:val="bottom"/>
          </w:tcPr>
          <w:p>
            <w:pPr>
              <w:spacing w:after="0"/>
              <w:rPr>
                <w:sz w:val="21"/>
                <w:szCs w:val="21"/>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Storage</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Total Company</w:t>
            </w:r>
          </w:p>
        </w:tc>
        <w:tc>
          <w:tcPr>
            <w:tcW w:w="0" w:type="dxa"/>
            <w:vAlign w:val="bottom"/>
          </w:tcPr>
          <w:p>
            <w:pPr>
              <w:spacing w:after="0"/>
              <w:rPr>
                <w:sz w:val="1"/>
                <w:szCs w:val="1"/>
                <w:color w:val="auto"/>
              </w:rPr>
            </w:pPr>
          </w:p>
        </w:tc>
      </w:tr>
      <w:tr>
        <w:trPr>
          <w:trHeight w:val="223"/>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785,058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986,179</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1,781,332</w:t>
            </w: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Measurement-period adjustments from Riggs Distler acquisition (a)</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Measurement-period adjustments from MountainWest acquisition (a)</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(28,178)</w:t>
            </w: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0" w:type="dxa"/>
            <w:vAlign w:val="bottom"/>
          </w:tcPr>
          <w:p>
            <w:pPr>
              <w:spacing w:after="0"/>
              <w:rPr>
                <w:sz w:val="1"/>
                <w:szCs w:val="1"/>
                <w:color w:val="auto"/>
              </w:rPr>
            </w:pPr>
          </w:p>
        </w:tc>
      </w:tr>
      <w:tr>
        <w:trPr>
          <w:trHeight w:val="248"/>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782,376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958,001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1,750,472</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ind w:left="400" w:hanging="230"/>
        <w:spacing w:after="0"/>
        <w:tabs>
          <w:tab w:leader="none" w:pos="4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w:t>
      </w:r>
      <w:r>
        <w:rPr>
          <w:rFonts w:ascii="Times New Roman" w:cs="Times New Roman" w:eastAsia="Times New Roman" w:hAnsi="Times New Roman"/>
          <w:sz w:val="16"/>
          <w:szCs w:val="16"/>
          <w:b w:val="1"/>
          <w:bCs w:val="1"/>
          <w:color w:val="auto"/>
        </w:rPr>
        <w:t>Note 8 - Business Acquisitions</w:t>
      </w:r>
      <w:r>
        <w:rPr>
          <w:rFonts w:ascii="Times New Roman" w:cs="Times New Roman" w:eastAsia="Times New Roman" w:hAnsi="Times New Roman"/>
          <w:sz w:val="16"/>
          <w:szCs w:val="16"/>
          <w:color w:val="auto"/>
        </w:rPr>
        <w:t xml:space="preserve"> for details regarding measurement-period adjustments.</w:t>
      </w:r>
    </w:p>
    <w:p>
      <w:pPr>
        <w:spacing w:after="0" w:line="200" w:lineRule="exact"/>
        <w:rPr>
          <w:rFonts w:ascii="Times New Roman" w:cs="Times New Roman" w:eastAsia="Times New Roman" w:hAnsi="Times New Roman"/>
          <w:sz w:val="16"/>
          <w:szCs w:val="16"/>
          <w:color w:val="auto"/>
        </w:rPr>
      </w:pPr>
    </w:p>
    <w:p>
      <w:pPr>
        <w:spacing w:after="0" w:line="315" w:lineRule="exact"/>
        <w:rPr>
          <w:rFonts w:ascii="Times New Roman" w:cs="Times New Roman" w:eastAsia="Times New Roman" w:hAnsi="Times New Roman"/>
          <w:sz w:val="16"/>
          <w:szCs w:val="16"/>
          <w:color w:val="auto"/>
        </w:rPr>
      </w:pPr>
    </w:p>
    <w:p>
      <w:pPr>
        <w:ind w:left="55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5" w:name="page16"/>
    <w:bookmarkEnd w:id="15"/>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2022</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Management recognizes in its balance sheets various liabilities that are expected to be settled through future cash payment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next twelve months, including amounts payable under regulatory mechanisms, customary accrued expenses for employee compensation and benefits, declared but unpaid dividends, and miscellaneous other accrued liabilities. Other current liabilities for the Company include $41.5 million and $36 million of dividends declared as of June 30, 2022 and December 31, 2021, respectively.</w:t>
      </w:r>
    </w:p>
    <w:p>
      <w:pPr>
        <w:spacing w:after="0" w:line="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(Deductions). </w:t>
      </w:r>
      <w:r>
        <w:rPr>
          <w:rFonts w:ascii="Times New Roman" w:cs="Times New Roman" w:eastAsia="Times New Roman" w:hAnsi="Times New Roman"/>
          <w:sz w:val="18"/>
          <w:szCs w:val="18"/>
          <w:color w:val="auto"/>
        </w:rPr>
        <w:t>The following table provides the composition of significant items included in Other income (deductions) in Southwest’s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Condensed Consolidated Statements of Income: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rPr>
              <w:t>Three Months Ended</w:t>
            </w:r>
          </w:p>
        </w:tc>
        <w:tc>
          <w:tcPr>
            <w:tcW w:w="180" w:type="dxa"/>
            <w:vAlign w:val="bottom"/>
          </w:tcPr>
          <w:p>
            <w:pPr>
              <w:spacing w:after="0"/>
              <w:rPr>
                <w:sz w:val="16"/>
                <w:szCs w:val="16"/>
                <w:color w:val="auto"/>
              </w:rPr>
            </w:pPr>
          </w:p>
        </w:tc>
        <w:tc>
          <w:tcPr>
            <w:tcW w:w="1800" w:type="dxa"/>
            <w:vAlign w:val="bottom"/>
            <w:gridSpan w:val="5"/>
          </w:tcPr>
          <w:p>
            <w:pPr>
              <w:ind w:left="160"/>
              <w:spacing w:after="0"/>
              <w:rPr>
                <w:sz w:val="20"/>
                <w:szCs w:val="20"/>
                <w:color w:val="auto"/>
              </w:rPr>
            </w:pPr>
            <w:r>
              <w:rPr>
                <w:rFonts w:ascii="Times New Roman" w:cs="Times New Roman" w:eastAsia="Times New Roman" w:hAnsi="Times New Roman"/>
                <w:sz w:val="16"/>
                <w:szCs w:val="16"/>
                <w:color w:val="auto"/>
              </w:rPr>
              <w:t>Six Months Ended</w:t>
            </w:r>
          </w:p>
        </w:tc>
        <w:tc>
          <w:tcPr>
            <w:tcW w:w="200" w:type="dxa"/>
            <w:vAlign w:val="bottom"/>
          </w:tcPr>
          <w:p>
            <w:pPr>
              <w:spacing w:after="0"/>
              <w:rPr>
                <w:sz w:val="16"/>
                <w:szCs w:val="16"/>
                <w:color w:val="auto"/>
              </w:rPr>
            </w:pPr>
          </w:p>
        </w:tc>
        <w:tc>
          <w:tcPr>
            <w:tcW w:w="1820" w:type="dxa"/>
            <w:vAlign w:val="bottom"/>
            <w:gridSpan w:val="4"/>
          </w:tcPr>
          <w:p>
            <w:pPr>
              <w:jc w:val="right"/>
              <w:ind w:right="198"/>
              <w:spacing w:after="0"/>
              <w:rPr>
                <w:sz w:val="20"/>
                <w:szCs w:val="20"/>
                <w:color w:val="auto"/>
              </w:rPr>
            </w:pPr>
            <w:r>
              <w:rPr>
                <w:rFonts w:ascii="Times New Roman" w:cs="Times New Roman" w:eastAsia="Times New Roman" w:hAnsi="Times New Roman"/>
                <w:sz w:val="16"/>
                <w:szCs w:val="16"/>
                <w:color w:val="auto"/>
              </w:rPr>
              <w:t>Twelve Months Ended</w:t>
            </w:r>
          </w:p>
        </w:tc>
      </w:tr>
      <w:tr>
        <w:trPr>
          <w:trHeight w:val="213"/>
        </w:trPr>
        <w:tc>
          <w:tcPr>
            <w:tcW w:w="5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June 30,</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June 30,</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June 30,</w:t>
            </w:r>
          </w:p>
        </w:tc>
        <w:tc>
          <w:tcPr>
            <w:tcW w:w="680" w:type="dxa"/>
            <w:vAlign w:val="bottom"/>
            <w:tcBorders>
              <w:bottom w:val="single" w:sz="8" w:color="auto"/>
            </w:tcBorders>
          </w:tcPr>
          <w:p>
            <w:pPr>
              <w:spacing w:after="0"/>
              <w:rPr>
                <w:sz w:val="18"/>
                <w:szCs w:val="18"/>
                <w:color w:val="auto"/>
              </w:rPr>
            </w:pPr>
          </w:p>
        </w:tc>
      </w:tr>
      <w:tr>
        <w:trPr>
          <w:trHeight w:val="304"/>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(Thousands of dollars)</w:t>
            </w: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color w:val="auto"/>
              </w:rPr>
              <w:t>2021</w:t>
            </w:r>
          </w:p>
        </w:tc>
      </w:tr>
      <w:tr>
        <w:trPr>
          <w:trHeight w:val="19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Southwest Gas Corporation:</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3"/>
        </w:trPr>
        <w:tc>
          <w:tcPr>
            <w:tcW w:w="5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 in COLI policies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(5,200)</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3,100</w:t>
            </w:r>
          </w:p>
        </w:tc>
        <w:tc>
          <w:tcPr>
            <w:tcW w:w="120" w:type="dxa"/>
            <w:vAlign w:val="bottom"/>
          </w:tcPr>
          <w:p>
            <w:pPr>
              <w:spacing w:after="0"/>
              <w:rPr>
                <w:sz w:val="18"/>
                <w:szCs w:val="18"/>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18,500</w:t>
            </w:r>
          </w:p>
        </w:tc>
      </w:tr>
      <w:tr>
        <w:trPr>
          <w:trHeight w:val="219"/>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4,160</w:t>
            </w:r>
          </w:p>
        </w:tc>
      </w:tr>
      <w:tr>
        <w:trPr>
          <w:trHeight w:val="213"/>
        </w:trPr>
        <w:tc>
          <w:tcPr>
            <w:tcW w:w="5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 AFUDC</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2,543</w:t>
            </w:r>
          </w:p>
        </w:tc>
      </w:tr>
      <w:tr>
        <w:trPr>
          <w:trHeight w:val="219"/>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components of net periodic benefit cost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(17,021)</w:t>
            </w:r>
          </w:p>
        </w:tc>
      </w:tr>
      <w:tr>
        <w:trPr>
          <w:trHeight w:val="213"/>
        </w:trPr>
        <w:tc>
          <w:tcPr>
            <w:tcW w:w="5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Miscellaneous income and (expense)</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(2,689)</w:t>
            </w:r>
          </w:p>
        </w:tc>
      </w:tr>
      <w:tr>
        <w:trPr>
          <w:trHeight w:val="21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Southwest Gas Corporation - total other income (deductions)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5,493</w:t>
            </w: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Centuri, MountainWest, and Southwest Gas Holdings, Inc.:</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transaction gain (loss)</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29"/>
        </w:trPr>
        <w:tc>
          <w:tcPr>
            <w:tcW w:w="5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 AFUDC</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Equity in earnings of unconsolidated investments</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3"/>
        </w:trPr>
        <w:tc>
          <w:tcPr>
            <w:tcW w:w="5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Miscellaneous income and (expense)</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w:t>
            </w:r>
          </w:p>
        </w:tc>
      </w:tr>
      <w:tr>
        <w:trPr>
          <w:trHeight w:val="237"/>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Southwest Gas Holdings, Inc. - total other income (deductions)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5,193</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Included in the table above is the change in cash surrender values of COLI policies (including net death benefits recognized). Current tax regulations provide for tax-free treatment of life insurance (death benefit) proceeds. Therefore, changes in the cash surrender values of COLI policies, as they progress towards the ultimate death benefits, are also recorded without tax consequences. Refer also to the discussion of </w:t>
      </w:r>
      <w:r>
        <w:rPr>
          <w:rFonts w:ascii="Times New Roman" w:cs="Times New Roman" w:eastAsia="Times New Roman" w:hAnsi="Times New Roman"/>
          <w:sz w:val="18"/>
          <w:szCs w:val="18"/>
          <w:i w:val="1"/>
          <w:iCs w:val="1"/>
          <w:color w:val="auto"/>
        </w:rPr>
        <w:t>Other Property and Investments</w:t>
      </w:r>
      <w:r>
        <w:rPr>
          <w:rFonts w:ascii="Times New Roman" w:cs="Times New Roman" w:eastAsia="Times New Roman" w:hAnsi="Times New Roman"/>
          <w:sz w:val="18"/>
          <w:szCs w:val="18"/>
          <w:color w:val="auto"/>
        </w:rPr>
        <w:t xml:space="preserve"> above and to </w:t>
      </w:r>
      <w:r>
        <w:rPr>
          <w:rFonts w:ascii="Times New Roman" w:cs="Times New Roman" w:eastAsia="Times New Roman" w:hAnsi="Times New Roman"/>
          <w:sz w:val="18"/>
          <w:szCs w:val="18"/>
          <w:b w:val="1"/>
          <w:bCs w:val="1"/>
          <w:color w:val="auto"/>
        </w:rPr>
        <w:t>Note 2 – Components of Net Periodic Benefit Cost</w:t>
      </w:r>
      <w:r>
        <w:rPr>
          <w:rFonts w:ascii="Times New Roman" w:cs="Times New Roman" w:eastAsia="Times New Roman" w:hAnsi="Times New Roman"/>
          <w:sz w:val="18"/>
          <w:szCs w:val="18"/>
          <w:color w:val="auto"/>
        </w:rPr>
        <w:t>.</w:t>
      </w:r>
    </w:p>
    <w:p>
      <w:pPr>
        <w:spacing w:after="0" w:line="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Redeemable Noncontrolling Interests. </w:t>
      </w:r>
      <w:r>
        <w:rPr>
          <w:rFonts w:ascii="Times New Roman" w:cs="Times New Roman" w:eastAsia="Times New Roman" w:hAnsi="Times New Roman"/>
          <w:sz w:val="18"/>
          <w:szCs w:val="18"/>
          <w:color w:val="auto"/>
        </w:rPr>
        <w:t>In connection with the acquisition of Linetec in November 2018, the previous owner retained a 20% equity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that entity, the reduction of which is subject to certain rights based on the passage of time or upon the occurrence of certain triggering events. Effective January 2022, the Company, through Centuri, had the right, but not the obligation, to purchase at fair value (subject to a floor) a portion of the interest held by the previous owner, and in incremental amounts each year thereafter. In March 2022, the parties agreed to a partial redemption based on these provisions, and as a result, Centuri paid $39.6 million to the previous owner of Linetec for a 5% equity interest in Linetec, thereby reducing the balance continuing to be redeemable to 15% under the terms of the original agreement. In order to fund the redemption, Southwest Gas Holdings, Inc. contributed capital to Centuri.</w:t>
      </w:r>
    </w:p>
    <w:p>
      <w:pPr>
        <w:spacing w:after="0" w:line="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members of Riggs Distler management have a 1.42% interest in Drum, which is redeemable, subject to certain rights based on the passage of time or upon the occurrence of certain triggering events.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Significant changes in the value of the redeemable noncontrolling interests, above a floor determined at the establishment date, are recognized as they occur, and the carrying value is adjusted as necessary at each reporting date. The fair value is estimated using a market approach that utilizes certain financial metrics from guideline public companies of similar industry and operating characteristics. Based on the fair value model employed, the estimated redemption value of the Linetec redeemable noncontrolling interest decreased by approximately $36 million during the six months ended June 30, 2022. Adjustment to the redemption value also impacts retained earnings, as reflected in the Company’s Condensed Consolidated Statement of Equity, but does not impact net income. The following depicts changes to the balances of the redeemable noncontrolling interests:</w:t>
      </w: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6" w:name="page17"/>
    <w:bookmarkEnd w:id="16"/>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2022</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00" w:type="dxa"/>
            <w:vAlign w:val="bottom"/>
          </w:tcPr>
          <w:p>
            <w:pPr>
              <w:spacing w:after="0"/>
              <w:rPr>
                <w:sz w:val="20"/>
                <w:szCs w:val="20"/>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Linetec</w:t>
            </w:r>
          </w:p>
        </w:tc>
        <w:tc>
          <w:tcPr>
            <w:tcW w:w="340" w:type="dxa"/>
            <w:vAlign w:val="bottom"/>
          </w:tcPr>
          <w:p>
            <w:pPr>
              <w:spacing w:after="0"/>
              <w:rPr>
                <w:sz w:val="20"/>
                <w:szCs w:val="20"/>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Drum</w:t>
            </w:r>
          </w:p>
        </w:tc>
        <w:tc>
          <w:tcPr>
            <w:tcW w:w="34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6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184,148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196,717</w:t>
            </w:r>
          </w:p>
        </w:tc>
      </w:tr>
      <w:tr>
        <w:trPr>
          <w:trHeight w:val="229"/>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redeemable noncontrolling interests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w:t>
            </w:r>
          </w:p>
        </w:tc>
      </w:tr>
      <w:tr>
        <w:trPr>
          <w:trHeight w:val="229"/>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value adjustments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(35,978)</w:t>
            </w:r>
          </w:p>
        </w:tc>
      </w:tr>
      <w:tr>
        <w:trPr>
          <w:trHeight w:val="230"/>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 of equity interest from noncontrolling party</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(39,649)</w:t>
            </w:r>
          </w:p>
        </w:tc>
      </w:tr>
      <w:tr>
        <w:trPr>
          <w:trHeight w:val="248"/>
        </w:trPr>
        <w:tc>
          <w:tcPr>
            <w:tcW w:w="6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2022</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122,656</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Earnings Per Share. </w:t>
      </w:r>
      <w:r>
        <w:rPr>
          <w:rFonts w:ascii="Times New Roman" w:cs="Times New Roman" w:eastAsia="Times New Roman" w:hAnsi="Times New Roman"/>
          <w:sz w:val="18"/>
          <w:szCs w:val="18"/>
          <w:color w:val="auto"/>
        </w:rPr>
        <w:t>Basic earnings per share (“EPS”) in each period of this report were calculated by dividing net income attributable to Southwest 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Holdings, Inc. by the weighted-average number of shares during those periods. Diluted EPS includes additional weighted-average common stock equivalents (performance shares and restricted stock units). Unless otherwise noted, the term “Earnings Per Share” refers to Basic EPS. A reconciliation of the denominator used in Basic and Diluted EPS calculations is shown in the following table: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250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54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238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Twelve Months Ended</w:t>
            </w:r>
          </w:p>
        </w:tc>
      </w:tr>
      <w:tr>
        <w:trPr>
          <w:trHeight w:val="236"/>
        </w:trPr>
        <w:tc>
          <w:tcPr>
            <w:tcW w:w="3820" w:type="dxa"/>
            <w:vAlign w:val="bottom"/>
          </w:tcPr>
          <w:p>
            <w:pPr>
              <w:spacing w:after="0"/>
              <w:rPr>
                <w:sz w:val="20"/>
                <w:szCs w:val="20"/>
                <w:color w:val="auto"/>
              </w:rPr>
            </w:pPr>
          </w:p>
        </w:tc>
        <w:tc>
          <w:tcPr>
            <w:tcW w:w="158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color w:val="auto"/>
                <w:w w:val="99"/>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color w:val="auto"/>
                <w:w w:val="99"/>
              </w:rPr>
              <w:t>June 30,</w:t>
            </w: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8"/>
                <w:szCs w:val="18"/>
                <w:color w:val="auto"/>
              </w:rPr>
              <w:t>June 30,</w:t>
            </w:r>
          </w:p>
        </w:tc>
        <w:tc>
          <w:tcPr>
            <w:tcW w:w="820" w:type="dxa"/>
            <w:vAlign w:val="bottom"/>
            <w:tcBorders>
              <w:bottom w:val="single" w:sz="8" w:color="auto"/>
            </w:tcBorders>
          </w:tcPr>
          <w:p>
            <w:pPr>
              <w:spacing w:after="0"/>
              <w:rPr>
                <w:sz w:val="20"/>
                <w:szCs w:val="20"/>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basic shares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67,045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58,607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58,106</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57,348</w:t>
            </w: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stock units (1)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67,190</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58,710</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64,041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58,197</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62,157</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57,440</w:t>
            </w:r>
          </w:p>
        </w:tc>
      </w:tr>
      <w:tr>
        <w:trPr>
          <w:trHeight w:val="20"/>
        </w:trPr>
        <w:tc>
          <w:tcPr>
            <w:tcW w:w="38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jc w:val="both"/>
        <w:ind w:left="180" w:hanging="10"/>
        <w:spacing w:after="0" w:line="263" w:lineRule="auto"/>
        <w:tabs>
          <w:tab w:leader="none" w:pos="41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securities included 136,000 and 95,000 performance shares during the three months ending June 30, 2022 and 2021, 125,000 and 85,000 performance shares during the six months ending June 30, 2022 and 2021 and 124,000 and 83,000 performance shares during the twelve months ending June 30, 2022 and 2021, respectively, the total of which was derived by assuming that target performance will be achieved during the relevant performance period.</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Southwest maintains liability insurance for various risks associated with the operation of its natural gas pipelines and facilities.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connection with these liability insurance policies, Southwest is responsible for an initial deductible or self-insured retention amount per incident, after which the insurance carriers would be responsible for amounts up to the policy limits. For the policy year August 2021 to July 2022, these liability insurance policies require Southwest to be responsible for the first $1 million (self-insured retention) of each incident plus the first $4 million in aggregate claims above its self-insured retention in the policy year. In August 2021, a natural gas pipe operated by Southwest was involved in an explosion that injured four individuals and damaged property. The explosion was caused by a leak in the pipe, and is under investigation. Individuals that were injured have each brought legal claims against Southwest and other parties. If Southwest is deemed fully or partially responsible, Southwest estimates its net exposure could be equal to the self-insured retention of $5 million (the maximum noted above). In 2021, pursuant to Accounting Standards Codification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Southwest recorded a $5 million liability related to this incident reflecting the maximum noted above; an estimate of actual loss greater than this exposure (to be covered by insurance) cannot be estimated as of the date these financial statements are issued.</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contingencies are also recognized where appropriate, if claims are brought, or expected to be brought, against the Company or Southwest, where management expects it may settle (or be required to settle) claims in cash, or in some cases, by means of insurance indemnification. The balance of such reserves was updated for additional accruals, including in regard to a contract dispute. For that item, $6.2 million was recorded during the second quarter of 2022, based on management’s estimate of Southwest’s exposure.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described above, the November 2021 civil suit filed by the Icahn Group, against the Company and certain officers and directors, was subject to a stipulation of dismissal with prejudice in May 2022, pursuant to the terms of the Cooperation Agreement.</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18, 2021, the City Pension Fund for Firefighters and Police Officers in the City of Miami Beach (“City Pension Fund”) commenced a putative class action lawsuit in the Court of Chancery for the State of Delaware on behalf of a putative class of persons who purchased the Company’s stock. The complaint was later amended on November 30, 2021. The amended complaint named the Company and the individual members of the Board as defendants. The complaint sought to assert breach of fiduciary duty claims, alleging that the Board’s recommendation that stockholders reject Icahn’s Offer to purchase shares of the Company’s common stock omitted material information about the Company’s financial analysis; and sought to have the Board approve Icahn’s slate of nominees as “continuing directors” under certain of the Company’s debt instruments. In March 2022, the City Pension Fund filed a motion for summary judgment on its claim; however, in April 2022, the City Pension Fund</w:t>
      </w: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7" w:name="page18"/>
    <w:bookmarkEnd w:id="17"/>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filed a notice of withdrawal of its motion for summary judgment. The Company believes that the claims lack merit and intends to vigorously defend against them.</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Standards Updates.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pronouncements effective or adopted in 2022:</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March 2020, the Financial Accounting Standards Board (the “FASB”) issued ASU 2020-04 “Reference Rate Reform (Topic 848): Facilitation of the Effects of Reference Rate Reform on Financial Reporting.” The update provides optional guidance for a limited time to ease the potential burden in accounting for, or recognizing the effects of, reference rate reform on financial reporting, including when modifying a contract (during the eligibility period covered by the update to Topic 848) to replace a reference rate affected by such reform. The update applies only to contracts and hedging relationships that reference the London Interbank Offered Rate (“LIBOR”) or another rate expected to be discontinued due to reference rate reform. The guidance was eligible to be applied upon issuance on March 12, 2020, and can generally be applied through December 31, 2022, and while a proposal by the FASB has occurred to extend the optional guidance to the full tenor of LIBOR expiration dates occurring after 2022, to date, no such update has been made effective. Management will monitor the impacts this update might have on the Company’s and Southwest’s consolidated financial statements and disclosures, and will reflect such appropriately, in the event that the optional guidance is elected. Management will also monitor further FASB action, if any, in regard to the full tenor of LIBOR expiration dates. See also LIBOR discussion in </w:t>
      </w:r>
      <w:r>
        <w:rPr>
          <w:rFonts w:ascii="Times New Roman" w:cs="Times New Roman" w:eastAsia="Times New Roman" w:hAnsi="Times New Roman"/>
          <w:sz w:val="18"/>
          <w:szCs w:val="18"/>
          <w:b w:val="1"/>
          <w:bCs w:val="1"/>
          <w:color w:val="auto"/>
        </w:rPr>
        <w:t>Note 5 – Debt</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2020, the FASB issued ASU 2020-06 “Debt—Debt with Conversion and Other Options (Subtopic 470-20) and Derivatives and Hedging— Contracts in Entity’s Own Equity (Subtopic 815-40): Accounting for Convertible Instruments and Contracts in an Entity’s Own Equity.” The update, amongst other amendments, improves the guidance related to the disclosures and earnings-per-share for convertible instruments and contracts in an entity’s own equity. The Company and Southwest adopted the update in the first quarter of 2022, the impact of which was not material to the consolidated financial statements of the Company or Southwest.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8" w:name="page19"/>
    <w:bookmarkEnd w:id="18"/>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2022</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Components of Net Periodic Benefit Cost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Southwest has a noncontributory qualified retirement plan with defined benefits covering substantially all employees and a separate unfunded supplemental retirement plan (“SERP”) which is limited to officers. Southwest also provides postretirement benefits other than pensions (“PBOP”) to its qualified retirees for health care, dental, and life insurance. The defined benefit qualified retirement plan, SERP, and PBOP are not available to Southwest employees hired on or after January 1, 2022. Employees hired in 2022 or later periods are eligible for enhanced defined contributions as part of the Southwest 401(k) plan, rather than participating in the defined benefit retirement plan.</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service cost component of net periodic benefit costs included in the table below is a component of an overhead loading process associated with the cost of labor. The overhead process ultimately results in allocation of service cost to the same accounts to which productive labor is charged. As a result, service costs become components of various accounts, primarily operations and maintenance expense, net regulated operations plant, and deferred charges and other assets for both the Company and Southwest. The other components of net periodic benefit cost are reflected in Other income (deductions) on the Condensed Consolidated Statements of Income of each entity.</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8"/>
                <w:szCs w:val="18"/>
                <w:color w:val="auto"/>
              </w:rPr>
              <w:t>Qualified Retirement Plan</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23"/>
        </w:trPr>
        <w:tc>
          <w:tcPr>
            <w:tcW w:w="36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9"/>
              </w:rPr>
              <w:t>June 30,</w:t>
            </w: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23"/>
        </w:trPr>
        <w:tc>
          <w:tcPr>
            <w:tcW w:w="3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0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Three Months</w:t>
            </w:r>
          </w:p>
        </w:tc>
        <w:tc>
          <w:tcPr>
            <w:tcW w:w="200" w:type="dxa"/>
            <w:vAlign w:val="bottom"/>
          </w:tcPr>
          <w:p>
            <w:pPr>
              <w:spacing w:after="0"/>
              <w:rPr>
                <w:sz w:val="19"/>
                <w:szCs w:val="19"/>
                <w:color w:val="auto"/>
              </w:rPr>
            </w:pPr>
          </w:p>
        </w:tc>
        <w:tc>
          <w:tcPr>
            <w:tcW w:w="146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color w:val="auto"/>
              </w:rPr>
              <w:t>Six Months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Twelve Months</w:t>
            </w:r>
          </w:p>
        </w:tc>
      </w:tr>
      <w:tr>
        <w:trPr>
          <w:trHeight w:val="223"/>
        </w:trPr>
        <w:tc>
          <w:tcPr>
            <w:tcW w:w="36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r>
      <w:tr>
        <w:trPr>
          <w:trHeight w:val="20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22,056</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42,635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37,730</w:t>
            </w: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42,994</w:t>
            </w: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(68,824)</w:t>
            </w: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38,990</w:t>
            </w:r>
          </w:p>
        </w:tc>
      </w:tr>
      <w:tr>
        <w:trPr>
          <w:trHeight w:val="22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46,432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50,890</w:t>
            </w:r>
          </w:p>
        </w:tc>
      </w:tr>
      <w:tr>
        <w:trPr>
          <w:trHeight w:val="21"/>
        </w:trPr>
        <w:tc>
          <w:tcPr>
            <w:tcW w:w="3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12"/>
        </w:trPr>
        <w:tc>
          <w:tcPr>
            <w:tcW w:w="36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7"/>
              </w:rPr>
              <w:t>SERP</w:t>
            </w: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23"/>
        </w:trPr>
        <w:tc>
          <w:tcPr>
            <w:tcW w:w="36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9"/>
              </w:rPr>
              <w:t>June 30,</w:t>
            </w: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23"/>
        </w:trPr>
        <w:tc>
          <w:tcPr>
            <w:tcW w:w="3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0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Three Months</w:t>
            </w:r>
          </w:p>
        </w:tc>
        <w:tc>
          <w:tcPr>
            <w:tcW w:w="200" w:type="dxa"/>
            <w:vAlign w:val="bottom"/>
          </w:tcPr>
          <w:p>
            <w:pPr>
              <w:spacing w:after="0"/>
              <w:rPr>
                <w:sz w:val="19"/>
                <w:szCs w:val="19"/>
                <w:color w:val="auto"/>
              </w:rPr>
            </w:pPr>
          </w:p>
        </w:tc>
        <w:tc>
          <w:tcPr>
            <w:tcW w:w="146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color w:val="auto"/>
              </w:rPr>
              <w:t>Six Months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Twelve Months</w:t>
            </w:r>
          </w:p>
        </w:tc>
      </w:tr>
      <w:tr>
        <w:trPr>
          <w:trHeight w:val="223"/>
        </w:trPr>
        <w:tc>
          <w:tcPr>
            <w:tcW w:w="36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r>
      <w:tr>
        <w:trPr>
          <w:trHeight w:val="229"/>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w:t>
            </w:r>
          </w:p>
        </w:tc>
      </w:tr>
      <w:tr>
        <w:trPr>
          <w:trHeight w:val="248"/>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393"/>
        </w:trPr>
        <w:tc>
          <w:tcPr>
            <w:tcW w:w="36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color w:val="auto"/>
              </w:rPr>
              <w:t>PBOP</w:t>
            </w: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23"/>
        </w:trPr>
        <w:tc>
          <w:tcPr>
            <w:tcW w:w="36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9"/>
              </w:rPr>
              <w:t>June 30,</w:t>
            </w: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23"/>
        </w:trPr>
        <w:tc>
          <w:tcPr>
            <w:tcW w:w="3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0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Three Months</w:t>
            </w:r>
          </w:p>
        </w:tc>
        <w:tc>
          <w:tcPr>
            <w:tcW w:w="200" w:type="dxa"/>
            <w:vAlign w:val="bottom"/>
          </w:tcPr>
          <w:p>
            <w:pPr>
              <w:spacing w:after="0"/>
              <w:rPr>
                <w:sz w:val="19"/>
                <w:szCs w:val="19"/>
                <w:color w:val="auto"/>
              </w:rPr>
            </w:pPr>
          </w:p>
        </w:tc>
        <w:tc>
          <w:tcPr>
            <w:tcW w:w="146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color w:val="auto"/>
              </w:rPr>
              <w:t>Six Months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Twelve Months</w:t>
            </w:r>
          </w:p>
        </w:tc>
      </w:tr>
      <w:tr>
        <w:trPr>
          <w:trHeight w:val="223"/>
        </w:trPr>
        <w:tc>
          <w:tcPr>
            <w:tcW w:w="36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w:t>
            </w: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(3,324)</w:t>
            </w: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r>
      <w:tr>
        <w:trPr>
          <w:trHeight w:val="22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w:t>
            </w:r>
          </w:p>
        </w:tc>
      </w:tr>
      <w:tr>
        <w:trPr>
          <w:trHeight w:val="20"/>
        </w:trPr>
        <w:tc>
          <w:tcPr>
            <w:tcW w:w="3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9" w:name="page20"/>
    <w:bookmarkEnd w:id="19"/>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2022</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information about the Company’s revenues is presented by segment. Southwest encompasses the natural gas distribution segment, Centuri encompasses the utility infrastructure services segment, and MountainWest encompasses the pipeline and storage segment. Certain disclosures, where materially consistent with those provided most recently in the 2021 Form 10-K, are not repeated below.</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Natural Gas Distribution Segment</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Southwest’s operating revenues included on the Condensed Consolidated Statements of Income of both the Company and Southwest include revenue from contracts with customers, which is shown below, disaggregated by customer type, in addition to other categories of revenue: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Three Months Ended</w:t>
            </w:r>
          </w:p>
        </w:tc>
        <w:tc>
          <w:tcPr>
            <w:tcW w:w="200" w:type="dxa"/>
            <w:vAlign w:val="bottom"/>
          </w:tcPr>
          <w:p>
            <w:pPr>
              <w:spacing w:after="0"/>
              <w:rPr>
                <w:sz w:val="16"/>
                <w:szCs w:val="16"/>
                <w:color w:val="auto"/>
              </w:rPr>
            </w:pPr>
          </w:p>
        </w:tc>
        <w:tc>
          <w:tcPr>
            <w:tcW w:w="2140" w:type="dxa"/>
            <w:vAlign w:val="bottom"/>
            <w:gridSpan w:val="5"/>
          </w:tcPr>
          <w:p>
            <w:pPr>
              <w:ind w:left="300"/>
              <w:spacing w:after="0"/>
              <w:rPr>
                <w:sz w:val="20"/>
                <w:szCs w:val="20"/>
                <w:color w:val="auto"/>
              </w:rPr>
            </w:pPr>
            <w:r>
              <w:rPr>
                <w:rFonts w:ascii="Times New Roman" w:cs="Times New Roman" w:eastAsia="Times New Roman" w:hAnsi="Times New Roman"/>
                <w:sz w:val="16"/>
                <w:szCs w:val="16"/>
                <w:color w:val="auto"/>
              </w:rPr>
              <w:t>Six Months Ended</w:t>
            </w:r>
          </w:p>
        </w:tc>
        <w:tc>
          <w:tcPr>
            <w:tcW w:w="2220" w:type="dxa"/>
            <w:vAlign w:val="bottom"/>
            <w:gridSpan w:val="5"/>
            <w:vMerge w:val="restart"/>
          </w:tcPr>
          <w:p>
            <w:pPr>
              <w:jc w:val="right"/>
              <w:spacing w:after="0"/>
              <w:rPr>
                <w:sz w:val="20"/>
                <w:szCs w:val="20"/>
                <w:color w:val="auto"/>
              </w:rPr>
            </w:pPr>
            <w:r>
              <w:rPr>
                <w:rFonts w:ascii="Times New Roman" w:cs="Times New Roman" w:eastAsia="Times New Roman" w:hAnsi="Times New Roman"/>
                <w:sz w:val="16"/>
                <w:szCs w:val="16"/>
                <w:color w:val="auto"/>
              </w:rPr>
              <w:t>Twelve Months Ended June 30,</w:t>
            </w:r>
          </w:p>
        </w:tc>
        <w:tc>
          <w:tcPr>
            <w:tcW w:w="0" w:type="dxa"/>
            <w:vAlign w:val="bottom"/>
          </w:tcPr>
          <w:p>
            <w:pPr>
              <w:spacing w:after="0"/>
              <w:rPr>
                <w:sz w:val="1"/>
                <w:szCs w:val="1"/>
                <w:color w:val="auto"/>
              </w:rPr>
            </w:pPr>
          </w:p>
        </w:tc>
      </w:tr>
      <w:tr>
        <w:trPr>
          <w:trHeight w:val="210"/>
        </w:trPr>
        <w:tc>
          <w:tcPr>
            <w:tcW w:w="4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June 30,</w:t>
            </w: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June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tcBorders>
              <w:bottom w:val="single" w:sz="8" w:color="auto"/>
            </w:tcBorders>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(Thousands of dollars)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2022</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2021</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2022</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2022</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2021</w:t>
            </w:r>
          </w:p>
        </w:tc>
        <w:tc>
          <w:tcPr>
            <w:tcW w:w="0" w:type="dxa"/>
            <w:vAlign w:val="bottom"/>
          </w:tcPr>
          <w:p>
            <w:pPr>
              <w:spacing w:after="0"/>
              <w:rPr>
                <w:sz w:val="1"/>
                <w:szCs w:val="1"/>
                <w:color w:val="auto"/>
              </w:rPr>
            </w:pPr>
          </w:p>
        </w:tc>
      </w:tr>
      <w:tr>
        <w:trPr>
          <w:trHeight w:val="212"/>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228,573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193,322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743,159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596,465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1,182,306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995,132</w:t>
            </w:r>
          </w:p>
        </w:tc>
        <w:tc>
          <w:tcPr>
            <w:tcW w:w="0" w:type="dxa"/>
            <w:vAlign w:val="bottom"/>
          </w:tcPr>
          <w:p>
            <w:pPr>
              <w:spacing w:after="0"/>
              <w:rPr>
                <w:sz w:val="1"/>
                <w:szCs w:val="1"/>
                <w:color w:val="auto"/>
              </w:rPr>
            </w:pPr>
          </w:p>
        </w:tc>
      </w:tr>
      <w:tr>
        <w:trPr>
          <w:trHeight w:val="213"/>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Small commercial</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78,730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56,093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202,714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137,491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335,437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235,114</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Large commercial</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20,989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41,150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72,690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47,818</w:t>
            </w:r>
          </w:p>
        </w:tc>
        <w:tc>
          <w:tcPr>
            <w:tcW w:w="0" w:type="dxa"/>
            <w:vAlign w:val="bottom"/>
          </w:tcPr>
          <w:p>
            <w:pPr>
              <w:spacing w:after="0"/>
              <w:rPr>
                <w:sz w:val="1"/>
                <w:szCs w:val="1"/>
                <w:color w:val="auto"/>
              </w:rPr>
            </w:pPr>
          </w:p>
        </w:tc>
      </w:tr>
      <w:tr>
        <w:trPr>
          <w:trHeight w:val="213"/>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Industrial/other</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20,745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42,314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33,785</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Transportation</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24,466</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21,797</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51,098</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46,333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97,005</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90,307</w:t>
            </w:r>
          </w:p>
        </w:tc>
        <w:tc>
          <w:tcPr>
            <w:tcW w:w="0" w:type="dxa"/>
            <w:vAlign w:val="bottom"/>
          </w:tcPr>
          <w:p>
            <w:pPr>
              <w:spacing w:after="0"/>
              <w:rPr>
                <w:sz w:val="1"/>
                <w:szCs w:val="1"/>
                <w:color w:val="auto"/>
              </w:rPr>
            </w:pPr>
          </w:p>
        </w:tc>
      </w:tr>
      <w:tr>
        <w:trPr>
          <w:trHeight w:val="207"/>
        </w:trPr>
        <w:tc>
          <w:tcPr>
            <w:tcW w:w="4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Revenue from contracts with customers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363,531</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291,344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1,058,866</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826,864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1,729,752</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1,402,156</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Alternative revenue program revenues (deferrals)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(6,110)</w:t>
            </w:r>
          </w:p>
        </w:tc>
        <w:tc>
          <w:tcPr>
            <w:tcW w:w="0" w:type="dxa"/>
            <w:vAlign w:val="bottom"/>
          </w:tcPr>
          <w:p>
            <w:pPr>
              <w:spacing w:after="0"/>
              <w:rPr>
                <w:sz w:val="1"/>
                <w:szCs w:val="1"/>
                <w:color w:val="auto"/>
              </w:rPr>
            </w:pPr>
          </w:p>
        </w:tc>
      </w:tr>
      <w:tr>
        <w:trPr>
          <w:trHeight w:val="213"/>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revenues (1)</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3,389</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2,983</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8,092</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13,183</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4,006</w:t>
            </w:r>
          </w:p>
        </w:tc>
        <w:tc>
          <w:tcPr>
            <w:tcW w:w="0" w:type="dxa"/>
            <w:vAlign w:val="bottom"/>
          </w:tcPr>
          <w:p>
            <w:pPr>
              <w:spacing w:after="0"/>
              <w:rPr>
                <w:sz w:val="1"/>
                <w:szCs w:val="1"/>
                <w:color w:val="auto"/>
              </w:rPr>
            </w:pPr>
          </w:p>
        </w:tc>
      </w:tr>
      <w:tr>
        <w:trPr>
          <w:trHeight w:val="237"/>
        </w:trPr>
        <w:tc>
          <w:tcPr>
            <w:tcW w:w="4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Regulated operations revenues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377,942</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292,796</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1,054,481</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814,728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1,761,543</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1,400,052</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180" w:hanging="10"/>
        <w:spacing w:after="0" w:line="263" w:lineRule="auto"/>
        <w:tabs>
          <w:tab w:leader="none" w:pos="40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include late fees and other miscellaneous revenues, and may also include the impact of certain regulatory mechanisms, such as cost-of-service components in customer rates expected to be returned to customers in future periods. Also includes the impacts of a temporary moratorium on late fees and disconnection for nonpayment during the COVID-19 pandemic.</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Utility Infrastructure Services Segment</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display Centuri’s revenue, reflected as Utility infrastructure services revenues on the Condensed Consolidated Statements of Income of the Company, representing revenue from contracts with customers disaggregated by service and contract types: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Three Months Ended</w:t>
            </w:r>
          </w:p>
        </w:tc>
        <w:tc>
          <w:tcPr>
            <w:tcW w:w="240" w:type="dxa"/>
            <w:vAlign w:val="bottom"/>
          </w:tcPr>
          <w:p>
            <w:pPr>
              <w:spacing w:after="0"/>
              <w:rPr>
                <w:sz w:val="16"/>
                <w:szCs w:val="16"/>
                <w:color w:val="auto"/>
              </w:rPr>
            </w:pPr>
          </w:p>
        </w:tc>
        <w:tc>
          <w:tcPr>
            <w:tcW w:w="2180" w:type="dxa"/>
            <w:vAlign w:val="bottom"/>
            <w:gridSpan w:val="5"/>
          </w:tcPr>
          <w:p>
            <w:pPr>
              <w:ind w:left="320"/>
              <w:spacing w:after="0"/>
              <w:rPr>
                <w:sz w:val="20"/>
                <w:szCs w:val="20"/>
                <w:color w:val="auto"/>
              </w:rPr>
            </w:pPr>
            <w:r>
              <w:rPr>
                <w:rFonts w:ascii="Times New Roman" w:cs="Times New Roman" w:eastAsia="Times New Roman" w:hAnsi="Times New Roman"/>
                <w:sz w:val="16"/>
                <w:szCs w:val="16"/>
                <w:color w:val="auto"/>
              </w:rPr>
              <w:t>Six Months Ended</w:t>
            </w:r>
          </w:p>
        </w:tc>
        <w:tc>
          <w:tcPr>
            <w:tcW w:w="120" w:type="dxa"/>
            <w:vAlign w:val="bottom"/>
          </w:tcPr>
          <w:p>
            <w:pPr>
              <w:spacing w:after="0"/>
              <w:rPr>
                <w:sz w:val="16"/>
                <w:szCs w:val="16"/>
                <w:color w:val="auto"/>
              </w:rPr>
            </w:pPr>
          </w:p>
        </w:tc>
        <w:tc>
          <w:tcPr>
            <w:tcW w:w="2220" w:type="dxa"/>
            <w:vAlign w:val="bottom"/>
            <w:gridSpan w:val="4"/>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Twelve Months Ended June 30,</w:t>
            </w:r>
          </w:p>
        </w:tc>
        <w:tc>
          <w:tcPr>
            <w:tcW w:w="0" w:type="dxa"/>
            <w:vAlign w:val="bottom"/>
          </w:tcPr>
          <w:p>
            <w:pPr>
              <w:spacing w:after="0"/>
              <w:rPr>
                <w:sz w:val="1"/>
                <w:szCs w:val="1"/>
                <w:color w:val="auto"/>
              </w:rPr>
            </w:pPr>
          </w:p>
        </w:tc>
      </w:tr>
      <w:tr>
        <w:trPr>
          <w:trHeight w:val="210"/>
        </w:trPr>
        <w:tc>
          <w:tcPr>
            <w:tcW w:w="4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June 30,</w:t>
            </w: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June 30,</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(Thousands of dollars)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2021</w:t>
            </w:r>
          </w:p>
        </w:tc>
        <w:tc>
          <w:tcPr>
            <w:tcW w:w="0" w:type="dxa"/>
            <w:vAlign w:val="bottom"/>
          </w:tcPr>
          <w:p>
            <w:pPr>
              <w:spacing w:after="0"/>
              <w:rPr>
                <w:sz w:val="1"/>
                <w:szCs w:val="1"/>
                <w:color w:val="auto"/>
              </w:rPr>
            </w:pPr>
          </w:p>
        </w:tc>
      </w:tr>
      <w:tr>
        <w:trPr>
          <w:trHeight w:val="19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Types: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Gas infrastructure services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418,869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346,877</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679,551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568,714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1,413,177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1,282,008</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Electric power infrastructure services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361,717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191,605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695,314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435,825</w:t>
            </w:r>
          </w:p>
        </w:tc>
        <w:tc>
          <w:tcPr>
            <w:tcW w:w="0" w:type="dxa"/>
            <w:vAlign w:val="bottom"/>
          </w:tcPr>
          <w:p>
            <w:pPr>
              <w:spacing w:after="0"/>
              <w:rPr>
                <w:sz w:val="1"/>
                <w:szCs w:val="1"/>
                <w:color w:val="auto"/>
              </w:rPr>
            </w:pPr>
          </w:p>
        </w:tc>
      </w:tr>
      <w:tr>
        <w:trPr>
          <w:trHeight w:val="213"/>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107,472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84,104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188,699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132,281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387,537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294,749</w:t>
            </w:r>
          </w:p>
        </w:tc>
        <w:tc>
          <w:tcPr>
            <w:tcW w:w="0" w:type="dxa"/>
            <w:vAlign w:val="bottom"/>
          </w:tcPr>
          <w:p>
            <w:pPr>
              <w:spacing w:after="0"/>
              <w:rPr>
                <w:sz w:val="1"/>
                <w:szCs w:val="1"/>
                <w:color w:val="auto"/>
              </w:rPr>
            </w:pPr>
          </w:p>
        </w:tc>
      </w:tr>
      <w:tr>
        <w:trPr>
          <w:trHeight w:val="237"/>
        </w:trPr>
        <w:tc>
          <w:tcPr>
            <w:tcW w:w="4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Utility infrastructure services revenues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706,090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528,625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1,229,967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892,600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2,496,028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2,012,582</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June 30, 2022</w:t>
            </w:r>
          </w:p>
        </w:tc>
        <w:tc>
          <w:tcPr>
            <w:tcW w:w="0" w:type="dxa"/>
            <w:vAlign w:val="bottom"/>
          </w:tcPr>
          <w:p>
            <w:pPr>
              <w:spacing w:after="0"/>
              <w:rPr>
                <w:sz w:val="1"/>
                <w:szCs w:val="1"/>
                <w:color w:val="auto"/>
              </w:rPr>
            </w:pPr>
          </w:p>
        </w:tc>
      </w:tr>
      <w:tr>
        <w:trPr>
          <w:trHeight w:val="858"/>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Three Months Ended</w:t>
            </w:r>
          </w:p>
        </w:tc>
        <w:tc>
          <w:tcPr>
            <w:tcW w:w="240" w:type="dxa"/>
            <w:vAlign w:val="bottom"/>
          </w:tcPr>
          <w:p>
            <w:pPr>
              <w:spacing w:after="0"/>
              <w:rPr>
                <w:sz w:val="24"/>
                <w:szCs w:val="24"/>
                <w:color w:val="auto"/>
              </w:rPr>
            </w:pPr>
          </w:p>
        </w:tc>
        <w:tc>
          <w:tcPr>
            <w:tcW w:w="2260" w:type="dxa"/>
            <w:vAlign w:val="bottom"/>
            <w:gridSpan w:val="5"/>
          </w:tcPr>
          <w:p>
            <w:pPr>
              <w:ind w:left="360"/>
              <w:spacing w:after="0"/>
              <w:rPr>
                <w:sz w:val="20"/>
                <w:szCs w:val="20"/>
                <w:color w:val="auto"/>
              </w:rPr>
            </w:pPr>
            <w:r>
              <w:rPr>
                <w:rFonts w:ascii="Times New Roman" w:cs="Times New Roman" w:eastAsia="Times New Roman" w:hAnsi="Times New Roman"/>
                <w:sz w:val="16"/>
                <w:szCs w:val="16"/>
                <w:color w:val="auto"/>
              </w:rPr>
              <w:t>Six Months Ended</w:t>
            </w:r>
          </w:p>
        </w:tc>
        <w:tc>
          <w:tcPr>
            <w:tcW w:w="140" w:type="dxa"/>
            <w:vAlign w:val="bottom"/>
          </w:tcPr>
          <w:p>
            <w:pPr>
              <w:spacing w:after="0"/>
              <w:rPr>
                <w:sz w:val="24"/>
                <w:szCs w:val="24"/>
                <w:color w:val="auto"/>
              </w:rPr>
            </w:pPr>
          </w:p>
        </w:tc>
        <w:tc>
          <w:tcPr>
            <w:tcW w:w="2280" w:type="dxa"/>
            <w:vAlign w:val="bottom"/>
            <w:gridSpan w:val="4"/>
            <w:vMerge w:val="restart"/>
          </w:tcPr>
          <w:p>
            <w:pPr>
              <w:jc w:val="right"/>
              <w:ind w:right="98"/>
              <w:spacing w:after="0"/>
              <w:rPr>
                <w:sz w:val="20"/>
                <w:szCs w:val="20"/>
                <w:color w:val="auto"/>
              </w:rPr>
            </w:pPr>
            <w:r>
              <w:rPr>
                <w:rFonts w:ascii="Times New Roman" w:cs="Times New Roman" w:eastAsia="Times New Roman" w:hAnsi="Times New Roman"/>
                <w:sz w:val="16"/>
                <w:szCs w:val="16"/>
                <w:color w:val="auto"/>
              </w:rPr>
              <w:t>Twelve Months Ended June 30,</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June 30,</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June 30,</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6"/>
                <w:szCs w:val="16"/>
                <w:color w:val="auto"/>
              </w:rPr>
              <w:t>(Thousands of dollars)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2022</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color w:val="auto"/>
              </w:rPr>
              <w:t>2021</w:t>
            </w:r>
          </w:p>
        </w:tc>
        <w:tc>
          <w:tcPr>
            <w:tcW w:w="0" w:type="dxa"/>
            <w:vAlign w:val="bottom"/>
          </w:tcPr>
          <w:p>
            <w:pPr>
              <w:spacing w:after="0"/>
              <w:rPr>
                <w:sz w:val="1"/>
                <w:szCs w:val="1"/>
                <w:color w:val="auto"/>
              </w:rPr>
            </w:pPr>
          </w:p>
        </w:tc>
      </w:tr>
      <w:tr>
        <w:trPr>
          <w:trHeight w:val="199"/>
        </w:trPr>
        <w:tc>
          <w:tcPr>
            <w:tcW w:w="39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Types: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Master services agreement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617,489</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398,650</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1,062,834</w:t>
            </w:r>
          </w:p>
        </w:tc>
        <w:tc>
          <w:tcPr>
            <w:tcW w:w="4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692,330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2,023,482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1,543,292</w:t>
            </w:r>
          </w:p>
        </w:tc>
        <w:tc>
          <w:tcPr>
            <w:tcW w:w="0" w:type="dxa"/>
            <w:vAlign w:val="bottom"/>
          </w:tcPr>
          <w:p>
            <w:pPr>
              <w:spacing w:after="0"/>
              <w:rPr>
                <w:sz w:val="1"/>
                <w:szCs w:val="1"/>
                <w:color w:val="auto"/>
              </w:rPr>
            </w:pPr>
          </w:p>
        </w:tc>
      </w:tr>
      <w:tr>
        <w:trPr>
          <w:trHeight w:val="219"/>
        </w:trPr>
        <w:tc>
          <w:tcPr>
            <w:tcW w:w="39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Bid contract</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88,601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129,975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167,133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200,270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472,546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469,290</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388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Total Utility infrastructure services revenues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706,090</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528,625</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1,229,967</w:t>
            </w:r>
          </w:p>
        </w:tc>
        <w:tc>
          <w:tcPr>
            <w:tcW w:w="2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892,600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2,496,028</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2,012,582</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Unit price contracts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421,927</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361,926</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724,450</w:t>
            </w:r>
          </w:p>
        </w:tc>
        <w:tc>
          <w:tcPr>
            <w:tcW w:w="4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596,375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1,497,157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1,344,626</w:t>
            </w:r>
          </w:p>
        </w:tc>
        <w:tc>
          <w:tcPr>
            <w:tcW w:w="0" w:type="dxa"/>
            <w:vAlign w:val="bottom"/>
          </w:tcPr>
          <w:p>
            <w:pPr>
              <w:spacing w:after="0"/>
              <w:rPr>
                <w:sz w:val="1"/>
                <w:szCs w:val="1"/>
                <w:color w:val="auto"/>
              </w:rPr>
            </w:pPr>
          </w:p>
        </w:tc>
      </w:tr>
      <w:tr>
        <w:trPr>
          <w:trHeight w:val="219"/>
        </w:trPr>
        <w:tc>
          <w:tcPr>
            <w:tcW w:w="39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price contracts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215,330</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398,023</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179,194</w:t>
            </w:r>
          </w:p>
        </w:tc>
        <w:tc>
          <w:tcPr>
            <w:tcW w:w="0" w:type="dxa"/>
            <w:vAlign w:val="bottom"/>
          </w:tcPr>
          <w:p>
            <w:pPr>
              <w:spacing w:after="0"/>
              <w:rPr>
                <w:sz w:val="1"/>
                <w:szCs w:val="1"/>
                <w:color w:val="auto"/>
              </w:rPr>
            </w:pPr>
          </w:p>
        </w:tc>
      </w:tr>
      <w:tr>
        <w:trPr>
          <w:trHeight w:val="213"/>
        </w:trPr>
        <w:tc>
          <w:tcPr>
            <w:tcW w:w="39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6"/>
                <w:szCs w:val="16"/>
                <w:color w:val="auto"/>
              </w:rPr>
              <w:t>Time and materials contracts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155,370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116,244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290,187</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211,176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600,848</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488,762</w:t>
            </w:r>
          </w:p>
        </w:tc>
        <w:tc>
          <w:tcPr>
            <w:tcW w:w="0" w:type="dxa"/>
            <w:vAlign w:val="bottom"/>
          </w:tcPr>
          <w:p>
            <w:pPr>
              <w:spacing w:after="0"/>
              <w:rPr>
                <w:sz w:val="1"/>
                <w:szCs w:val="1"/>
                <w:color w:val="auto"/>
              </w:rPr>
            </w:pPr>
          </w:p>
        </w:tc>
      </w:tr>
      <w:tr>
        <w:trPr>
          <w:trHeight w:val="237"/>
        </w:trPr>
        <w:tc>
          <w:tcPr>
            <w:tcW w:w="60" w:type="dxa"/>
            <w:vAlign w:val="bottom"/>
            <w:tcBorders>
              <w:bottom w:val="single" w:sz="8" w:color="CCEEFF"/>
            </w:tcBorders>
            <w:shd w:val="clear" w:color="auto" w:fill="CCEEFF"/>
          </w:tcPr>
          <w:p>
            <w:pPr>
              <w:spacing w:after="0"/>
              <w:rPr>
                <w:sz w:val="20"/>
                <w:szCs w:val="20"/>
                <w:color w:val="auto"/>
              </w:rPr>
            </w:pPr>
          </w:p>
        </w:tc>
        <w:tc>
          <w:tcPr>
            <w:tcW w:w="388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Utility infrastructure services revenues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706,090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528,625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1,229,967</w:t>
            </w:r>
          </w:p>
        </w:tc>
        <w:tc>
          <w:tcPr>
            <w:tcW w:w="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892,600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2,496,028</w:t>
            </w: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2,012,582</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180" w:hanging="10"/>
        <w:spacing w:after="0" w:line="272" w:lineRule="auto"/>
        <w:tabs>
          <w:tab w:leader="none" w:pos="303"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identified an error in the first quarter 2022 disclosure which resulted in an understatement of $88.8 million in the master services agreement category and an overstatement by the same amount in the bid contract category. Management concluded this item was not material to the previously issued financial statements and will revise the first quarter 2022 amounts in future filings.</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provides information about contracts receivable and revenue earned on contracts in progress in excess of billings (contract assets), both of which are included within Accounts receivable, net of allowances, as well as amounts billed in excess of revenue earned on contracts (contract liabilities), which are included in Other current liabilities as of June 30, 2022 and December 31, 2021 on the Company’s Condensed Consolidated Balance Sheets: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00" w:type="dxa"/>
            <w:vAlign w:val="bottom"/>
          </w:tcPr>
          <w:p>
            <w:pPr>
              <w:spacing w:after="0"/>
              <w:rPr>
                <w:sz w:val="20"/>
                <w:szCs w:val="20"/>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June 30, 2022</w:t>
            </w:r>
          </w:p>
        </w:tc>
        <w:tc>
          <w:tcPr>
            <w:tcW w:w="200" w:type="dxa"/>
            <w:vAlign w:val="bottom"/>
          </w:tcPr>
          <w:p>
            <w:pPr>
              <w:spacing w:after="0"/>
              <w:rPr>
                <w:sz w:val="20"/>
                <w:szCs w:val="20"/>
                <w:color w:val="auto"/>
              </w:rPr>
            </w:pPr>
          </w:p>
        </w:tc>
        <w:tc>
          <w:tcPr>
            <w:tcW w:w="1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December 31, 2021</w:t>
            </w:r>
          </w:p>
        </w:tc>
      </w:tr>
      <w:tr>
        <w:trPr>
          <w:trHeight w:val="223"/>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 receivable, net</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332,433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296,005</w:t>
            </w: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earned on contracts in progress in excess of billings</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214,774</w:t>
            </w: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billed in excess of revenue earned on contracts</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11,860</w:t>
            </w:r>
          </w:p>
        </w:tc>
      </w:tr>
    </w:tbl>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revenue earned on contracts in progress in excess of billings (contract asset) primarily relates to Centuri’s right to consideration for work completed but not billed and/or approved for billing at the reporting date. These contract assets are transferred to contracts receivable when the rights become unconditional. The amounts billed in excess of revenue earned (contract liability) primarily relate to the advance consideration received from customers for which work has not yet been completed. The change in this contract liability balance from December 31, 2021 to June 30, 2022 is due to increases in cash received, net of revenue recognized, from contracts that commenced during the period, offset by revenue recognized of approximately $11.9 million that was included in this balance as of January 1, 2022, after which time it became earned and the balance was reduced.</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contracts that have an original duration of one year or less, Centuri uses the practical expedient applicable to such contracts and does not consider/compute an interest component based on the time value of money. Furthermore, because of the short duration of these contracts, Centuri has not disclosed the transaction price for the remaining performance obligations as of the end of each reporting period or when the Company expects to recognize the revenue.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2022, Centuri had 47 fixed price contracts with an original duration of more than one year. The aggregate amount of the transaction price allocated to the unsatisfied performance obligations of these contracts as of June 30, 2022 was $465.7 million. Centuri expects to recognize the remaining performance obligations over approximately the next 2.9 years; however, the timing of that recognition is largely within the control of the customer, including when the necessary equipment and materials required to complete the work are provided by the customer.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Utility infrastructure services contracts receivable consists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June 30, 2022</w:t>
            </w:r>
          </w:p>
        </w:tc>
        <w:tc>
          <w:tcPr>
            <w:tcW w:w="300" w:type="dxa"/>
            <w:vAlign w:val="bottom"/>
          </w:tcPr>
          <w:p>
            <w:pPr>
              <w:spacing w:after="0"/>
              <w:rPr>
                <w:sz w:val="20"/>
                <w:szCs w:val="20"/>
                <w:color w:val="auto"/>
              </w:rPr>
            </w:pPr>
          </w:p>
        </w:tc>
        <w:tc>
          <w:tcPr>
            <w:tcW w:w="21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December 31, 2021</w:t>
            </w:r>
          </w:p>
        </w:tc>
        <w:tc>
          <w:tcPr>
            <w:tcW w:w="0" w:type="dxa"/>
            <w:vAlign w:val="bottom"/>
          </w:tcPr>
          <w:p>
            <w:pPr>
              <w:spacing w:after="0"/>
              <w:rPr>
                <w:sz w:val="1"/>
                <w:szCs w:val="1"/>
                <w:color w:val="auto"/>
              </w:rPr>
            </w:pPr>
          </w:p>
        </w:tc>
      </w:tr>
      <w:tr>
        <w:trPr>
          <w:trHeight w:val="223"/>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Billed on completed contracts and contracts in progress</w:t>
            </w:r>
          </w:p>
        </w:tc>
        <w:tc>
          <w:tcPr>
            <w:tcW w:w="15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331,173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292,770</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15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Contracts receivable, gross</w:t>
            </w:r>
          </w:p>
        </w:tc>
        <w:tc>
          <w:tcPr>
            <w:tcW w:w="1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296,262</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5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Contracts receivable, net</w:t>
            </w:r>
          </w:p>
        </w:tc>
        <w:tc>
          <w:tcPr>
            <w:tcW w:w="15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296,005</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CCEEFF"/>
            </w:tcBorders>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21</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476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76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20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212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1" w:name="page22"/>
    <w:bookmarkEnd w:id="21"/>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2022</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Pipeline and Storage Segment: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MountainWest derives revenue on the basis of services rendered, commodities delivered, or contracts settled and includes amounts yet to be billed to customers. MountainWest generates revenue and earnings from annual reservation payments under firm peaking storage and firm transportation contracts. Straight-fixed-variable rate designs are used to allow for recovery of substantially all fixed costs in demand or reservation charges, thereby reducing the earnings impact of volume changes on gas transportation and storage operations.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MountainWest receives upfront payment for certain storage services it provides to customers, which are considered to be contract liabilities. These payments are amortized to revenue over the term of the contract.</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primary types of sales and service activities reported as revenue from contracts with customers are FERC-regulated gas transportation and storage services, and to a lesser extent, natural gas liquid (“NGL”) revenues consisting primarily of NGL processing services, and other revenue (consisting of natural gas sales, as well as services related to gathering and processing activities and miscellaneous service revenue).</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Transportation and storage contracts are primarily stand-ready service contracts that include fixed reservation and variable usage fees. Fixed fees are recognized ratably over the life of the contract as the stand-ready performance obligations are satisfied, while variable usage fees are recognized when MountainWest has a right to consideration from a customer in an amount that corresponds directly with the value to the customer of the performance obligation completed to date. Substantially all of MountainWest’s revenues are derived from performance obligations satisfied over time, rather than recognized at a single point in time. Payment for most sales and services varies by contract type, but is typically due within a month of billing.</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MountainWest typically receives or retains NGLs and natural gas from customers when providing natural gas processing, transportation, or storage services. MountainWest records the fair value of NGLs received as service revenue recognized over time and recognizes revenue from the subsequent sale of the NGLs to customers upon delivery. MountainWest typically retains some natural gas under certain transportation service arrangements, intended to facilitate performance of the service and allow for natural losses that occur. As the intent of the retention amount is to enable fulfillment of the contract rather than to provide compensation for services, the fuel allowance is not included in revenue.</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MountainWest Regulated operations revenues on the Condensed Consolidated Statements of Income of the Company include revenue from contracts with customers, which is shown below, disaggregated by categories of sales and service activities.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0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63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center"/>
              <w:ind w:right="720"/>
              <w:spacing w:after="0"/>
              <w:rPr>
                <w:sz w:val="20"/>
                <w:szCs w:val="20"/>
                <w:color w:val="auto"/>
              </w:rPr>
            </w:pPr>
            <w:r>
              <w:rPr>
                <w:rFonts w:ascii="Times New Roman" w:cs="Times New Roman" w:eastAsia="Times New Roman" w:hAnsi="Times New Roman"/>
                <w:sz w:val="18"/>
                <w:szCs w:val="18"/>
                <w:color w:val="auto"/>
                <w:w w:val="99"/>
              </w:rPr>
              <w:t>June 30,</w:t>
            </w:r>
          </w:p>
        </w:tc>
        <w:tc>
          <w:tcPr>
            <w:tcW w:w="208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June 30,</w:t>
            </w: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80" w:type="dxa"/>
            <w:vAlign w:val="bottom"/>
            <w:tcBorders>
              <w:bottom w:val="single" w:sz="8" w:color="auto"/>
            </w:tcBorders>
            <w:shd w:val="clear" w:color="auto" w:fill="CCEEFF"/>
          </w:tcPr>
          <w:p>
            <w:pPr>
              <w:spacing w:after="0"/>
              <w:rPr>
                <w:sz w:val="19"/>
                <w:szCs w:val="19"/>
                <w:color w:val="auto"/>
              </w:rPr>
            </w:pPr>
          </w:p>
        </w:tc>
        <w:tc>
          <w:tcPr>
            <w:tcW w:w="2560" w:type="dxa"/>
            <w:vAlign w:val="bottom"/>
            <w:tcBorders>
              <w:bottom w:val="single" w:sz="8" w:color="auto"/>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2022</w:t>
            </w:r>
          </w:p>
        </w:tc>
        <w:tc>
          <w:tcPr>
            <w:tcW w:w="2080" w:type="dxa"/>
            <w:vAlign w:val="bottom"/>
            <w:tcBorders>
              <w:bottom w:val="single" w:sz="8" w:color="auto"/>
            </w:tcBorders>
            <w:shd w:val="clear" w:color="auto" w:fill="CCEEFF"/>
          </w:tcPr>
          <w:p>
            <w:pPr>
              <w:spacing w:after="0"/>
              <w:rPr>
                <w:sz w:val="19"/>
                <w:szCs w:val="19"/>
                <w:color w:val="auto"/>
              </w:rPr>
            </w:pP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Regulated gas transportation and storage revenues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119,763</w:t>
            </w: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 revenues</w:t>
            </w:r>
          </w:p>
        </w:tc>
        <w:tc>
          <w:tcPr>
            <w:tcW w:w="28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w:t>
            </w:r>
          </w:p>
        </w:tc>
      </w:tr>
      <w:tr>
        <w:trPr>
          <w:trHeight w:val="230"/>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5,859</w:t>
            </w:r>
          </w:p>
        </w:tc>
      </w:tr>
      <w:tr>
        <w:trPr>
          <w:trHeight w:val="223"/>
        </w:trPr>
        <w:tc>
          <w:tcPr>
            <w:tcW w:w="6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28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128,991</w:t>
            </w:r>
          </w:p>
        </w:tc>
      </w:tr>
      <w:tr>
        <w:trPr>
          <w:trHeight w:val="230"/>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48"/>
        </w:trPr>
        <w:tc>
          <w:tcPr>
            <w:tcW w:w="6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Regulated operations revenues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129,081</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MountainWest has certain multi-year contracts with fixed-price performance obligations that were unsatisfied (or partially unsatisfied) at the end of the reporting period, whereby revenue will be earned over time as MountainWest stands ready to provide service. These amounts are not material to the Company’s financial statements overall. MountainWest also has certain contract liabilities related to consideration received from customers with an obligation to transfer goods or services subsequent to the balance sheet date, amounts for which are generally consistent between December 31, 2021 and June 30, 2022 and are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2" w:name="page23"/>
    <w:bookmarkEnd w:id="22"/>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2022</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Common Stock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Shares of the Company’s common stock are publicly traded on the New York Stock Exchange, under the ticker symbol “SWX.” Share-based compensation related to Southwest and Centuri is based on stock awards to be issued in shares of Southwest Gas Holdings, Inc.</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8, 2021, the Company entered into a Sales Agency Agreement between the Company and BNY Mellon Capital Markets, LLC and J.P. Morgan Securities LLC (the “Equity Shelf Program”) for the offer and sale of up to $500 million of common stock from time to time in an at-the-market offering program. The shares are issued pursuant to the Company’s automatic shelf registration statement on Form S-3 (File No. 333-251074), or “the Universal Shelf.” There was no activity under the Equity Shelf Program during the quarter ended June 30, 2022. The following table provides the life-to-date activity under that program through June 30, 2022:</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proceeds</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158,180,343</w:t>
            </w:r>
          </w:p>
        </w:tc>
        <w:tc>
          <w:tcPr>
            <w:tcW w:w="0" w:type="dxa"/>
            <w:vAlign w:val="bottom"/>
          </w:tcPr>
          <w:p>
            <w:pPr>
              <w:spacing w:after="0"/>
              <w:rPr>
                <w:sz w:val="1"/>
                <w:szCs w:val="1"/>
                <w:color w:val="auto"/>
              </w:rPr>
            </w:pPr>
          </w:p>
        </w:tc>
      </w:tr>
      <w:tr>
        <w:trPr>
          <w:trHeight w:val="229"/>
        </w:trPr>
        <w:tc>
          <w:tcPr>
            <w:tcW w:w="9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agent commissions</w:t>
            </w:r>
          </w:p>
        </w:tc>
        <w:tc>
          <w:tcPr>
            <w:tcW w:w="6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(1,581,803)</w:t>
            </w:r>
          </w:p>
        </w:tc>
        <w:tc>
          <w:tcPr>
            <w:tcW w:w="0" w:type="dxa"/>
            <w:vAlign w:val="bottom"/>
          </w:tcPr>
          <w:p>
            <w:pPr>
              <w:spacing w:after="0"/>
              <w:rPr>
                <w:sz w:val="1"/>
                <w:szCs w:val="1"/>
                <w:color w:val="auto"/>
              </w:rPr>
            </w:pPr>
          </w:p>
        </w:tc>
      </w:tr>
      <w:tr>
        <w:trPr>
          <w:trHeight w:val="248"/>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proceeds</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156,598,540</w:t>
            </w:r>
          </w:p>
        </w:tc>
        <w:tc>
          <w:tcPr>
            <w:tcW w:w="0" w:type="dxa"/>
            <w:vAlign w:val="bottom"/>
          </w:tcPr>
          <w:p>
            <w:pPr>
              <w:spacing w:after="0"/>
              <w:rPr>
                <w:sz w:val="1"/>
                <w:szCs w:val="1"/>
                <w:color w:val="auto"/>
              </w:rPr>
            </w:pPr>
          </w:p>
        </w:tc>
      </w:tr>
      <w:tr>
        <w:trPr>
          <w:trHeight w:val="20"/>
        </w:trPr>
        <w:tc>
          <w:tcPr>
            <w:tcW w:w="9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Number of shares sold</w:t>
            </w: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12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15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2,302,407</w:t>
            </w:r>
          </w:p>
        </w:tc>
        <w:tc>
          <w:tcPr>
            <w:tcW w:w="0" w:type="dxa"/>
            <w:vAlign w:val="bottom"/>
          </w:tcPr>
          <w:p>
            <w:pPr>
              <w:spacing w:after="0"/>
              <w:rPr>
                <w:sz w:val="1"/>
                <w:szCs w:val="1"/>
                <w:color w:val="auto"/>
              </w:rPr>
            </w:pPr>
          </w:p>
        </w:tc>
      </w:tr>
      <w:tr>
        <w:trPr>
          <w:trHeight w:val="230"/>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price per share</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68.70</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the Company had approximately $341.8 million in common stock available for sale under the program.</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2022, the Company issued, through a separate prospectus supplement under the Universal Shelf, an aggregate of 6.325 million shares of common stock, in an underwritten public offering price of $74.00 per share, resulting in proceeds to the Company of $452.3 million, net of an underwriters’ discount of $15.8 million. The Company used the net proceeds to repay a portion of the outstanding borrowings under the 364-day term loan credit agreement that was used to initially fund the MountainWest acquisition.</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2022, the Company issued approximately 191,000 shares of common stock through the Restricted Stock/Unit Plan and Omnibus Incentive Plan.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during the six months ended June 30, 2022, the Company issued 66,000 shares of common stock through the Dividend Reinvestment and Stock Purchase Plan, raising approximately $5.1 million.</w:t>
      </w:r>
    </w:p>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In connection with the entry into the Cooperation Agreement (see </w:t>
      </w:r>
      <w:r>
        <w:rPr>
          <w:rFonts w:ascii="Times New Roman" w:cs="Times New Roman" w:eastAsia="Times New Roman" w:hAnsi="Times New Roman"/>
          <w:sz w:val="18"/>
          <w:szCs w:val="18"/>
          <w:b w:val="1"/>
          <w:bCs w:val="1"/>
          <w:color w:val="auto"/>
        </w:rPr>
        <w:t>Note 1 – Background, Organization, and 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Policies</w:t>
      </w:r>
      <w:r>
        <w:rPr>
          <w:rFonts w:ascii="Times New Roman" w:cs="Times New Roman" w:eastAsia="Times New Roman" w:hAnsi="Times New Roman"/>
          <w:sz w:val="18"/>
          <w:szCs w:val="18"/>
          <w:color w:val="auto"/>
        </w:rPr>
        <w:t>), the Company entered into the Amended Rights Agreement to increase the beneficial ownership percentage included in the definition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“Acquiring Person” from 10% to 24.9% and to delete the concept of a “Passive Institutional Investor” to permit the Icahn Group to consummate the Offer.</w:t>
      </w: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3" w:name="page24"/>
    <w:bookmarkEnd w:id="23"/>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2022</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Long-term debt is recognized in the Company’s and Southwest’s Condensed Consolidated Balance Sheets generally at the carrying value of the obligations outstanding. Details surrounding the fair value and individual carrying values of instruments are provided in the table that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2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June 30, 2022</w:t>
            </w:r>
          </w:p>
        </w:tc>
        <w:tc>
          <w:tcPr>
            <w:tcW w:w="180" w:type="dxa"/>
            <w:vAlign w:val="bottom"/>
          </w:tcPr>
          <w:p>
            <w:pPr>
              <w:spacing w:after="0"/>
              <w:rPr>
                <w:sz w:val="20"/>
                <w:szCs w:val="20"/>
                <w:color w:val="auto"/>
              </w:rPr>
            </w:pPr>
          </w:p>
        </w:tc>
        <w:tc>
          <w:tcPr>
            <w:tcW w:w="220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color w:val="auto"/>
              </w:rPr>
              <w:t>December 31, 2021</w:t>
            </w:r>
          </w:p>
        </w:tc>
        <w:tc>
          <w:tcPr>
            <w:tcW w:w="0" w:type="dxa"/>
            <w:vAlign w:val="bottom"/>
          </w:tcPr>
          <w:p>
            <w:pPr>
              <w:spacing w:after="0"/>
              <w:rPr>
                <w:sz w:val="1"/>
                <w:szCs w:val="1"/>
                <w:color w:val="auto"/>
              </w:rPr>
            </w:pPr>
          </w:p>
        </w:tc>
      </w:tr>
      <w:tr>
        <w:trPr>
          <w:trHeight w:val="169"/>
        </w:trPr>
        <w:tc>
          <w:tcPr>
            <w:tcW w:w="5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17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1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center"/>
              <w:ind w:right="130"/>
              <w:spacing w:after="0" w:line="169" w:lineRule="exact"/>
              <w:rPr>
                <w:sz w:val="20"/>
                <w:szCs w:val="20"/>
                <w:color w:val="auto"/>
              </w:rPr>
            </w:pPr>
            <w:r>
              <w:rPr>
                <w:rFonts w:ascii="Times New Roman" w:cs="Times New Roman" w:eastAsia="Times New Roman" w:hAnsi="Times New Roman"/>
                <w:sz w:val="18"/>
                <w:szCs w:val="18"/>
                <w:color w:val="auto"/>
                <w:w w:val="96"/>
              </w:rPr>
              <w:t>Fair</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30"/>
              <w:spacing w:after="0" w:line="169" w:lineRule="exact"/>
              <w:rPr>
                <w:sz w:val="20"/>
                <w:szCs w:val="20"/>
                <w:color w:val="auto"/>
              </w:rPr>
            </w:pPr>
            <w:r>
              <w:rPr>
                <w:rFonts w:ascii="Times New Roman" w:cs="Times New Roman" w:eastAsia="Times New Roman" w:hAnsi="Times New Roman"/>
                <w:sz w:val="18"/>
                <w:szCs w:val="18"/>
                <w:color w:val="auto"/>
              </w:rPr>
              <w:t>Fair</w:t>
            </w:r>
          </w:p>
        </w:tc>
        <w:tc>
          <w:tcPr>
            <w:tcW w:w="0" w:type="dxa"/>
            <w:vAlign w:val="bottom"/>
          </w:tcPr>
          <w:p>
            <w:pPr>
              <w:spacing w:after="0"/>
              <w:rPr>
                <w:sz w:val="1"/>
                <w:szCs w:val="1"/>
                <w:color w:val="auto"/>
              </w:rPr>
            </w:pPr>
          </w:p>
        </w:tc>
      </w:tr>
      <w:tr>
        <w:trPr>
          <w:trHeight w:val="239"/>
        </w:trPr>
        <w:tc>
          <w:tcPr>
            <w:tcW w:w="5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2"/>
              </w:rPr>
              <w:t>Value</w:t>
            </w:r>
          </w:p>
        </w:tc>
        <w:tc>
          <w:tcPr>
            <w:tcW w:w="180" w:type="dxa"/>
            <w:vAlign w:val="bottom"/>
          </w:tcPr>
          <w:p>
            <w:pPr>
              <w:spacing w:after="0"/>
              <w:rPr>
                <w:sz w:val="20"/>
                <w:szCs w:val="20"/>
                <w:color w:val="auto"/>
              </w:rPr>
            </w:pP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14"/>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9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Southwest Gas Corporation:</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Debentures:</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6.1%, due 2041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166,380</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4.05%, due 2032</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3.875%, due 2022</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250,603</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4.875%, due 2043</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307,538</w:t>
            </w:r>
          </w:p>
        </w:tc>
        <w:tc>
          <w:tcPr>
            <w:tcW w:w="0" w:type="dxa"/>
            <w:vAlign w:val="bottom"/>
          </w:tcPr>
          <w:p>
            <w:pPr>
              <w:spacing w:after="0"/>
              <w:rPr>
                <w:sz w:val="1"/>
                <w:szCs w:val="1"/>
                <w:color w:val="auto"/>
              </w:rPr>
            </w:pPr>
          </w:p>
        </w:tc>
      </w:tr>
      <w:tr>
        <w:trPr>
          <w:trHeight w:val="229"/>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3.8%, due 2046</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329,055</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3.7%, due 2028</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325,191</w:t>
            </w:r>
          </w:p>
        </w:tc>
        <w:tc>
          <w:tcPr>
            <w:tcW w:w="0" w:type="dxa"/>
            <w:vAlign w:val="bottom"/>
          </w:tcPr>
          <w:p>
            <w:pPr>
              <w:spacing w:after="0"/>
              <w:rPr>
                <w:sz w:val="1"/>
                <w:szCs w:val="1"/>
                <w:color w:val="auto"/>
              </w:rPr>
            </w:pPr>
          </w:p>
        </w:tc>
      </w:tr>
      <w:tr>
        <w:trPr>
          <w:trHeight w:val="229"/>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4.15%, due 2049</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342,030</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2.2%, due 2030</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440,838</w:t>
            </w:r>
          </w:p>
        </w:tc>
        <w:tc>
          <w:tcPr>
            <w:tcW w:w="0" w:type="dxa"/>
            <w:vAlign w:val="bottom"/>
          </w:tcPr>
          <w:p>
            <w:pPr>
              <w:spacing w:after="0"/>
              <w:rPr>
                <w:sz w:val="1"/>
                <w:szCs w:val="1"/>
                <w:color w:val="auto"/>
              </w:rPr>
            </w:pP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3.18%, due 2051</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292,116</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 Series, due 2026</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92,623</w:t>
            </w:r>
          </w:p>
        </w:tc>
        <w:tc>
          <w:tcPr>
            <w:tcW w:w="0" w:type="dxa"/>
            <w:vAlign w:val="bottom"/>
          </w:tcPr>
          <w:p>
            <w:pPr>
              <w:spacing w:after="0"/>
              <w:rPr>
                <w:sz w:val="1"/>
                <w:szCs w:val="1"/>
                <w:color w:val="auto"/>
              </w:rPr>
            </w:pPr>
          </w:p>
        </w:tc>
      </w:tr>
      <w:tr>
        <w:trPr>
          <w:trHeight w:val="229"/>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Medium-term notes, 7.78% series, due 2022</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25,122</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Medium-term notes, 7.92% series, due 2027</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31,555</w:t>
            </w:r>
          </w:p>
        </w:tc>
        <w:tc>
          <w:tcPr>
            <w:tcW w:w="0" w:type="dxa"/>
            <w:vAlign w:val="bottom"/>
          </w:tcPr>
          <w:p>
            <w:pPr>
              <w:spacing w:after="0"/>
              <w:rPr>
                <w:sz w:val="1"/>
                <w:szCs w:val="1"/>
                <w:color w:val="auto"/>
              </w:rPr>
            </w:pPr>
          </w:p>
        </w:tc>
      </w:tr>
      <w:tr>
        <w:trPr>
          <w:trHeight w:val="229"/>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Medium-term notes, 6.76% series, due 2027</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8,949</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9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2,705,873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2,387,541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 and commercial paper</w:t>
            </w:r>
          </w:p>
        </w:tc>
        <w:tc>
          <w:tcPr>
            <w:tcW w:w="9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0" w:type="dxa"/>
            <w:vAlign w:val="bottom"/>
          </w:tcPr>
          <w:p>
            <w:pPr>
              <w:spacing w:after="0"/>
              <w:rPr>
                <w:sz w:val="1"/>
                <w:szCs w:val="1"/>
                <w:color w:val="auto"/>
              </w:rPr>
            </w:pPr>
          </w:p>
        </w:tc>
      </w:tr>
      <w:tr>
        <w:trPr>
          <w:trHeight w:val="21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 development revenue bonds: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Tax-exempt Series A, due 2028</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2003 Series A, due 2038</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2008 Series A, due 2038</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2009 Series A, due 2039</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9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198,226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198,062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9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Southwest Gas Corporation total long-term debt, less current maturities</w:t>
            </w:r>
          </w:p>
        </w:tc>
        <w:tc>
          <w:tcPr>
            <w:tcW w:w="9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2,904,099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2,440,603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Southwest Gas Holdings, Inc.:</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Centuri secured term loan facility</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1,011,413</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970,329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1,117,138</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1,117,841</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Centuri secured revolving credit facility</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103,749</w:t>
            </w: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MountainWest unsecured senior notes, 3.53%, due in 2028</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102,078</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MountainWest unsecured senior notes, 4.875%, due in 2041</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199,926</w:t>
            </w: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MountainWest unsecured senior notes, 3.91%, due in 2038</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147,786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147,735</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debt obligations</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50,003</w:t>
            </w:r>
          </w:p>
        </w:tc>
        <w:tc>
          <w:tcPr>
            <w:tcW w:w="0" w:type="dxa"/>
            <w:vAlign w:val="bottom"/>
          </w:tcPr>
          <w:p>
            <w:pPr>
              <w:spacing w:after="0"/>
              <w:rPr>
                <w:sz w:val="1"/>
                <w:szCs w:val="1"/>
                <w:color w:val="auto"/>
              </w:rPr>
            </w:pP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9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Southwest Gas Holdings, Inc. total long-term debt, less current maturities</w:t>
            </w:r>
          </w:p>
        </w:tc>
        <w:tc>
          <w:tcPr>
            <w:tcW w:w="9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4,588,454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4,115,684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420" w:type="dxa"/>
            <w:vAlign w:val="bottom"/>
          </w:tcPr>
          <w:p>
            <w:pPr>
              <w:spacing w:after="0" w:line="20" w:lineRule="exact"/>
              <w:rPr>
                <w:sz w:val="1"/>
                <w:szCs w:val="1"/>
                <w:color w:val="auto"/>
              </w:rPr>
            </w:pPr>
          </w:p>
        </w:tc>
        <w:tc>
          <w:tcPr>
            <w:tcW w:w="94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542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2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4" w:name="page25"/>
    <w:bookmarkEnd w:id="24"/>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Southwest has a $400 million credit facility that is scheduled to expire in April 2025. Southwest designates $150 million of associated capacity as long-term debt and the remaining $250 million for working capital purposes. Interest rates for the credit facility are calculated at either the Secured Overnight Financing Rate (“SOFR”) or an “alternate base rate,” plus in each case an applicable margin that is determined based on Southwest’s senior unsecured debt rating. At June 30, 2022, the applicable margin is 1.125% for loans bearing interest with reference to SOFR and 0.125% for loans bearing interest with reference to the alternative base rate. At June 30, 2022, no borrowings were outstanding on the long-term portion of the facility (including under the commercial paper program, discussed below), nor on the short-term portion of the facility.</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Southwest has a $50 million commercial paper program. Issuances under the commercial paper program are supported by Southwest’s revolving credit facility and, therefore, do not represent additional borrowing capacity under the credit facility. Borrowings under the commercial paper program, if any, are designated as long-term debt. Interest rates for the program are calculated at the then current commercial paper rate. At June 30, 2022, as noted above, no borrowings were outstanding under the commercial paper program.</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2022, Southwest issued $600 million aggregate principal amount of 4.05% Senior Notes at a discount of 0.65%. The notes will mature in March 2032. Southwest used the net proceeds to redeem the $250 million 3.875% notes due in April 2022 and to repay outstanding amounts under its credit facility, with the remaining net proceeds used for general corporate purposes.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Centuri has a $1.545 billion secured revolving credit and term loan multi-currency facility. Amounts can be borrowed in either Canadian or U.S. dollars. The revolving credit facility matures on August 27, 2026 and the term loan facility matures on August 27, 2028. Interest rates for the revolving credit facility and term loan facility are based on either a “base rate” or LIBOR, plus an applicable margin in either case. The capacity of the line of credit portion of the facility is $400 million; related amounts borrowed and repaid are available to be re-borrowed. The term loan portion of the facility has a limit of $1.145 billion. The obligations under the credit agreement are secured by present and future ownership interests in substantially all direct and indirect subsidiaries of Centuri, substantially all of the tangible and intangible personal property of each borrower, certain of their direct and indirect subsidiaries, and all products, profits, and proceeds of the foregoing. Centuri’s assets securing the facility at June 30, 2022 totaled $2.5 billion. At June 30, 2022, $1.157 billion in borrowings were outstanding under Centuri’s combined secured revolving credit and term loan facility.</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MountainWest has two private placement unsecured senior notes and a public unsecured senior note, with a combined carrying value of $449.3 million and aggregate principal amount of $430 million. The carrying value is higher than the principal balance as amounts outstanding were recorded at their fair values as of the December 31, 2021 acquisition date of the MountainWest entities.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Debt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Southwest Gas Holdings, Inc. has a $200 million credit facility that is scheduled to expire in December 2026 and is primarily used for short-term financing needs. Interest rates for the credit facility are calculated at either SOFR or the “alternate base rate” plus in each case an applicable margin. There was $90 million outstanding under this credit facility as of June 30, 2022.</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indicated above, under Southwest’s $400 million credit facility, no short-term borrowings were outstanding at June 30, 2022.</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2022, Southwest amended its $250 million Term Loan (the “March 2021 Term Loan”), extending the maturity date to March 21, 2023 and replacing LIBOR interest rate benchmarks with SOFR interest rate benchmarks. The proceeds were originally used to fund the increased cost of natural gas supply during the month of February 2021, caused by extreme weather conditions in the central U.S. There was $225 million outstanding under the March 2021 Term Loan as of June 30, 2022.</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2021, Southwest Gas Holdings, Inc. entered into a 364-day term loan credit agreement (the “Credit Agreement”). The Credit Agreement provided for a $1.6 billion delayed-draw term loan (the “Term Loan Facility”) to primarily fund the acquisition of the equity interests in MountainWest (refer to </w:t>
      </w:r>
      <w:r>
        <w:rPr>
          <w:rFonts w:ascii="Times New Roman" w:cs="Times New Roman" w:eastAsia="Times New Roman" w:hAnsi="Times New Roman"/>
          <w:sz w:val="18"/>
          <w:szCs w:val="18"/>
          <w:b w:val="1"/>
          <w:bCs w:val="1"/>
          <w:color w:val="auto"/>
        </w:rPr>
        <w:t>Note 8 - Business Acquisitions)</w:t>
      </w:r>
      <w:r>
        <w:rPr>
          <w:rFonts w:ascii="Times New Roman" w:cs="Times New Roman" w:eastAsia="Times New Roman" w:hAnsi="Times New Roman"/>
          <w:sz w:val="18"/>
          <w:szCs w:val="18"/>
          <w:color w:val="auto"/>
        </w:rPr>
        <w:t>. The Term Loan Facility was funded on December 31, 2021, and matures on December 30, 2022. There was $1.15 billion outstanding under the Term Loan Facility as of June 30, 2022.</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borrowings under the Term Loan Facility created a negative working capital condition for the Company, which as of June 30, 2022 is approximately $707 million. As of August 9, 2022, the Company does not have sufficient liquidity or capital resources to repay the Term Loan Facility without issuing new debt or equity. As disclosed in </w:t>
      </w:r>
      <w:r>
        <w:rPr>
          <w:rFonts w:ascii="Times New Roman" w:cs="Times New Roman" w:eastAsia="Times New Roman" w:hAnsi="Times New Roman"/>
          <w:sz w:val="18"/>
          <w:szCs w:val="18"/>
          <w:b w:val="1"/>
          <w:bCs w:val="1"/>
          <w:color w:val="auto"/>
        </w:rPr>
        <w:t>Note 1 – Background, Organization, and Summary of Significant Accounting Policies</w:t>
      </w:r>
      <w:r>
        <w:rPr>
          <w:rFonts w:ascii="Times New Roman" w:cs="Times New Roman" w:eastAsia="Times New Roman" w:hAnsi="Times New Roman"/>
          <w:sz w:val="18"/>
          <w:szCs w:val="18"/>
          <w:color w:val="auto"/>
        </w:rPr>
        <w:t>, the Company is exploring strategic alternatives, including a potential sale of MountainWest. Management intends to either issue long-term debt to refinance the Term Loan Facility or extend the Term Loan Facility up to 364 days. If MountainWest is sold as part of the Strategic Review process, the proceeds will be used to repay the amounts borrowed to fund the acquisition.</w:t>
      </w: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5" w:name="page26"/>
    <w:bookmarkEnd w:id="25"/>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believes that its refinancing plan is probable based on the Company’s ability to generate consistent cash flows, its current credit ratings, its relationships with its lenders and its prior history of successfully raising debt and equity necessary to fund its acquisitions and operations. As such, management has concluded that the Company can satisfy its obligations for at least the next twelve months from the issuance date of these financial statements.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ability to access capital markets or to otherwise obtain sufficient financing may be affected by future conditions. If the Company is unable to execute its plan to refinance debt obligations, the Company’s credit facility could be terminated, and amounts due under its revolver and other borrowing arrangements could be declared immediately due and payable.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LIBOR</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rates established at LIBOR are scheduled to be discontinued as a benchmark or reference rate after 2021, while other LIBOR-based rates are scheduled to be discontinued after June 2023. As of June 30, 2022, the Company had $2.16 billion in aggregate outstanding borrowings under Centuri’s combined facility and Southwest Gas Holdings, Inc.’s Term Loan Facility. Southwest had no outstanding borrowings or variable rate debt agreements with reference to LIBOR as of June 30, 2022. In order to mitigate the impact on the financial condition and results of operations of the Company, management will monitor developments and work with lenders to determine the appropriate replacement/alternative reference rate for variable rate debt. At this time the Company can provide no assurances as to the impact a LIBOR discontinuance will have on its financial condition or results of operations. Any alternative rate may be less predictable or less attractive than LIBOR.</w:t>
      </w: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6" w:name="page27"/>
    <w:bookmarkEnd w:id="26"/>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2022</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Other Comprehensive Income and Accumulated Other Comprehensive Income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information presents the Company’s Other comprehensive income (loss), both before and after-tax impacts, within the Condensed Consolidated Statements of Comprehensive Income, which also impact Accumulated other comprehensive income (“AOCI”) in the Condensed Consolidated Balance Sheets and the Condensed Consolidated Statements of Equity.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Tax Effects Allocated to Each Component of Other Comprehensive Income (Loss)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2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rPr>
              <w:t>Three Months Ended</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2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rPr>
              <w:t>Three Months Ended</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June 30, 2022</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June 30, 2021</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68"/>
              <w:spacing w:after="0" w:line="135" w:lineRule="exact"/>
              <w:rPr>
                <w:sz w:val="20"/>
                <w:szCs w:val="20"/>
                <w:color w:val="auto"/>
              </w:rPr>
            </w:pPr>
            <w:r>
              <w:rPr>
                <w:rFonts w:ascii="Times New Roman" w:cs="Times New Roman" w:eastAsia="Times New Roman" w:hAnsi="Times New Roman"/>
                <w:sz w:val="14"/>
                <w:szCs w:val="14"/>
                <w:color w:val="auto"/>
              </w:rPr>
              <w:t>Before-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color w:val="auto"/>
              </w:rPr>
              <w:t>Tax</w:t>
            </w:r>
          </w:p>
        </w:tc>
        <w:tc>
          <w:tcPr>
            <w:tcW w:w="140" w:type="dxa"/>
            <w:vAlign w:val="bottom"/>
          </w:tcPr>
          <w:p>
            <w:pPr>
              <w:spacing w:after="0"/>
              <w:rPr>
                <w:sz w:val="11"/>
                <w:szCs w:val="11"/>
                <w:color w:val="auto"/>
              </w:rPr>
            </w:pPr>
          </w:p>
        </w:tc>
        <w:tc>
          <w:tcPr>
            <w:tcW w:w="700" w:type="dxa"/>
            <w:vAlign w:val="bottom"/>
          </w:tcPr>
          <w:p>
            <w:pPr>
              <w:jc w:val="center"/>
              <w:ind w:right="88"/>
              <w:spacing w:after="0" w:line="135" w:lineRule="exact"/>
              <w:rPr>
                <w:sz w:val="20"/>
                <w:szCs w:val="20"/>
                <w:color w:val="auto"/>
              </w:rPr>
            </w:pPr>
            <w:r>
              <w:rPr>
                <w:rFonts w:ascii="Times New Roman" w:cs="Times New Roman" w:eastAsia="Times New Roman" w:hAnsi="Times New Roman"/>
                <w:sz w:val="14"/>
                <w:szCs w:val="14"/>
                <w:color w:val="auto"/>
              </w:rPr>
              <w:t>Net-of-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4"/>
                <w:szCs w:val="14"/>
                <w:color w:val="auto"/>
              </w:rPr>
              <w:t>Before-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color w:val="auto"/>
              </w:rPr>
              <w:t>Tax</w:t>
            </w:r>
          </w:p>
        </w:tc>
        <w:tc>
          <w:tcPr>
            <w:tcW w:w="140" w:type="dxa"/>
            <w:vAlign w:val="bottom"/>
          </w:tcPr>
          <w:p>
            <w:pPr>
              <w:spacing w:after="0"/>
              <w:rPr>
                <w:sz w:val="11"/>
                <w:szCs w:val="11"/>
                <w:color w:val="auto"/>
              </w:rPr>
            </w:pPr>
          </w:p>
        </w:tc>
        <w:tc>
          <w:tcPr>
            <w:tcW w:w="70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4"/>
                <w:szCs w:val="14"/>
                <w:color w:val="auto"/>
              </w:rPr>
              <w:t>Net-of-</w:t>
            </w:r>
          </w:p>
        </w:tc>
        <w:tc>
          <w:tcPr>
            <w:tcW w:w="0" w:type="dxa"/>
            <w:vAlign w:val="bottom"/>
          </w:tcPr>
          <w:p>
            <w:pPr>
              <w:spacing w:after="0"/>
              <w:rPr>
                <w:sz w:val="1"/>
                <w:szCs w:val="1"/>
                <w:color w:val="auto"/>
              </w:rPr>
            </w:pPr>
          </w:p>
        </w:tc>
      </w:tr>
      <w:tr>
        <w:trPr>
          <w:trHeight w:val="139"/>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 of dollars)</w:t>
            </w:r>
          </w:p>
        </w:tc>
        <w:tc>
          <w:tcPr>
            <w:tcW w:w="120" w:type="dxa"/>
            <w:vAlign w:val="bottom"/>
          </w:tcPr>
          <w:p>
            <w:pPr>
              <w:spacing w:after="0"/>
              <w:rPr>
                <w:sz w:val="12"/>
                <w:szCs w:val="12"/>
                <w:color w:val="auto"/>
              </w:rPr>
            </w:pPr>
          </w:p>
        </w:tc>
        <w:tc>
          <w:tcPr>
            <w:tcW w:w="660" w:type="dxa"/>
            <w:vAlign w:val="bottom"/>
          </w:tcPr>
          <w:p>
            <w:pPr>
              <w:jc w:val="center"/>
              <w:ind w:right="48"/>
              <w:spacing w:after="0" w:line="139" w:lineRule="exact"/>
              <w:rPr>
                <w:sz w:val="20"/>
                <w:szCs w:val="20"/>
                <w:color w:val="auto"/>
              </w:rPr>
            </w:pPr>
            <w:r>
              <w:rPr>
                <w:rFonts w:ascii="Times New Roman" w:cs="Times New Roman" w:eastAsia="Times New Roman" w:hAnsi="Times New Roman"/>
                <w:sz w:val="14"/>
                <w:szCs w:val="14"/>
                <w:color w:val="auto"/>
              </w:rPr>
              <w:t>Tax</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4"/>
                <w:szCs w:val="14"/>
                <w:color w:val="auto"/>
              </w:rPr>
              <w:t>(Expense)</w:t>
            </w:r>
          </w:p>
        </w:tc>
        <w:tc>
          <w:tcPr>
            <w:tcW w:w="140" w:type="dxa"/>
            <w:vAlign w:val="bottom"/>
          </w:tcPr>
          <w:p>
            <w:pPr>
              <w:spacing w:after="0"/>
              <w:rPr>
                <w:sz w:val="12"/>
                <w:szCs w:val="12"/>
                <w:color w:val="auto"/>
              </w:rPr>
            </w:pPr>
          </w:p>
        </w:tc>
        <w:tc>
          <w:tcPr>
            <w:tcW w:w="80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4"/>
                <w:szCs w:val="14"/>
                <w:color w:val="auto"/>
              </w:rPr>
              <w:t>Tax</w:t>
            </w:r>
          </w:p>
        </w:tc>
        <w:tc>
          <w:tcPr>
            <w:tcW w:w="120" w:type="dxa"/>
            <w:vAlign w:val="bottom"/>
          </w:tcPr>
          <w:p>
            <w:pPr>
              <w:spacing w:after="0"/>
              <w:rPr>
                <w:sz w:val="12"/>
                <w:szCs w:val="12"/>
                <w:color w:val="auto"/>
              </w:rPr>
            </w:pPr>
          </w:p>
        </w:tc>
        <w:tc>
          <w:tcPr>
            <w:tcW w:w="660" w:type="dxa"/>
            <w:vAlign w:val="bottom"/>
          </w:tcPr>
          <w:p>
            <w:pPr>
              <w:jc w:val="center"/>
              <w:ind w:right="48"/>
              <w:spacing w:after="0" w:line="139" w:lineRule="exact"/>
              <w:rPr>
                <w:sz w:val="20"/>
                <w:szCs w:val="20"/>
                <w:color w:val="auto"/>
              </w:rPr>
            </w:pPr>
            <w:r>
              <w:rPr>
                <w:rFonts w:ascii="Times New Roman" w:cs="Times New Roman" w:eastAsia="Times New Roman" w:hAnsi="Times New Roman"/>
                <w:sz w:val="14"/>
                <w:szCs w:val="14"/>
                <w:color w:val="auto"/>
              </w:rPr>
              <w:t>Tax</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4"/>
                <w:szCs w:val="14"/>
                <w:color w:val="auto"/>
              </w:rPr>
              <w:t>(Expense)</w:t>
            </w:r>
          </w:p>
        </w:tc>
        <w:tc>
          <w:tcPr>
            <w:tcW w:w="140" w:type="dxa"/>
            <w:vAlign w:val="bottom"/>
          </w:tcPr>
          <w:p>
            <w:pPr>
              <w:spacing w:after="0"/>
              <w:rPr>
                <w:sz w:val="12"/>
                <w:szCs w:val="12"/>
                <w:color w:val="auto"/>
              </w:rPr>
            </w:pPr>
          </w:p>
        </w:tc>
        <w:tc>
          <w:tcPr>
            <w:tcW w:w="700" w:type="dxa"/>
            <w:vAlign w:val="bottom"/>
          </w:tcPr>
          <w:p>
            <w:pPr>
              <w:jc w:val="center"/>
              <w:ind w:right="48"/>
              <w:spacing w:after="0" w:line="139" w:lineRule="exact"/>
              <w:rPr>
                <w:sz w:val="20"/>
                <w:szCs w:val="20"/>
                <w:color w:val="auto"/>
              </w:rPr>
            </w:pPr>
            <w:r>
              <w:rPr>
                <w:rFonts w:ascii="Times New Roman" w:cs="Times New Roman" w:eastAsia="Times New Roman" w:hAnsi="Times New Roman"/>
                <w:sz w:val="14"/>
                <w:szCs w:val="14"/>
                <w:color w:val="auto"/>
              </w:rPr>
              <w:t>Tax</w:t>
            </w:r>
          </w:p>
        </w:tc>
        <w:tc>
          <w:tcPr>
            <w:tcW w:w="0" w:type="dxa"/>
            <w:vAlign w:val="bottom"/>
          </w:tcPr>
          <w:p>
            <w:pPr>
              <w:spacing w:after="0"/>
              <w:rPr>
                <w:sz w:val="1"/>
                <w:szCs w:val="1"/>
                <w:color w:val="auto"/>
              </w:rPr>
            </w:pPr>
          </w:p>
        </w:tc>
      </w:tr>
      <w:tr>
        <w:trPr>
          <w:trHeight w:val="188"/>
        </w:trPr>
        <w:tc>
          <w:tcPr>
            <w:tcW w:w="5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or Benefit (1)</w:t>
            </w:r>
          </w:p>
        </w:tc>
        <w:tc>
          <w:tcPr>
            <w:tcW w:w="14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6"/>
                <w:szCs w:val="16"/>
                <w:color w:val="auto"/>
              </w:rPr>
            </w:pPr>
          </w:p>
        </w:tc>
        <w:tc>
          <w:tcPr>
            <w:tcW w:w="6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or Benefit (1)</w:t>
            </w:r>
          </w:p>
        </w:tc>
        <w:tc>
          <w:tcPr>
            <w:tcW w:w="140" w:type="dxa"/>
            <w:vAlign w:val="bottom"/>
          </w:tcPr>
          <w:p>
            <w:pPr>
              <w:spacing w:after="0"/>
              <w:rPr>
                <w:sz w:val="16"/>
                <w:szCs w:val="16"/>
                <w:color w:val="auto"/>
              </w:rPr>
            </w:pPr>
          </w:p>
        </w:tc>
        <w:tc>
          <w:tcPr>
            <w:tcW w:w="70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23"/>
        </w:trPr>
        <w:tc>
          <w:tcPr>
            <w:tcW w:w="5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Defined benefit pension plans:</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Amortization of prior service cost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of net actuarial (gain)/loss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8,472</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Regulatory adjustment</w:t>
            </w: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1,744</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(9,575)</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(7,277)</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Pension plans other comprehensive income (loss)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w:t>
            </w:r>
          </w:p>
        </w:tc>
        <w:tc>
          <w:tcPr>
            <w:tcW w:w="0" w:type="dxa"/>
            <w:vAlign w:val="bottom"/>
          </w:tcPr>
          <w:p>
            <w:pPr>
              <w:spacing w:after="0"/>
              <w:rPr>
                <w:sz w:val="1"/>
                <w:szCs w:val="1"/>
                <w:color w:val="auto"/>
              </w:rPr>
            </w:pPr>
          </w:p>
        </w:tc>
      </w:tr>
      <w:tr>
        <w:trPr>
          <w:trHeight w:val="195"/>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FSIRS (designated hedging activities):</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Amounts reclassified into net income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0" w:type="dxa"/>
            <w:vAlign w:val="bottom"/>
          </w:tcPr>
          <w:p>
            <w:pPr>
              <w:spacing w:after="0"/>
              <w:rPr>
                <w:sz w:val="1"/>
                <w:szCs w:val="1"/>
                <w:color w:val="auto"/>
              </w:rPr>
            </w:pPr>
          </w:p>
        </w:tc>
      </w:tr>
      <w:tr>
        <w:trPr>
          <w:trHeight w:val="189"/>
        </w:trPr>
        <w:tc>
          <w:tcPr>
            <w:tcW w:w="5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FSIRS other comprehensive income (loss)</w:t>
            </w:r>
          </w:p>
        </w:tc>
        <w:tc>
          <w:tcPr>
            <w:tcW w:w="12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 - Southwest Gas Corporation</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2,357</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1,791</w:t>
            </w:r>
          </w:p>
        </w:tc>
        <w:tc>
          <w:tcPr>
            <w:tcW w:w="0" w:type="dxa"/>
            <w:vAlign w:val="bottom"/>
          </w:tcPr>
          <w:p>
            <w:pPr>
              <w:spacing w:after="0"/>
              <w:rPr>
                <w:sz w:val="1"/>
                <w:szCs w:val="1"/>
                <w:color w:val="auto"/>
              </w:rPr>
            </w:pPr>
          </w:p>
        </w:tc>
      </w:tr>
      <w:tr>
        <w:trPr>
          <w:trHeight w:val="175"/>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Translation adjustments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0" w:type="dxa"/>
            <w:vAlign w:val="bottom"/>
          </w:tcPr>
          <w:p>
            <w:pPr>
              <w:spacing w:after="0"/>
              <w:rPr>
                <w:sz w:val="1"/>
                <w:szCs w:val="1"/>
                <w:color w:val="auto"/>
              </w:rPr>
            </w:pPr>
          </w:p>
        </w:tc>
      </w:tr>
      <w:tr>
        <w:trPr>
          <w:trHeight w:val="190"/>
        </w:trPr>
        <w:tc>
          <w:tcPr>
            <w:tcW w:w="5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Foreign currency other comprehensive income (loss)</w:t>
            </w:r>
          </w:p>
        </w:tc>
        <w:tc>
          <w:tcPr>
            <w:tcW w:w="12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(2,680)</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(2,680)</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0" w:type="dxa"/>
            <w:vAlign w:val="bottom"/>
          </w:tcPr>
          <w:p>
            <w:pPr>
              <w:spacing w:after="0"/>
              <w:rPr>
                <w:sz w:val="1"/>
                <w:szCs w:val="1"/>
                <w:color w:val="auto"/>
              </w:rPr>
            </w:pPr>
          </w:p>
        </w:tc>
      </w:tr>
      <w:tr>
        <w:trPr>
          <w:trHeight w:val="22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 - Southwest Gas Holdings, Inc.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Six Months Ended</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rPr>
              <w:t>Six Months Ended</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June 30, 2022</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June 30, 2021</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68"/>
              <w:spacing w:after="0" w:line="135" w:lineRule="exact"/>
              <w:rPr>
                <w:sz w:val="20"/>
                <w:szCs w:val="20"/>
                <w:color w:val="auto"/>
              </w:rPr>
            </w:pPr>
            <w:r>
              <w:rPr>
                <w:rFonts w:ascii="Times New Roman" w:cs="Times New Roman" w:eastAsia="Times New Roman" w:hAnsi="Times New Roman"/>
                <w:sz w:val="14"/>
                <w:szCs w:val="14"/>
                <w:color w:val="auto"/>
              </w:rPr>
              <w:t>Before-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color w:val="auto"/>
              </w:rPr>
              <w:t>Tax</w:t>
            </w:r>
          </w:p>
        </w:tc>
        <w:tc>
          <w:tcPr>
            <w:tcW w:w="140" w:type="dxa"/>
            <w:vAlign w:val="bottom"/>
          </w:tcPr>
          <w:p>
            <w:pPr>
              <w:spacing w:after="0"/>
              <w:rPr>
                <w:sz w:val="11"/>
                <w:szCs w:val="11"/>
                <w:color w:val="auto"/>
              </w:rPr>
            </w:pPr>
          </w:p>
        </w:tc>
        <w:tc>
          <w:tcPr>
            <w:tcW w:w="700" w:type="dxa"/>
            <w:vAlign w:val="bottom"/>
          </w:tcPr>
          <w:p>
            <w:pPr>
              <w:jc w:val="center"/>
              <w:ind w:right="88"/>
              <w:spacing w:after="0" w:line="135" w:lineRule="exact"/>
              <w:rPr>
                <w:sz w:val="20"/>
                <w:szCs w:val="20"/>
                <w:color w:val="auto"/>
              </w:rPr>
            </w:pPr>
            <w:r>
              <w:rPr>
                <w:rFonts w:ascii="Times New Roman" w:cs="Times New Roman" w:eastAsia="Times New Roman" w:hAnsi="Times New Roman"/>
                <w:sz w:val="14"/>
                <w:szCs w:val="14"/>
                <w:color w:val="auto"/>
              </w:rPr>
              <w:t>Net-of-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4"/>
                <w:szCs w:val="14"/>
                <w:color w:val="auto"/>
              </w:rPr>
              <w:t>Before-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color w:val="auto"/>
              </w:rPr>
              <w:t>Tax</w:t>
            </w:r>
          </w:p>
        </w:tc>
        <w:tc>
          <w:tcPr>
            <w:tcW w:w="140" w:type="dxa"/>
            <w:vAlign w:val="bottom"/>
          </w:tcPr>
          <w:p>
            <w:pPr>
              <w:spacing w:after="0"/>
              <w:rPr>
                <w:sz w:val="11"/>
                <w:szCs w:val="11"/>
                <w:color w:val="auto"/>
              </w:rPr>
            </w:pPr>
          </w:p>
        </w:tc>
        <w:tc>
          <w:tcPr>
            <w:tcW w:w="70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4"/>
                <w:szCs w:val="14"/>
                <w:color w:val="auto"/>
              </w:rPr>
              <w:t>Net-of-</w:t>
            </w:r>
          </w:p>
        </w:tc>
        <w:tc>
          <w:tcPr>
            <w:tcW w:w="0" w:type="dxa"/>
            <w:vAlign w:val="bottom"/>
          </w:tcPr>
          <w:p>
            <w:pPr>
              <w:spacing w:after="0"/>
              <w:rPr>
                <w:sz w:val="1"/>
                <w:szCs w:val="1"/>
                <w:color w:val="auto"/>
              </w:rPr>
            </w:pPr>
          </w:p>
        </w:tc>
      </w:tr>
      <w:tr>
        <w:trPr>
          <w:trHeight w:val="139"/>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 of dollars)</w:t>
            </w:r>
          </w:p>
        </w:tc>
        <w:tc>
          <w:tcPr>
            <w:tcW w:w="120" w:type="dxa"/>
            <w:vAlign w:val="bottom"/>
          </w:tcPr>
          <w:p>
            <w:pPr>
              <w:spacing w:after="0"/>
              <w:rPr>
                <w:sz w:val="12"/>
                <w:szCs w:val="12"/>
                <w:color w:val="auto"/>
              </w:rPr>
            </w:pPr>
          </w:p>
        </w:tc>
        <w:tc>
          <w:tcPr>
            <w:tcW w:w="660" w:type="dxa"/>
            <w:vAlign w:val="bottom"/>
          </w:tcPr>
          <w:p>
            <w:pPr>
              <w:jc w:val="center"/>
              <w:ind w:right="48"/>
              <w:spacing w:after="0" w:line="139" w:lineRule="exact"/>
              <w:rPr>
                <w:sz w:val="20"/>
                <w:szCs w:val="20"/>
                <w:color w:val="auto"/>
              </w:rPr>
            </w:pPr>
            <w:r>
              <w:rPr>
                <w:rFonts w:ascii="Times New Roman" w:cs="Times New Roman" w:eastAsia="Times New Roman" w:hAnsi="Times New Roman"/>
                <w:sz w:val="14"/>
                <w:szCs w:val="14"/>
                <w:color w:val="auto"/>
              </w:rPr>
              <w:t>Tax</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4"/>
                <w:szCs w:val="14"/>
                <w:color w:val="auto"/>
              </w:rPr>
              <w:t>(Expense)</w:t>
            </w:r>
          </w:p>
        </w:tc>
        <w:tc>
          <w:tcPr>
            <w:tcW w:w="140" w:type="dxa"/>
            <w:vAlign w:val="bottom"/>
          </w:tcPr>
          <w:p>
            <w:pPr>
              <w:spacing w:after="0"/>
              <w:rPr>
                <w:sz w:val="12"/>
                <w:szCs w:val="12"/>
                <w:color w:val="auto"/>
              </w:rPr>
            </w:pPr>
          </w:p>
        </w:tc>
        <w:tc>
          <w:tcPr>
            <w:tcW w:w="80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4"/>
                <w:szCs w:val="14"/>
                <w:color w:val="auto"/>
              </w:rPr>
              <w:t>Tax</w:t>
            </w:r>
          </w:p>
        </w:tc>
        <w:tc>
          <w:tcPr>
            <w:tcW w:w="120" w:type="dxa"/>
            <w:vAlign w:val="bottom"/>
          </w:tcPr>
          <w:p>
            <w:pPr>
              <w:spacing w:after="0"/>
              <w:rPr>
                <w:sz w:val="12"/>
                <w:szCs w:val="12"/>
                <w:color w:val="auto"/>
              </w:rPr>
            </w:pPr>
          </w:p>
        </w:tc>
        <w:tc>
          <w:tcPr>
            <w:tcW w:w="660" w:type="dxa"/>
            <w:vAlign w:val="bottom"/>
          </w:tcPr>
          <w:p>
            <w:pPr>
              <w:jc w:val="center"/>
              <w:ind w:right="48"/>
              <w:spacing w:after="0" w:line="139" w:lineRule="exact"/>
              <w:rPr>
                <w:sz w:val="20"/>
                <w:szCs w:val="20"/>
                <w:color w:val="auto"/>
              </w:rPr>
            </w:pPr>
            <w:r>
              <w:rPr>
                <w:rFonts w:ascii="Times New Roman" w:cs="Times New Roman" w:eastAsia="Times New Roman" w:hAnsi="Times New Roman"/>
                <w:sz w:val="14"/>
                <w:szCs w:val="14"/>
                <w:color w:val="auto"/>
              </w:rPr>
              <w:t>Tax</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4"/>
                <w:szCs w:val="14"/>
                <w:color w:val="auto"/>
              </w:rPr>
              <w:t>(Expense)</w:t>
            </w:r>
          </w:p>
        </w:tc>
        <w:tc>
          <w:tcPr>
            <w:tcW w:w="140" w:type="dxa"/>
            <w:vAlign w:val="bottom"/>
          </w:tcPr>
          <w:p>
            <w:pPr>
              <w:spacing w:after="0"/>
              <w:rPr>
                <w:sz w:val="12"/>
                <w:szCs w:val="12"/>
                <w:color w:val="auto"/>
              </w:rPr>
            </w:pPr>
          </w:p>
        </w:tc>
        <w:tc>
          <w:tcPr>
            <w:tcW w:w="700" w:type="dxa"/>
            <w:vAlign w:val="bottom"/>
          </w:tcPr>
          <w:p>
            <w:pPr>
              <w:jc w:val="center"/>
              <w:ind w:right="48"/>
              <w:spacing w:after="0" w:line="139" w:lineRule="exact"/>
              <w:rPr>
                <w:sz w:val="20"/>
                <w:szCs w:val="20"/>
                <w:color w:val="auto"/>
              </w:rPr>
            </w:pPr>
            <w:r>
              <w:rPr>
                <w:rFonts w:ascii="Times New Roman" w:cs="Times New Roman" w:eastAsia="Times New Roman" w:hAnsi="Times New Roman"/>
                <w:sz w:val="14"/>
                <w:szCs w:val="14"/>
                <w:color w:val="auto"/>
              </w:rPr>
              <w:t>Tax</w:t>
            </w:r>
          </w:p>
        </w:tc>
        <w:tc>
          <w:tcPr>
            <w:tcW w:w="0" w:type="dxa"/>
            <w:vAlign w:val="bottom"/>
          </w:tcPr>
          <w:p>
            <w:pPr>
              <w:spacing w:after="0"/>
              <w:rPr>
                <w:sz w:val="1"/>
                <w:szCs w:val="1"/>
                <w:color w:val="auto"/>
              </w:rPr>
            </w:pPr>
          </w:p>
        </w:tc>
      </w:tr>
      <w:tr>
        <w:trPr>
          <w:trHeight w:val="188"/>
        </w:trPr>
        <w:tc>
          <w:tcPr>
            <w:tcW w:w="5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or Benefit (1)</w:t>
            </w:r>
          </w:p>
        </w:tc>
        <w:tc>
          <w:tcPr>
            <w:tcW w:w="14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6"/>
                <w:szCs w:val="16"/>
                <w:color w:val="auto"/>
              </w:rPr>
            </w:pPr>
          </w:p>
        </w:tc>
        <w:tc>
          <w:tcPr>
            <w:tcW w:w="6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or Benefit (1)</w:t>
            </w:r>
          </w:p>
        </w:tc>
        <w:tc>
          <w:tcPr>
            <w:tcW w:w="140" w:type="dxa"/>
            <w:vAlign w:val="bottom"/>
          </w:tcPr>
          <w:p>
            <w:pPr>
              <w:spacing w:after="0"/>
              <w:rPr>
                <w:sz w:val="16"/>
                <w:szCs w:val="16"/>
                <w:color w:val="auto"/>
              </w:rPr>
            </w:pPr>
          </w:p>
        </w:tc>
        <w:tc>
          <w:tcPr>
            <w:tcW w:w="70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23"/>
        </w:trPr>
        <w:tc>
          <w:tcPr>
            <w:tcW w:w="5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Defined benefit pension plans:</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Amortization of prior service cost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of net actuarial (gain)/loss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16,946</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Regulatory adjustment</w:t>
            </w: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(14,536)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(11,047)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(19,150)</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(14,554)</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Pension plans other comprehensive income (loss)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2,756</w:t>
            </w:r>
          </w:p>
        </w:tc>
        <w:tc>
          <w:tcPr>
            <w:tcW w:w="0" w:type="dxa"/>
            <w:vAlign w:val="bottom"/>
          </w:tcPr>
          <w:p>
            <w:pPr>
              <w:spacing w:after="0"/>
              <w:rPr>
                <w:sz w:val="1"/>
                <w:szCs w:val="1"/>
                <w:color w:val="auto"/>
              </w:rPr>
            </w:pPr>
          </w:p>
        </w:tc>
      </w:tr>
      <w:tr>
        <w:trPr>
          <w:trHeight w:val="195"/>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FSIRS (designated hedging activities):</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Amounts reclassified into net income</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0" w:type="dxa"/>
            <w:vAlign w:val="bottom"/>
          </w:tcPr>
          <w:p>
            <w:pPr>
              <w:spacing w:after="0"/>
              <w:rPr>
                <w:sz w:val="1"/>
                <w:szCs w:val="1"/>
                <w:color w:val="auto"/>
              </w:rPr>
            </w:pPr>
          </w:p>
        </w:tc>
      </w:tr>
      <w:tr>
        <w:trPr>
          <w:trHeight w:val="190"/>
        </w:trPr>
        <w:tc>
          <w:tcPr>
            <w:tcW w:w="5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FSIRS other comprehensive income (loss)</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 - Southwest Gas Corporation</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4,715</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3,583</w:t>
            </w:r>
          </w:p>
        </w:tc>
        <w:tc>
          <w:tcPr>
            <w:tcW w:w="0" w:type="dxa"/>
            <w:vAlign w:val="bottom"/>
          </w:tcPr>
          <w:p>
            <w:pPr>
              <w:spacing w:after="0"/>
              <w:rPr>
                <w:sz w:val="1"/>
                <w:szCs w:val="1"/>
                <w:color w:val="auto"/>
              </w:rPr>
            </w:pPr>
          </w:p>
        </w:tc>
      </w:tr>
      <w:tr>
        <w:trPr>
          <w:trHeight w:val="175"/>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Translation adjustments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w:t>
            </w:r>
          </w:p>
        </w:tc>
        <w:tc>
          <w:tcPr>
            <w:tcW w:w="0" w:type="dxa"/>
            <w:vAlign w:val="bottom"/>
          </w:tcPr>
          <w:p>
            <w:pPr>
              <w:spacing w:after="0"/>
              <w:rPr>
                <w:sz w:val="1"/>
                <w:szCs w:val="1"/>
                <w:color w:val="auto"/>
              </w:rPr>
            </w:pPr>
          </w:p>
        </w:tc>
      </w:tr>
      <w:tr>
        <w:trPr>
          <w:trHeight w:val="190"/>
        </w:trPr>
        <w:tc>
          <w:tcPr>
            <w:tcW w:w="5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Foreign currency other comprehensive income (loss)</w:t>
            </w:r>
          </w:p>
        </w:tc>
        <w:tc>
          <w:tcPr>
            <w:tcW w:w="12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(1,433)</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(1,433)</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1,732</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1,732</w:t>
            </w:r>
          </w:p>
        </w:tc>
        <w:tc>
          <w:tcPr>
            <w:tcW w:w="0" w:type="dxa"/>
            <w:vAlign w:val="bottom"/>
          </w:tcPr>
          <w:p>
            <w:pPr>
              <w:spacing w:after="0"/>
              <w:rPr>
                <w:sz w:val="1"/>
                <w:szCs w:val="1"/>
                <w:color w:val="auto"/>
              </w:rPr>
            </w:pPr>
          </w:p>
        </w:tc>
      </w:tr>
      <w:tr>
        <w:trPr>
          <w:trHeight w:val="221"/>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 - Southwest Gas Holdings, Inc.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Form 10-Q</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5"/>
          </w:tcPr>
          <w:p>
            <w:pPr>
              <w:ind w:left="900"/>
              <w:spacing w:after="0"/>
              <w:rPr>
                <w:sz w:val="20"/>
                <w:szCs w:val="20"/>
                <w:color w:val="auto"/>
              </w:rPr>
            </w:pPr>
            <w:r>
              <w:rPr>
                <w:rFonts w:ascii="Times New Roman" w:cs="Times New Roman" w:eastAsia="Times New Roman" w:hAnsi="Times New Roman"/>
                <w:sz w:val="18"/>
                <w:szCs w:val="18"/>
                <w:color w:val="auto"/>
                <w:w w:val="99"/>
              </w:rPr>
              <w:t>June 30, 2022</w:t>
            </w:r>
          </w:p>
        </w:tc>
        <w:tc>
          <w:tcPr>
            <w:tcW w:w="0" w:type="dxa"/>
            <w:vAlign w:val="bottom"/>
          </w:tcPr>
          <w:p>
            <w:pPr>
              <w:spacing w:after="0"/>
              <w:rPr>
                <w:sz w:val="1"/>
                <w:szCs w:val="1"/>
                <w:color w:val="auto"/>
              </w:rPr>
            </w:pPr>
          </w:p>
        </w:tc>
      </w:tr>
      <w:tr>
        <w:trPr>
          <w:trHeight w:val="835"/>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rPr>
              <w:t>Twelve Months Ended</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color w:val="auto"/>
              </w:rPr>
              <w:t>Twelve Months Ended</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June 30, 2022</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June 30, 2021</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48"/>
              <w:spacing w:after="0" w:line="138" w:lineRule="exact"/>
              <w:rPr>
                <w:sz w:val="20"/>
                <w:szCs w:val="20"/>
                <w:color w:val="auto"/>
              </w:rPr>
            </w:pPr>
            <w:r>
              <w:rPr>
                <w:rFonts w:ascii="Times New Roman" w:cs="Times New Roman" w:eastAsia="Times New Roman" w:hAnsi="Times New Roman"/>
                <w:sz w:val="14"/>
                <w:szCs w:val="14"/>
                <w:color w:val="auto"/>
              </w:rPr>
              <w:t>Before-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4"/>
                <w:szCs w:val="14"/>
                <w:color w:val="auto"/>
              </w:rPr>
              <w:t>Tax</w:t>
            </w:r>
          </w:p>
        </w:tc>
        <w:tc>
          <w:tcPr>
            <w:tcW w:w="140" w:type="dxa"/>
            <w:vAlign w:val="bottom"/>
          </w:tcPr>
          <w:p>
            <w:pPr>
              <w:spacing w:after="0"/>
              <w:rPr>
                <w:sz w:val="11"/>
                <w:szCs w:val="11"/>
                <w:color w:val="auto"/>
              </w:rPr>
            </w:pPr>
          </w:p>
        </w:tc>
        <w:tc>
          <w:tcPr>
            <w:tcW w:w="680" w:type="dxa"/>
            <w:vAlign w:val="bottom"/>
          </w:tcPr>
          <w:p>
            <w:pPr>
              <w:jc w:val="center"/>
              <w:ind w:right="68"/>
              <w:spacing w:after="0" w:line="138" w:lineRule="exact"/>
              <w:rPr>
                <w:sz w:val="20"/>
                <w:szCs w:val="20"/>
                <w:color w:val="auto"/>
              </w:rPr>
            </w:pPr>
            <w:r>
              <w:rPr>
                <w:rFonts w:ascii="Times New Roman" w:cs="Times New Roman" w:eastAsia="Times New Roman" w:hAnsi="Times New Roman"/>
                <w:sz w:val="14"/>
                <w:szCs w:val="14"/>
                <w:color w:val="auto"/>
              </w:rPr>
              <w:t>Net-of-</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center"/>
              <w:ind w:right="108"/>
              <w:spacing w:after="0" w:line="138" w:lineRule="exact"/>
              <w:rPr>
                <w:sz w:val="20"/>
                <w:szCs w:val="20"/>
                <w:color w:val="auto"/>
              </w:rPr>
            </w:pPr>
            <w:r>
              <w:rPr>
                <w:rFonts w:ascii="Times New Roman" w:cs="Times New Roman" w:eastAsia="Times New Roman" w:hAnsi="Times New Roman"/>
                <w:sz w:val="14"/>
                <w:szCs w:val="14"/>
                <w:color w:val="auto"/>
                <w:w w:val="98"/>
              </w:rPr>
              <w:t>Before-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4"/>
                <w:szCs w:val="14"/>
                <w:color w:val="auto"/>
                <w:w w:val="91"/>
              </w:rPr>
              <w:t>Tax</w:t>
            </w:r>
          </w:p>
        </w:tc>
        <w:tc>
          <w:tcPr>
            <w:tcW w:w="140" w:type="dxa"/>
            <w:vAlign w:val="bottom"/>
          </w:tcPr>
          <w:p>
            <w:pPr>
              <w:spacing w:after="0"/>
              <w:rPr>
                <w:sz w:val="11"/>
                <w:szCs w:val="11"/>
                <w:color w:val="auto"/>
              </w:rPr>
            </w:pPr>
          </w:p>
        </w:tc>
        <w:tc>
          <w:tcPr>
            <w:tcW w:w="660" w:type="dxa"/>
            <w:vAlign w:val="bottom"/>
          </w:tcPr>
          <w:p>
            <w:pPr>
              <w:jc w:val="center"/>
              <w:ind w:right="88"/>
              <w:spacing w:after="0" w:line="138" w:lineRule="exact"/>
              <w:rPr>
                <w:sz w:val="20"/>
                <w:szCs w:val="20"/>
                <w:color w:val="auto"/>
              </w:rPr>
            </w:pPr>
            <w:r>
              <w:rPr>
                <w:rFonts w:ascii="Times New Roman" w:cs="Times New Roman" w:eastAsia="Times New Roman" w:hAnsi="Times New Roman"/>
                <w:sz w:val="14"/>
                <w:szCs w:val="14"/>
                <w:color w:val="auto"/>
              </w:rPr>
              <w:t>Net-of-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2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 of dollars)</w:t>
            </w:r>
          </w:p>
        </w:tc>
        <w:tc>
          <w:tcPr>
            <w:tcW w:w="120" w:type="dxa"/>
            <w:vAlign w:val="bottom"/>
          </w:tcPr>
          <w:p>
            <w:pPr>
              <w:spacing w:after="0"/>
              <w:rPr>
                <w:sz w:val="12"/>
                <w:szCs w:val="12"/>
                <w:color w:val="auto"/>
              </w:rPr>
            </w:pPr>
          </w:p>
        </w:tc>
        <w:tc>
          <w:tcPr>
            <w:tcW w:w="680" w:type="dxa"/>
            <w:vAlign w:val="bottom"/>
          </w:tcPr>
          <w:p>
            <w:pPr>
              <w:jc w:val="center"/>
              <w:ind w:right="48"/>
              <w:spacing w:after="0" w:line="145" w:lineRule="exact"/>
              <w:rPr>
                <w:sz w:val="20"/>
                <w:szCs w:val="20"/>
                <w:color w:val="auto"/>
              </w:rPr>
            </w:pPr>
            <w:r>
              <w:rPr>
                <w:rFonts w:ascii="Times New Roman" w:cs="Times New Roman" w:eastAsia="Times New Roman" w:hAnsi="Times New Roman"/>
                <w:sz w:val="14"/>
                <w:szCs w:val="14"/>
                <w:color w:val="auto"/>
                <w:w w:val="91"/>
              </w:rPr>
              <w:t>Tax</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color w:val="auto"/>
              </w:rPr>
              <w:t>(Expense)</w:t>
            </w: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Tax</w:t>
            </w:r>
          </w:p>
        </w:tc>
        <w:tc>
          <w:tcPr>
            <w:tcW w:w="140" w:type="dxa"/>
            <w:vAlign w:val="bottom"/>
          </w:tcPr>
          <w:p>
            <w:pPr>
              <w:spacing w:after="0"/>
              <w:rPr>
                <w:sz w:val="12"/>
                <w:szCs w:val="12"/>
                <w:color w:val="auto"/>
              </w:rPr>
            </w:pPr>
          </w:p>
        </w:tc>
        <w:tc>
          <w:tcPr>
            <w:tcW w:w="680" w:type="dxa"/>
            <w:vAlign w:val="bottom"/>
          </w:tcPr>
          <w:p>
            <w:pPr>
              <w:jc w:val="center"/>
              <w:ind w:right="68"/>
              <w:spacing w:after="0" w:line="145" w:lineRule="exact"/>
              <w:rPr>
                <w:sz w:val="20"/>
                <w:szCs w:val="20"/>
                <w:color w:val="auto"/>
              </w:rPr>
            </w:pPr>
            <w:r>
              <w:rPr>
                <w:rFonts w:ascii="Times New Roman" w:cs="Times New Roman" w:eastAsia="Times New Roman" w:hAnsi="Times New Roman"/>
                <w:sz w:val="14"/>
                <w:szCs w:val="14"/>
                <w:color w:val="auto"/>
              </w:rPr>
              <w:t>Tax</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color w:val="auto"/>
              </w:rPr>
              <w:t>(Expense)</w:t>
            </w:r>
          </w:p>
        </w:tc>
        <w:tc>
          <w:tcPr>
            <w:tcW w:w="140" w:type="dxa"/>
            <w:vAlign w:val="bottom"/>
          </w:tcPr>
          <w:p>
            <w:pPr>
              <w:spacing w:after="0"/>
              <w:rPr>
                <w:sz w:val="12"/>
                <w:szCs w:val="12"/>
                <w:color w:val="auto"/>
              </w:rPr>
            </w:pPr>
          </w:p>
        </w:tc>
        <w:tc>
          <w:tcPr>
            <w:tcW w:w="68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color w:val="auto"/>
              </w:rPr>
              <w:t>Tax</w:t>
            </w:r>
          </w:p>
        </w:tc>
        <w:tc>
          <w:tcPr>
            <w:tcW w:w="0" w:type="dxa"/>
            <w:vAlign w:val="bottom"/>
          </w:tcPr>
          <w:p>
            <w:pPr>
              <w:spacing w:after="0"/>
              <w:rPr>
                <w:sz w:val="1"/>
                <w:szCs w:val="1"/>
                <w:color w:val="auto"/>
              </w:rPr>
            </w:pPr>
          </w:p>
        </w:tc>
      </w:tr>
      <w:tr>
        <w:trPr>
          <w:trHeight w:val="196"/>
        </w:trPr>
        <w:tc>
          <w:tcPr>
            <w:tcW w:w="5200" w:type="dxa"/>
            <w:vAlign w:val="bottom"/>
            <w:gridSpan w:val="4"/>
            <w:vMerge w:val="continue"/>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or Benefit (1)</w:t>
            </w:r>
          </w:p>
        </w:tc>
        <w:tc>
          <w:tcPr>
            <w:tcW w:w="140" w:type="dxa"/>
            <w:vAlign w:val="bottom"/>
          </w:tcPr>
          <w:p>
            <w:pPr>
              <w:spacing w:after="0"/>
              <w:rPr>
                <w:sz w:val="17"/>
                <w:szCs w:val="17"/>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Amount</w:t>
            </w:r>
          </w:p>
        </w:tc>
        <w:tc>
          <w:tcPr>
            <w:tcW w:w="140" w:type="dxa"/>
            <w:vAlign w:val="bottom"/>
          </w:tcPr>
          <w:p>
            <w:pPr>
              <w:spacing w:after="0"/>
              <w:rPr>
                <w:sz w:val="17"/>
                <w:szCs w:val="17"/>
                <w:color w:val="auto"/>
              </w:rPr>
            </w:pPr>
          </w:p>
        </w:tc>
        <w:tc>
          <w:tcPr>
            <w:tcW w:w="68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or Benefit (1)</w:t>
            </w:r>
          </w:p>
        </w:tc>
        <w:tc>
          <w:tcPr>
            <w:tcW w:w="140" w:type="dxa"/>
            <w:vAlign w:val="bottom"/>
          </w:tcPr>
          <w:p>
            <w:pPr>
              <w:spacing w:after="0"/>
              <w:rPr>
                <w:sz w:val="17"/>
                <w:szCs w:val="17"/>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189"/>
        </w:trPr>
        <w:tc>
          <w:tcPr>
            <w:tcW w:w="520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Defined benefit pension plans:</w:t>
            </w: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514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Net actuarial gain/(loss)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59,176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44,974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(57,539)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 w:type="dxa"/>
            <w:vAlign w:val="bottom"/>
            <w:shd w:val="clear" w:color="auto" w:fill="CCEEFF"/>
          </w:tcPr>
          <w:p>
            <w:pPr>
              <w:spacing w:after="0"/>
              <w:rPr>
                <w:sz w:val="18"/>
                <w:szCs w:val="18"/>
                <w:color w:val="auto"/>
              </w:rPr>
            </w:pPr>
          </w:p>
        </w:tc>
        <w:tc>
          <w:tcPr>
            <w:tcW w:w="51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Amortization of prior service cost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514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Amortization of net actuarial (gain)/loss</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30,179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 w:type="dxa"/>
            <w:vAlign w:val="bottom"/>
            <w:shd w:val="clear" w:color="auto" w:fill="CCEEFF"/>
          </w:tcPr>
          <w:p>
            <w:pPr>
              <w:spacing w:after="0"/>
              <w:rPr>
                <w:sz w:val="18"/>
                <w:szCs w:val="18"/>
                <w:color w:val="auto"/>
              </w:rPr>
            </w:pPr>
          </w:p>
        </w:tc>
        <w:tc>
          <w:tcPr>
            <w:tcW w:w="51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Regulatory adjustment</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(83,580)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20,060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(63,520)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514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Pension plans other comprehensive income (loss)</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15,872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12,064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FSIRS (designated hedging activities):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 w:type="dxa"/>
            <w:vAlign w:val="bottom"/>
            <w:tcBorders>
              <w:bottom w:val="single" w:sz="8" w:color="CCEEFF"/>
            </w:tcBorders>
          </w:tcPr>
          <w:p>
            <w:pPr>
              <w:spacing w:after="0"/>
              <w:rPr>
                <w:sz w:val="17"/>
                <w:szCs w:val="17"/>
                <w:color w:val="auto"/>
              </w:rPr>
            </w:pPr>
          </w:p>
        </w:tc>
        <w:tc>
          <w:tcPr>
            <w:tcW w:w="5140" w:type="dxa"/>
            <w:vAlign w:val="bottom"/>
            <w:tcBorders>
              <w:bottom w:val="single" w:sz="8" w:color="CCEEFF"/>
            </w:tcBorders>
            <w:gridSpan w:val="3"/>
          </w:tcPr>
          <w:p>
            <w:pPr>
              <w:ind w:left="80"/>
              <w:spacing w:after="0"/>
              <w:rPr>
                <w:sz w:val="20"/>
                <w:szCs w:val="20"/>
                <w:color w:val="auto"/>
              </w:rPr>
            </w:pPr>
            <w:r>
              <w:rPr>
                <w:rFonts w:ascii="Times New Roman" w:cs="Times New Roman" w:eastAsia="Times New Roman" w:hAnsi="Times New Roman"/>
                <w:sz w:val="14"/>
                <w:szCs w:val="14"/>
                <w:color w:val="auto"/>
              </w:rPr>
              <w:t>Amounts reclassified into net income</w:t>
            </w: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shd w:val="clear" w:color="auto" w:fill="CCEEFF"/>
          </w:tcPr>
          <w:p>
            <w:pPr>
              <w:spacing w:after="0"/>
              <w:rPr>
                <w:sz w:val="17"/>
                <w:szCs w:val="17"/>
                <w:color w:val="auto"/>
              </w:rPr>
            </w:pPr>
          </w:p>
        </w:tc>
        <w:tc>
          <w:tcPr>
            <w:tcW w:w="51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FSIRS other comprehensive income (loss)</w:t>
            </w: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20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 - Southwest Gas Corporation</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17,503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13,305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(7,533)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14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Translation adjustments</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 w:type="dxa"/>
            <w:vAlign w:val="bottom"/>
            <w:tcBorders>
              <w:top w:val="single" w:sz="8" w:color="CCEEFF"/>
            </w:tcBorders>
            <w:shd w:val="clear" w:color="auto" w:fill="CCEEFF"/>
          </w:tcPr>
          <w:p>
            <w:pPr>
              <w:spacing w:after="0"/>
              <w:rPr>
                <w:sz w:val="17"/>
                <w:szCs w:val="17"/>
                <w:color w:val="auto"/>
              </w:rPr>
            </w:pPr>
          </w:p>
        </w:tc>
        <w:tc>
          <w:tcPr>
            <w:tcW w:w="5140" w:type="dxa"/>
            <w:vAlign w:val="bottom"/>
            <w:tcBorders>
              <w:top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Foreign currency other comprehensive income (loss)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2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 - Southwest Gas Holdings, Inc.</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14,358</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(4,198)</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10,160</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(1,877)</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1,806</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jc w:val="both"/>
        <w:ind w:left="180" w:hanging="10"/>
        <w:spacing w:after="0" w:line="263" w:lineRule="auto"/>
        <w:tabs>
          <w:tab w:leader="none" w:pos="666"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amounts are calculated using a 24% rate. The Company has elected to indefinitely reinvest, in Canada, the earnings of Centuri’s Canadian subsidiaries, thus precluding deferred taxes on such earnings. As a result of this assertion, and no repatriation of earnings anticipated, the Company is not recognizing a tax effect or presenting a tax expense or benefit for currency translation adjustments reported in Other comprehensive income (loss).</w:t>
      </w:r>
    </w:p>
    <w:p>
      <w:pPr>
        <w:spacing w:after="0" w:line="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represents a rollforward of AOCI, presented on the Company’s Condensed Consolidated Balance Sheets and its Condensed Consolidated Statements of Equity:</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Defined Benefit Plans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FSIRS</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6"/>
          </w:tcPr>
          <w:p>
            <w:pPr>
              <w:jc w:val="center"/>
              <w:ind w:left="288"/>
              <w:spacing w:after="0"/>
              <w:rPr>
                <w:sz w:val="20"/>
                <w:szCs w:val="20"/>
                <w:color w:val="auto"/>
              </w:rPr>
            </w:pPr>
            <w:r>
              <w:rPr>
                <w:rFonts w:ascii="Times New Roman" w:cs="Times New Roman" w:eastAsia="Times New Roman" w:hAnsi="Times New Roman"/>
                <w:sz w:val="14"/>
                <w:szCs w:val="14"/>
                <w:color w:val="auto"/>
              </w:rPr>
              <w:t>Foreign Currency Items</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4"/>
                <w:szCs w:val="14"/>
                <w:color w:val="auto"/>
                <w:w w:val="91"/>
              </w:rPr>
              <w:t>Tax</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Before-</w:t>
            </w:r>
          </w:p>
        </w:tc>
        <w:tc>
          <w:tcPr>
            <w:tcW w:w="100" w:type="dxa"/>
            <w:vAlign w:val="bottom"/>
          </w:tcPr>
          <w:p>
            <w:pPr>
              <w:spacing w:after="0"/>
              <w:rPr>
                <w:sz w:val="11"/>
                <w:szCs w:val="11"/>
                <w:color w:val="auto"/>
              </w:rPr>
            </w:pPr>
          </w:p>
        </w:tc>
        <w:tc>
          <w:tcPr>
            <w:tcW w:w="90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4"/>
                <w:szCs w:val="14"/>
                <w:color w:val="auto"/>
                <w:w w:val="91"/>
              </w:rPr>
              <w:t>Tax</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Before-</w:t>
            </w:r>
          </w:p>
        </w:tc>
        <w:tc>
          <w:tcPr>
            <w:tcW w:w="100" w:type="dxa"/>
            <w:vAlign w:val="bottom"/>
          </w:tcPr>
          <w:p>
            <w:pPr>
              <w:spacing w:after="0"/>
              <w:rPr>
                <w:sz w:val="11"/>
                <w:szCs w:val="11"/>
                <w:color w:val="auto"/>
              </w:rPr>
            </w:pPr>
          </w:p>
        </w:tc>
        <w:tc>
          <w:tcPr>
            <w:tcW w:w="82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4"/>
                <w:szCs w:val="14"/>
                <w:color w:val="auto"/>
              </w:rPr>
              <w:t>Tax</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 of dollars)</w:t>
            </w:r>
          </w:p>
        </w:tc>
        <w:tc>
          <w:tcPr>
            <w:tcW w:w="82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Before-Tax</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(Expense)</w:t>
            </w:r>
          </w:p>
        </w:tc>
        <w:tc>
          <w:tcPr>
            <w:tcW w:w="80" w:type="dxa"/>
            <w:vAlign w:val="bottom"/>
          </w:tcPr>
          <w:p>
            <w:pPr>
              <w:spacing w:after="0"/>
              <w:rPr>
                <w:sz w:val="12"/>
                <w:szCs w:val="12"/>
                <w:color w:val="auto"/>
              </w:rPr>
            </w:pP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99"/>
              </w:rPr>
              <w:t>After-Tax</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(Expense)</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After-Tax</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(Expense)</w:t>
            </w:r>
          </w:p>
        </w:tc>
        <w:tc>
          <w:tcPr>
            <w:tcW w:w="7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After-Tax</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AOCI</w:t>
            </w:r>
          </w:p>
        </w:tc>
        <w:tc>
          <w:tcPr>
            <w:tcW w:w="0" w:type="dxa"/>
            <w:vAlign w:val="bottom"/>
          </w:tcPr>
          <w:p>
            <w:pPr>
              <w:spacing w:after="0"/>
              <w:rPr>
                <w:sz w:val="1"/>
                <w:szCs w:val="1"/>
                <w:color w:val="auto"/>
              </w:rPr>
            </w:pPr>
          </w:p>
        </w:tc>
      </w:tr>
      <w:tr>
        <w:trPr>
          <w:trHeight w:val="193"/>
        </w:trPr>
        <w:tc>
          <w:tcPr>
            <w:tcW w:w="2680" w:type="dxa"/>
            <w:vAlign w:val="bottom"/>
            <w:tcBorders>
              <w:bottom w:val="single" w:sz="8" w:color="CCEEFF"/>
            </w:tcBorders>
            <w:vMerge w:val="continue"/>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Benefit (4)</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Tax</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Benefit (4)</w:t>
            </w: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Tax</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Benefit</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268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4"/>
                <w:szCs w:val="14"/>
                <w:color w:val="auto"/>
              </w:rPr>
              <w:t>Beginning Balance AOCI</w:t>
            </w:r>
          </w:p>
        </w:tc>
        <w:tc>
          <w:tcPr>
            <w:tcW w:w="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(61,182)</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14,685</w:t>
            </w:r>
          </w:p>
        </w:tc>
        <w:tc>
          <w:tcPr>
            <w:tcW w:w="10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(46,497)</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(46,761)</w:t>
            </w:r>
          </w:p>
        </w:tc>
        <w:tc>
          <w:tcPr>
            <w:tcW w:w="0" w:type="dxa"/>
            <w:vAlign w:val="bottom"/>
          </w:tcPr>
          <w:p>
            <w:pPr>
              <w:spacing w:after="0"/>
              <w:rPr>
                <w:sz w:val="1"/>
                <w:szCs w:val="1"/>
                <w:color w:val="auto"/>
              </w:rPr>
            </w:pPr>
          </w:p>
        </w:tc>
      </w:tr>
      <w:tr>
        <w:trPr>
          <w:trHeight w:val="198"/>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2021</w:t>
            </w:r>
          </w:p>
        </w:tc>
        <w:tc>
          <w:tcPr>
            <w:tcW w:w="20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Translation adjustments</w:t>
            </w:r>
          </w:p>
        </w:tc>
        <w:tc>
          <w:tcPr>
            <w:tcW w:w="20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(1,433)</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(1,433)</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(1,433)</w:t>
            </w:r>
          </w:p>
        </w:tc>
        <w:tc>
          <w:tcPr>
            <w:tcW w:w="0" w:type="dxa"/>
            <w:vAlign w:val="bottom"/>
          </w:tcPr>
          <w:p>
            <w:pPr>
              <w:spacing w:after="0"/>
              <w:rPr>
                <w:sz w:val="1"/>
                <w:szCs w:val="1"/>
                <w:color w:val="auto"/>
              </w:rPr>
            </w:pPr>
          </w:p>
        </w:tc>
      </w:tr>
      <w:tr>
        <w:trPr>
          <w:trHeight w:val="166"/>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before reclassifications</w:t>
            </w: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(1,433)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w:t>
            </w:r>
          </w:p>
        </w:tc>
        <w:tc>
          <w:tcPr>
            <w:tcW w:w="0" w:type="dxa"/>
            <w:vAlign w:val="bottom"/>
          </w:tcPr>
          <w:p>
            <w:pPr>
              <w:spacing w:after="0"/>
              <w:rPr>
                <w:sz w:val="1"/>
                <w:szCs w:val="1"/>
                <w:color w:val="auto"/>
              </w:rPr>
            </w:pPr>
          </w:p>
        </w:tc>
      </w:tr>
      <w:tr>
        <w:trPr>
          <w:trHeight w:val="206"/>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FSIRS amount reclassified from AOCI (1)</w:t>
            </w:r>
          </w:p>
        </w:tc>
        <w:tc>
          <w:tcPr>
            <w:tcW w:w="2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0" w:type="dxa"/>
            <w:vAlign w:val="bottom"/>
          </w:tcPr>
          <w:p>
            <w:pPr>
              <w:spacing w:after="0"/>
              <w:rPr>
                <w:sz w:val="1"/>
                <w:szCs w:val="1"/>
                <w:color w:val="auto"/>
              </w:rPr>
            </w:pPr>
          </w:p>
        </w:tc>
      </w:tr>
      <w:tr>
        <w:trPr>
          <w:trHeight w:val="23"/>
        </w:trPr>
        <w:tc>
          <w:tcPr>
            <w:tcW w:w="2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prior service cost (2)</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95"/>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net actuarial loss (2)</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17,409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13,231</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Regulatory adjustment (3)</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(11,047)</w:t>
            </w:r>
          </w:p>
        </w:tc>
        <w:tc>
          <w:tcPr>
            <w:tcW w:w="0" w:type="dxa"/>
            <w:vAlign w:val="bottom"/>
          </w:tcPr>
          <w:p>
            <w:pPr>
              <w:spacing w:after="0"/>
              <w:rPr>
                <w:sz w:val="1"/>
                <w:szCs w:val="1"/>
                <w:color w:val="auto"/>
              </w:rPr>
            </w:pPr>
          </w:p>
        </w:tc>
      </w:tr>
      <w:tr>
        <w:trPr>
          <w:trHeight w:val="160"/>
        </w:trPr>
        <w:tc>
          <w:tcPr>
            <w:tcW w:w="268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color w:val="auto"/>
              </w:rPr>
              <w:t>Net current period other comprehensive</w:t>
            </w:r>
          </w:p>
        </w:tc>
        <w:tc>
          <w:tcPr>
            <w:tcW w:w="2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(loss) attributable to Southwest</w:t>
            </w: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Gas Holdings, Inc.</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(1,433)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1,233</w:t>
            </w:r>
          </w:p>
        </w:tc>
        <w:tc>
          <w:tcPr>
            <w:tcW w:w="0" w:type="dxa"/>
            <w:vAlign w:val="bottom"/>
          </w:tcPr>
          <w:p>
            <w:pPr>
              <w:spacing w:after="0"/>
              <w:rPr>
                <w:sz w:val="1"/>
                <w:szCs w:val="1"/>
                <w:color w:val="auto"/>
              </w:rPr>
            </w:pPr>
          </w:p>
        </w:tc>
      </w:tr>
      <w:tr>
        <w:trPr>
          <w:trHeight w:val="23"/>
        </w:trPr>
        <w:tc>
          <w:tcPr>
            <w:tcW w:w="2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AOCI June 30, 2022</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(58,221)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13,974</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(44,247)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(1,281)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(45,528)</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left="660" w:hanging="490"/>
        <w:spacing w:after="0"/>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FSIRS reclassification amount is included in Net interest deductions on the Company’s Condensed Consolidated Statements of Income.</w:t>
      </w:r>
    </w:p>
    <w:p>
      <w:pPr>
        <w:spacing w:after="0" w:line="26" w:lineRule="exact"/>
        <w:rPr>
          <w:rFonts w:ascii="Times New Roman" w:cs="Times New Roman" w:eastAsia="Times New Roman" w:hAnsi="Times New Roman"/>
          <w:sz w:val="16"/>
          <w:szCs w:val="16"/>
          <w:color w:val="auto"/>
        </w:rPr>
      </w:pPr>
    </w:p>
    <w:p>
      <w:pPr>
        <w:ind w:left="180" w:right="20" w:hanging="10"/>
        <w:spacing w:after="0" w:line="253" w:lineRule="auto"/>
        <w:tabs>
          <w:tab w:leader="none" w:pos="666"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These AOCI components are included in the computation of net periodic benefit cost (see </w:t>
      </w:r>
      <w:r>
        <w:rPr>
          <w:rFonts w:ascii="Times New Roman" w:cs="Times New Roman" w:eastAsia="Times New Roman" w:hAnsi="Times New Roman"/>
          <w:sz w:val="16"/>
          <w:szCs w:val="16"/>
          <w:b w:val="1"/>
          <w:bCs w:val="1"/>
          <w:color w:val="auto"/>
        </w:rPr>
        <w:t>Note 2 – Components of Net Periodic Benefit Cost</w:t>
      </w:r>
      <w:r>
        <w:rPr>
          <w:rFonts w:ascii="Times New Roman" w:cs="Times New Roman" w:eastAsia="Times New Roman" w:hAnsi="Times New Roman"/>
          <w:sz w:val="16"/>
          <w:szCs w:val="16"/>
          <w:color w:val="auto"/>
        </w:rPr>
        <w:t xml:space="preserve"> for additional details).</w:t>
      </w:r>
    </w:p>
    <w:p>
      <w:pPr>
        <w:ind w:left="180" w:right="20" w:hanging="10"/>
        <w:spacing w:after="0" w:line="255" w:lineRule="auto"/>
        <w:tabs>
          <w:tab w:leader="none" w:pos="666"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regulatory adjustment represents the portion of the activity above that is expected to be recovered through rates in the future (the related regulatory asset is included in Deferred charges and other assets on the Company’s Condensed Consolidated Balance Sheets).</w:t>
      </w:r>
    </w:p>
    <w:p>
      <w:pPr>
        <w:ind w:left="660" w:hanging="490"/>
        <w:spacing w:after="0"/>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amounts are calculated using a 24%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8" w:name="page29"/>
    <w:bookmarkEnd w:id="28"/>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rollforward of AOCI, presented on Southwest’s Condensed Consolidated Balance Sheets: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gridSpan w:val="6"/>
          </w:tcPr>
          <w:p>
            <w:pPr>
              <w:jc w:val="center"/>
              <w:ind w:left="608"/>
              <w:spacing w:after="0"/>
              <w:rPr>
                <w:sz w:val="20"/>
                <w:szCs w:val="20"/>
                <w:color w:val="auto"/>
              </w:rPr>
            </w:pPr>
            <w:r>
              <w:rPr>
                <w:rFonts w:ascii="Times New Roman" w:cs="Times New Roman" w:eastAsia="Times New Roman" w:hAnsi="Times New Roman"/>
                <w:sz w:val="14"/>
                <w:szCs w:val="14"/>
                <w:color w:val="auto"/>
              </w:rPr>
              <w:t>Defined Benefit Plans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FSIRS</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color w:val="auto"/>
                <w:w w:val="91"/>
              </w:rPr>
              <w:t>Tax</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color w:val="auto"/>
                <w:w w:val="91"/>
              </w:rPr>
              <w:t>Tax</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 of dollars)</w:t>
            </w:r>
          </w:p>
        </w:tc>
        <w:tc>
          <w:tcPr>
            <w:tcW w:w="140" w:type="dxa"/>
            <w:vAlign w:val="bottom"/>
          </w:tcPr>
          <w:p>
            <w:pPr>
              <w:spacing w:after="0"/>
              <w:rPr>
                <w:sz w:val="12"/>
                <w:szCs w:val="12"/>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Before-Tax</w:t>
            </w:r>
          </w:p>
        </w:tc>
        <w:tc>
          <w:tcPr>
            <w:tcW w:w="140" w:type="dxa"/>
            <w:vAlign w:val="bottom"/>
          </w:tcPr>
          <w:p>
            <w:pPr>
              <w:spacing w:after="0"/>
              <w:rPr>
                <w:sz w:val="12"/>
                <w:szCs w:val="12"/>
                <w:color w:val="auto"/>
              </w:rPr>
            </w:pPr>
          </w:p>
        </w:tc>
        <w:tc>
          <w:tcPr>
            <w:tcW w:w="94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4"/>
                <w:szCs w:val="14"/>
                <w:color w:val="auto"/>
              </w:rPr>
              <w:t>(Expense)</w:t>
            </w:r>
          </w:p>
        </w:tc>
        <w:tc>
          <w:tcPr>
            <w:tcW w:w="160" w:type="dxa"/>
            <w:vAlign w:val="bottom"/>
          </w:tcPr>
          <w:p>
            <w:pPr>
              <w:spacing w:after="0"/>
              <w:rPr>
                <w:sz w:val="12"/>
                <w:szCs w:val="12"/>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After-Tax</w:t>
            </w:r>
          </w:p>
        </w:tc>
        <w:tc>
          <w:tcPr>
            <w:tcW w:w="140" w:type="dxa"/>
            <w:vAlign w:val="bottom"/>
          </w:tcPr>
          <w:p>
            <w:pPr>
              <w:spacing w:after="0"/>
              <w:rPr>
                <w:sz w:val="12"/>
                <w:szCs w:val="12"/>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Before-Tax</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4"/>
                <w:szCs w:val="14"/>
                <w:color w:val="auto"/>
              </w:rPr>
              <w:t>(Expense)</w:t>
            </w:r>
          </w:p>
        </w:tc>
        <w:tc>
          <w:tcPr>
            <w:tcW w:w="14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After-Tax</w:t>
            </w:r>
          </w:p>
        </w:tc>
        <w:tc>
          <w:tcPr>
            <w:tcW w:w="200" w:type="dxa"/>
            <w:vAlign w:val="bottom"/>
          </w:tcPr>
          <w:p>
            <w:pPr>
              <w:spacing w:after="0"/>
              <w:rPr>
                <w:sz w:val="12"/>
                <w:szCs w:val="12"/>
                <w:color w:val="auto"/>
              </w:rPr>
            </w:pPr>
          </w:p>
        </w:tc>
        <w:tc>
          <w:tcPr>
            <w:tcW w:w="78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AOCI</w:t>
            </w:r>
          </w:p>
        </w:tc>
        <w:tc>
          <w:tcPr>
            <w:tcW w:w="0" w:type="dxa"/>
            <w:vAlign w:val="bottom"/>
          </w:tcPr>
          <w:p>
            <w:pPr>
              <w:spacing w:after="0"/>
              <w:rPr>
                <w:sz w:val="1"/>
                <w:szCs w:val="1"/>
                <w:color w:val="auto"/>
              </w:rPr>
            </w:pPr>
          </w:p>
        </w:tc>
      </w:tr>
      <w:tr>
        <w:trPr>
          <w:trHeight w:val="188"/>
        </w:trPr>
        <w:tc>
          <w:tcPr>
            <w:tcW w:w="3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Benefit (8)</w:t>
            </w: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Benefit (8)</w:t>
            </w: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 AOCI December 31,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(61,182)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14,685</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(46,497)</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(46,913)</w:t>
            </w:r>
          </w:p>
        </w:tc>
        <w:tc>
          <w:tcPr>
            <w:tcW w:w="0" w:type="dxa"/>
            <w:vAlign w:val="bottom"/>
          </w:tcPr>
          <w:p>
            <w:pPr>
              <w:spacing w:after="0"/>
              <w:rPr>
                <w:sz w:val="1"/>
                <w:szCs w:val="1"/>
                <w:color w:val="auto"/>
              </w:rPr>
            </w:pPr>
          </w:p>
        </w:tc>
      </w:tr>
      <w:tr>
        <w:trPr>
          <w:trHeight w:val="189"/>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FSIRS amount reclassified from AOCI (5)</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prior service cost (6)</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95"/>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net actuarial loss (6)</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13,231</w:t>
            </w: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Regulatory adjustment (7)</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3,489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(11,047)</w:t>
            </w:r>
          </w:p>
        </w:tc>
        <w:tc>
          <w:tcPr>
            <w:tcW w:w="0" w:type="dxa"/>
            <w:vAlign w:val="bottom"/>
          </w:tcPr>
          <w:p>
            <w:pPr>
              <w:spacing w:after="0"/>
              <w:rPr>
                <w:sz w:val="1"/>
                <w:szCs w:val="1"/>
                <w:color w:val="auto"/>
              </w:rPr>
            </w:pPr>
          </w:p>
        </w:tc>
      </w:tr>
      <w:tr>
        <w:trPr>
          <w:trHeight w:val="146"/>
        </w:trPr>
        <w:tc>
          <w:tcPr>
            <w:tcW w:w="370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color w:val="auto"/>
              </w:rPr>
              <w:t>Net current period other comprehensive income attributable</w:t>
            </w: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3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 Southwest Gas Corporation</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2,666</w:t>
            </w:r>
          </w:p>
        </w:tc>
        <w:tc>
          <w:tcPr>
            <w:tcW w:w="0" w:type="dxa"/>
            <w:vAlign w:val="bottom"/>
          </w:tcPr>
          <w:p>
            <w:pPr>
              <w:spacing w:after="0"/>
              <w:rPr>
                <w:sz w:val="1"/>
                <w:szCs w:val="1"/>
                <w:color w:val="auto"/>
              </w:rPr>
            </w:pPr>
          </w:p>
        </w:tc>
      </w:tr>
      <w:tr>
        <w:trPr>
          <w:trHeight w:val="23"/>
        </w:trPr>
        <w:tc>
          <w:tcPr>
            <w:tcW w:w="3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AOCI June 30,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(58,221)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13,974</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(44,247)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(44,247)</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520" w:hanging="350"/>
        <w:spacing w:after="0"/>
        <w:tabs>
          <w:tab w:leader="none" w:pos="5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FSIRS reclassification amount is included in Net interest deductions on Southwest’s Condensed Consolidated Statements of Income.</w:t>
      </w:r>
    </w:p>
    <w:p>
      <w:pPr>
        <w:spacing w:after="0" w:line="26" w:lineRule="exact"/>
        <w:rPr>
          <w:rFonts w:ascii="Times New Roman" w:cs="Times New Roman" w:eastAsia="Times New Roman" w:hAnsi="Times New Roman"/>
          <w:sz w:val="16"/>
          <w:szCs w:val="16"/>
          <w:color w:val="auto"/>
        </w:rPr>
      </w:pPr>
    </w:p>
    <w:p>
      <w:pPr>
        <w:ind w:left="180" w:right="20" w:hanging="10"/>
        <w:spacing w:after="0" w:line="253" w:lineRule="auto"/>
        <w:tabs>
          <w:tab w:leader="none" w:pos="666"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These AOCI components are included in the computation of net periodic benefit cost (see </w:t>
      </w:r>
      <w:r>
        <w:rPr>
          <w:rFonts w:ascii="Times New Roman" w:cs="Times New Roman" w:eastAsia="Times New Roman" w:hAnsi="Times New Roman"/>
          <w:sz w:val="16"/>
          <w:szCs w:val="16"/>
          <w:b w:val="1"/>
          <w:bCs w:val="1"/>
          <w:color w:val="auto"/>
        </w:rPr>
        <w:t>Note 2 – Components of Net Periodic Benefit Cost</w:t>
      </w:r>
      <w:r>
        <w:rPr>
          <w:rFonts w:ascii="Times New Roman" w:cs="Times New Roman" w:eastAsia="Times New Roman" w:hAnsi="Times New Roman"/>
          <w:sz w:val="16"/>
          <w:szCs w:val="16"/>
          <w:color w:val="auto"/>
        </w:rPr>
        <w:t xml:space="preserve"> for additional details).</w:t>
      </w:r>
    </w:p>
    <w:p>
      <w:pPr>
        <w:ind w:left="180" w:right="20" w:hanging="10"/>
        <w:spacing w:after="0" w:line="255" w:lineRule="auto"/>
        <w:tabs>
          <w:tab w:leader="none" w:pos="666"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regulatory adjustment represents the portion of the activity above that is expected to be recovered through rates in the future (the related regulatory asset is included in Deferred charges and other assets on Southwest’s Condensed Consolidated Balance Sheets).</w:t>
      </w:r>
    </w:p>
    <w:p>
      <w:pPr>
        <w:ind w:left="660" w:hanging="490"/>
        <w:spacing w:after="0"/>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amounts are calculated using a 24% rate.</w:t>
      </w:r>
    </w:p>
    <w:p>
      <w:pPr>
        <w:spacing w:after="0" w:line="1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represents amounts (before income tax impacts) included in AOCI (in the tables above), that have not yet been recognized in net periodic benefit cost: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00" w:type="dxa"/>
            <w:vAlign w:val="bottom"/>
          </w:tcPr>
          <w:p>
            <w:pPr>
              <w:spacing w:after="0"/>
              <w:rPr>
                <w:sz w:val="20"/>
                <w:szCs w:val="20"/>
                <w:color w:val="auto"/>
              </w:rPr>
            </w:pPr>
          </w:p>
        </w:tc>
        <w:tc>
          <w:tcPr>
            <w:tcW w:w="1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June 30, 2022</w:t>
            </w:r>
          </w:p>
        </w:tc>
        <w:tc>
          <w:tcPr>
            <w:tcW w:w="200" w:type="dxa"/>
            <w:vAlign w:val="bottom"/>
          </w:tcPr>
          <w:p>
            <w:pPr>
              <w:spacing w:after="0"/>
              <w:rPr>
                <w:sz w:val="20"/>
                <w:szCs w:val="20"/>
                <w:color w:val="auto"/>
              </w:rPr>
            </w:pPr>
          </w:p>
        </w:tc>
        <w:tc>
          <w:tcPr>
            <w:tcW w:w="18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December 31, 2021</w:t>
            </w:r>
          </w:p>
        </w:tc>
      </w:tr>
      <w:tr>
        <w:trPr>
          <w:trHeight w:val="223"/>
        </w:trPr>
        <w:tc>
          <w:tcPr>
            <w:tcW w:w="7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loss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(381,601)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(399,010)</w:t>
            </w: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w:t>
            </w: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amount recognized in regulatory assets</w:t>
            </w:r>
          </w:p>
        </w:tc>
        <w:tc>
          <w:tcPr>
            <w:tcW w:w="3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339,356</w:t>
            </w: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Recognized in AOCI</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(58,221)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(61,182)</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Segment Information</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a result of the MountainWest acquisition on December 31, 2021, management updated its segment reporting from the historical presentation of two reportable segments to three reportable segments, with MountainWest presented as the pipeline and storage segment. Southwest comprises the natural gas distribution segment and Centuri comprises the utility infrastructure services segment.</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Centuri accounts for the services provided to Southwest at contractual prices. Accounts receivable for these services, which are not eliminated during consolidation, are presented in the table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00" w:type="dxa"/>
            <w:vAlign w:val="bottom"/>
          </w:tcPr>
          <w:p>
            <w:pPr>
              <w:spacing w:after="0"/>
              <w:rPr>
                <w:sz w:val="20"/>
                <w:szCs w:val="20"/>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June 30, 2022</w:t>
            </w:r>
          </w:p>
        </w:tc>
        <w:tc>
          <w:tcPr>
            <w:tcW w:w="200" w:type="dxa"/>
            <w:vAlign w:val="bottom"/>
          </w:tcPr>
          <w:p>
            <w:pPr>
              <w:spacing w:after="0"/>
              <w:rPr>
                <w:sz w:val="20"/>
                <w:szCs w:val="20"/>
                <w:color w:val="auto"/>
              </w:rPr>
            </w:pPr>
          </w:p>
        </w:tc>
        <w:tc>
          <w:tcPr>
            <w:tcW w:w="1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December 31, 2021</w:t>
            </w:r>
          </w:p>
        </w:tc>
      </w:tr>
      <w:tr>
        <w:trPr>
          <w:trHeight w:val="248"/>
        </w:trPr>
        <w:tc>
          <w:tcPr>
            <w:tcW w:w="7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Centuri accounts receivable for services provided to Southwest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15,166</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9" w:name="page30"/>
    <w:bookmarkEnd w:id="29"/>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reconcile (below) to net income as disclosed in the Condensed Consolidated Statements of Income, an Other column is included associated with impacts of corporate and administrative activities related to Southwest Gas Holdings, Inc. The financial information pertaining to the natural gas distribution, utility infrastructure services, and pipeline and storage segments are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w w:val="99"/>
              </w:rPr>
              <w:t>Natural Gas</w:t>
            </w:r>
          </w:p>
        </w:tc>
        <w:tc>
          <w:tcPr>
            <w:tcW w:w="18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Utility</w:t>
            </w:r>
          </w:p>
        </w:tc>
        <w:tc>
          <w:tcPr>
            <w:tcW w:w="200" w:type="dxa"/>
            <w:vAlign w:val="bottom"/>
          </w:tcPr>
          <w:p>
            <w:pPr>
              <w:spacing w:after="0"/>
              <w:rPr>
                <w:sz w:val="17"/>
                <w:szCs w:val="17"/>
                <w:color w:val="auto"/>
              </w:rPr>
            </w:pPr>
          </w:p>
        </w:tc>
        <w:tc>
          <w:tcPr>
            <w:tcW w:w="13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w w:val="98"/>
              </w:rPr>
              <w:t>Pipeline and</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color w:val="auto"/>
                <w:w w:val="99"/>
              </w:rPr>
              <w:t>Infrastructure</w:t>
            </w:r>
          </w:p>
        </w:tc>
        <w:tc>
          <w:tcPr>
            <w:tcW w:w="2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00" w:type="dxa"/>
            <w:vAlign w:val="bottom"/>
          </w:tcPr>
          <w:p>
            <w:pPr>
              <w:spacing w:after="0"/>
              <w:rPr>
                <w:sz w:val="21"/>
                <w:szCs w:val="21"/>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Distribution</w:t>
            </w:r>
          </w:p>
        </w:tc>
        <w:tc>
          <w:tcPr>
            <w:tcW w:w="180" w:type="dxa"/>
            <w:vAlign w:val="bottom"/>
          </w:tcPr>
          <w:p>
            <w:pPr>
              <w:spacing w:after="0"/>
              <w:rPr>
                <w:sz w:val="21"/>
                <w:szCs w:val="21"/>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Services</w:t>
            </w: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Storage</w:t>
            </w:r>
          </w:p>
        </w:tc>
        <w:tc>
          <w:tcPr>
            <w:tcW w:w="320" w:type="dxa"/>
            <w:vAlign w:val="bottom"/>
          </w:tcPr>
          <w:p>
            <w:pPr>
              <w:spacing w:after="0"/>
              <w:rPr>
                <w:sz w:val="21"/>
                <w:szCs w:val="21"/>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1"/>
                <w:szCs w:val="21"/>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9"/>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June 30, 2022</w:t>
            </w: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377,942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672,119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62,088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1,112,149</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33,971</w:t>
            </w:r>
          </w:p>
        </w:tc>
        <w:tc>
          <w:tcPr>
            <w:tcW w:w="0" w:type="dxa"/>
            <w:vAlign w:val="bottom"/>
          </w:tcPr>
          <w:p>
            <w:pPr>
              <w:spacing w:after="0"/>
              <w:rPr>
                <w:sz w:val="1"/>
                <w:szCs w:val="1"/>
                <w:color w:val="auto"/>
              </w:rPr>
            </w:pPr>
          </w:p>
        </w:tc>
      </w:tr>
      <w:tr>
        <w:trPr>
          <w:trHeight w:val="223"/>
        </w:trPr>
        <w:tc>
          <w:tcPr>
            <w:tcW w:w="3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377,942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706,090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62,088</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1,146,120</w:t>
            </w: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income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June 30, 2021</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292,796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504,941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797,737</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23,684</w:t>
            </w:r>
          </w:p>
        </w:tc>
        <w:tc>
          <w:tcPr>
            <w:tcW w:w="0" w:type="dxa"/>
            <w:vAlign w:val="bottom"/>
          </w:tcPr>
          <w:p>
            <w:pPr>
              <w:spacing w:after="0"/>
              <w:rPr>
                <w:sz w:val="1"/>
                <w:szCs w:val="1"/>
                <w:color w:val="auto"/>
              </w:rPr>
            </w:pPr>
          </w:p>
        </w:tc>
      </w:tr>
      <w:tr>
        <w:trPr>
          <w:trHeight w:val="223"/>
        </w:trPr>
        <w:tc>
          <w:tcPr>
            <w:tcW w:w="3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292,796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528,625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821,421</w:t>
            </w: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income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25,119</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3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w w:val="99"/>
              </w:rPr>
              <w:t>Natural Gas</w:t>
            </w:r>
          </w:p>
        </w:tc>
        <w:tc>
          <w:tcPr>
            <w:tcW w:w="180" w:type="dxa"/>
            <w:vAlign w:val="bottom"/>
          </w:tcPr>
          <w:p>
            <w:pPr>
              <w:spacing w:after="0"/>
              <w:rPr>
                <w:sz w:val="24"/>
                <w:szCs w:val="24"/>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Utility</w:t>
            </w:r>
          </w:p>
        </w:tc>
        <w:tc>
          <w:tcPr>
            <w:tcW w:w="200" w:type="dxa"/>
            <w:vAlign w:val="bottom"/>
          </w:tcPr>
          <w:p>
            <w:pPr>
              <w:spacing w:after="0"/>
              <w:rPr>
                <w:sz w:val="24"/>
                <w:szCs w:val="24"/>
                <w:color w:val="auto"/>
              </w:rPr>
            </w:pPr>
          </w:p>
        </w:tc>
        <w:tc>
          <w:tcPr>
            <w:tcW w:w="13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w w:val="98"/>
              </w:rPr>
              <w:t>Pipeline and</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color w:val="auto"/>
                <w:w w:val="99"/>
              </w:rPr>
              <w:t>Infrastructure</w:t>
            </w:r>
          </w:p>
        </w:tc>
        <w:tc>
          <w:tcPr>
            <w:tcW w:w="2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00" w:type="dxa"/>
            <w:vAlign w:val="bottom"/>
          </w:tcPr>
          <w:p>
            <w:pPr>
              <w:spacing w:after="0"/>
              <w:rPr>
                <w:sz w:val="21"/>
                <w:szCs w:val="21"/>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Operations</w:t>
            </w:r>
          </w:p>
        </w:tc>
        <w:tc>
          <w:tcPr>
            <w:tcW w:w="180" w:type="dxa"/>
            <w:vAlign w:val="bottom"/>
          </w:tcPr>
          <w:p>
            <w:pPr>
              <w:spacing w:after="0"/>
              <w:rPr>
                <w:sz w:val="21"/>
                <w:szCs w:val="21"/>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Services</w:t>
            </w: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Storage</w:t>
            </w:r>
          </w:p>
        </w:tc>
        <w:tc>
          <w:tcPr>
            <w:tcW w:w="320" w:type="dxa"/>
            <w:vAlign w:val="bottom"/>
          </w:tcPr>
          <w:p>
            <w:pPr>
              <w:spacing w:after="0"/>
              <w:rPr>
                <w:sz w:val="21"/>
                <w:szCs w:val="21"/>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1"/>
                <w:szCs w:val="21"/>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Six Months Ended June 30, 2022</w:t>
            </w: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1,054,481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1,167,663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129,081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2,351,225</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62,304</w:t>
            </w:r>
          </w:p>
        </w:tc>
        <w:tc>
          <w:tcPr>
            <w:tcW w:w="0" w:type="dxa"/>
            <w:vAlign w:val="bottom"/>
          </w:tcPr>
          <w:p>
            <w:pPr>
              <w:spacing w:after="0"/>
              <w:rPr>
                <w:sz w:val="1"/>
                <w:szCs w:val="1"/>
                <w:color w:val="auto"/>
              </w:rPr>
            </w:pPr>
          </w:p>
        </w:tc>
      </w:tr>
      <w:tr>
        <w:trPr>
          <w:trHeight w:val="223"/>
        </w:trPr>
        <w:tc>
          <w:tcPr>
            <w:tcW w:w="3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1,054,481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1,229,967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129,081</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2,413,529</w:t>
            </w: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income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89,603</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Six Months Ended June 30, 2021</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814,728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844,713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1,659,441</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47,887</w:t>
            </w:r>
          </w:p>
        </w:tc>
        <w:tc>
          <w:tcPr>
            <w:tcW w:w="0" w:type="dxa"/>
            <w:vAlign w:val="bottom"/>
          </w:tcPr>
          <w:p>
            <w:pPr>
              <w:spacing w:after="0"/>
              <w:rPr>
                <w:sz w:val="1"/>
                <w:szCs w:val="1"/>
                <w:color w:val="auto"/>
              </w:rPr>
            </w:pPr>
          </w:p>
        </w:tc>
      </w:tr>
      <w:tr>
        <w:trPr>
          <w:trHeight w:val="223"/>
        </w:trPr>
        <w:tc>
          <w:tcPr>
            <w:tcW w:w="3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814,728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892,600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1,707,328</w:t>
            </w: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income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142,412</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3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w w:val="99"/>
              </w:rPr>
              <w:t>Natural Gas</w:t>
            </w:r>
          </w:p>
        </w:tc>
        <w:tc>
          <w:tcPr>
            <w:tcW w:w="180" w:type="dxa"/>
            <w:vAlign w:val="bottom"/>
          </w:tcPr>
          <w:p>
            <w:pPr>
              <w:spacing w:after="0"/>
              <w:rPr>
                <w:sz w:val="23"/>
                <w:szCs w:val="23"/>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Utility</w:t>
            </w:r>
          </w:p>
        </w:tc>
        <w:tc>
          <w:tcPr>
            <w:tcW w:w="200" w:type="dxa"/>
            <w:vAlign w:val="bottom"/>
          </w:tcPr>
          <w:p>
            <w:pPr>
              <w:spacing w:after="0"/>
              <w:rPr>
                <w:sz w:val="23"/>
                <w:szCs w:val="23"/>
                <w:color w:val="auto"/>
              </w:rPr>
            </w:pPr>
          </w:p>
        </w:tc>
        <w:tc>
          <w:tcPr>
            <w:tcW w:w="13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w w:val="98"/>
              </w:rPr>
              <w:t>Pipeline and</w:t>
            </w: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center"/>
              <w:ind w:right="280"/>
              <w:spacing w:after="0" w:line="181" w:lineRule="exact"/>
              <w:rPr>
                <w:sz w:val="20"/>
                <w:szCs w:val="20"/>
                <w:color w:val="auto"/>
              </w:rPr>
            </w:pPr>
            <w:r>
              <w:rPr>
                <w:rFonts w:ascii="Times New Roman" w:cs="Times New Roman" w:eastAsia="Times New Roman" w:hAnsi="Times New Roman"/>
                <w:sz w:val="18"/>
                <w:szCs w:val="18"/>
                <w:color w:val="auto"/>
                <w:w w:val="99"/>
              </w:rPr>
              <w:t>Infrastructure</w:t>
            </w:r>
          </w:p>
        </w:tc>
        <w:tc>
          <w:tcPr>
            <w:tcW w:w="2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5"/>
                <w:szCs w:val="15"/>
                <w:color w:val="auto"/>
              </w:rPr>
            </w:pPr>
          </w:p>
        </w:tc>
        <w:tc>
          <w:tcPr>
            <w:tcW w:w="114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0"/>
        </w:trPr>
        <w:tc>
          <w:tcPr>
            <w:tcW w:w="35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Distribution</w:t>
            </w:r>
          </w:p>
        </w:tc>
        <w:tc>
          <w:tcPr>
            <w:tcW w:w="180" w:type="dxa"/>
            <w:vAlign w:val="bottom"/>
          </w:tcPr>
          <w:p>
            <w:pPr>
              <w:spacing w:after="0"/>
              <w:rPr>
                <w:sz w:val="19"/>
                <w:szCs w:val="19"/>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Services</w:t>
            </w:r>
          </w:p>
        </w:tc>
        <w:tc>
          <w:tcPr>
            <w:tcW w:w="200" w:type="dxa"/>
            <w:vAlign w:val="bottom"/>
          </w:tcPr>
          <w:p>
            <w:pPr>
              <w:spacing w:after="0"/>
              <w:rPr>
                <w:sz w:val="19"/>
                <w:szCs w:val="19"/>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Storage</w:t>
            </w:r>
          </w:p>
        </w:tc>
        <w:tc>
          <w:tcPr>
            <w:tcW w:w="3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Twelve Months Ended June 30, 2022</w:t>
            </w: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1,761,543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2,379,265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129,081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4,269,889</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116,763</w:t>
            </w:r>
          </w:p>
        </w:tc>
        <w:tc>
          <w:tcPr>
            <w:tcW w:w="0" w:type="dxa"/>
            <w:vAlign w:val="bottom"/>
          </w:tcPr>
          <w:p>
            <w:pPr>
              <w:spacing w:after="0"/>
              <w:rPr>
                <w:sz w:val="1"/>
                <w:szCs w:val="1"/>
                <w:color w:val="auto"/>
              </w:rPr>
            </w:pPr>
          </w:p>
        </w:tc>
      </w:tr>
      <w:tr>
        <w:trPr>
          <w:trHeight w:val="223"/>
        </w:trPr>
        <w:tc>
          <w:tcPr>
            <w:tcW w:w="3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1,761,543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2,496,028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129,081</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4,386,652</w:t>
            </w: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income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147,970</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Twelve Months Ended June 30, 2021</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1,400,052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1,899,961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3,300,013</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112,621</w:t>
            </w:r>
          </w:p>
        </w:tc>
        <w:tc>
          <w:tcPr>
            <w:tcW w:w="0" w:type="dxa"/>
            <w:vAlign w:val="bottom"/>
          </w:tcPr>
          <w:p>
            <w:pPr>
              <w:spacing w:after="0"/>
              <w:rPr>
                <w:sz w:val="1"/>
                <w:szCs w:val="1"/>
                <w:color w:val="auto"/>
              </w:rPr>
            </w:pPr>
          </w:p>
        </w:tc>
      </w:tr>
      <w:tr>
        <w:trPr>
          <w:trHeight w:val="223"/>
        </w:trPr>
        <w:tc>
          <w:tcPr>
            <w:tcW w:w="3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1,400,052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2,012,582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3,412,634</w:t>
            </w: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income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264,229</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3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5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0" w:name="page31"/>
    <w:bookmarkEnd w:id="30"/>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corporate and administrative activities for Southwest Gas Holdings, Inc. in the three-, six-, and twelve-month periods ended June 30, 2022 include expenses incurred related to shareholder activism and related settlement activities, expenses incurred in conducting the Strategic Review, and expenses and financing costs for the MountainWest acquisition.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Business Acquisitions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2021, the Company, through its subsidiaries, led principally by Centuri, completed the acquisition of Drum, including its primary subsidiary, Riggs Distler. In November 2021, certain members of Riggs Distler management acquired a 1.42% interest in Drum. See the Company’s 2021 Form 10-K for additional information about this acquisition.</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Assets acquired and liabilities assumed in the transaction were recorded at their acquisition date fair values. Transaction costs associated with the acquisition were expensed as incurred. The Company’s allocation of the purchase price was based on an evaluation of the appropriate fair values and represented management’s best estimate based on available data (including market data, data regarding customers of the acquired businesses, terms of acquisition-related agreements, analysis of historical and projected results, and other types of data). The analysis included consideration of types of intangibles that were acquired, including customer relationships, trade name, and backlog. Certain payments were estimated as of the acquisition date and were adjusted when amounts were finalized. Further adjustments may still occur. Due to the estimations made, the final purchase accounting has not yet been completed and further refinements may occur, including potential changes to income taxes.</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preliminary estimated fair values of assets acquired and liabilities assumed as of August 27, 2021, and as updated through June 30, 2022, are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Measurement Period</w:t>
            </w:r>
          </w:p>
        </w:tc>
        <w:tc>
          <w:tcPr>
            <w:tcW w:w="140" w:type="dxa"/>
            <w:vAlign w:val="bottom"/>
          </w:tcPr>
          <w:p>
            <w:pPr>
              <w:spacing w:after="0"/>
              <w:rPr>
                <w:sz w:val="17"/>
                <w:szCs w:val="17"/>
                <w:color w:val="auto"/>
              </w:rPr>
            </w:pPr>
          </w:p>
        </w:tc>
        <w:tc>
          <w:tcPr>
            <w:tcW w:w="1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Revised Acquisition</w:t>
            </w: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 of dollars)</w:t>
            </w:r>
          </w:p>
        </w:tc>
        <w:tc>
          <w:tcPr>
            <w:tcW w:w="180" w:type="dxa"/>
            <w:vAlign w:val="bottom"/>
          </w:tcPr>
          <w:p>
            <w:pPr>
              <w:spacing w:after="0"/>
              <w:rPr>
                <w:sz w:val="21"/>
                <w:szCs w:val="21"/>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Acquisition Date</w:t>
            </w:r>
          </w:p>
        </w:tc>
        <w:tc>
          <w:tcPr>
            <w:tcW w:w="140" w:type="dxa"/>
            <w:vAlign w:val="bottom"/>
          </w:tcPr>
          <w:p>
            <w:pPr>
              <w:spacing w:after="0"/>
              <w:rPr>
                <w:sz w:val="21"/>
                <w:szCs w:val="21"/>
                <w:color w:val="auto"/>
              </w:rPr>
            </w:pP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Adjustments</w:t>
            </w:r>
          </w:p>
        </w:tc>
        <w:tc>
          <w:tcPr>
            <w:tcW w:w="140" w:type="dxa"/>
            <w:vAlign w:val="bottom"/>
          </w:tcPr>
          <w:p>
            <w:pPr>
              <w:spacing w:after="0"/>
              <w:rPr>
                <w:sz w:val="21"/>
                <w:szCs w:val="21"/>
                <w:color w:val="auto"/>
              </w:rPr>
            </w:pPr>
          </w:p>
        </w:tc>
        <w:tc>
          <w:tcPr>
            <w:tcW w:w="16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Date</w:t>
            </w:r>
          </w:p>
        </w:tc>
      </w:tr>
      <w:tr>
        <w:trPr>
          <w:trHeight w:val="223"/>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receivable, net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 under operating leases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w:t>
            </w: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r>
      <w:tr>
        <w:trPr>
          <w:trHeight w:val="223"/>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988.7</w:t>
            </w:r>
          </w:p>
        </w:tc>
      </w:tr>
      <w:tr>
        <w:trPr>
          <w:trHeight w:val="236"/>
        </w:trPr>
        <w:tc>
          <w:tcPr>
            <w:tcW w:w="5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and other payables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r>
      <w:tr>
        <w:trPr>
          <w:trHeight w:val="223"/>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 assumed and noncontrolling interest</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w:t>
            </w: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824.1</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incurred and expensed acquisition costs of $14 million, included in Utility infrastructure services expenses in the Company’s Condensed Consolidated Statement of Income for the twelve months ended June 30, 2022. No acquisition-related costs were incurred during the three and six months ended June 30, 2022, and no significant impacts to earnings resulted from the measurement-period adjustments reflected above.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2021 Southwest Gas Holdings, Inc. completed the acquisition of Dominion Energy Questar Pipeline, LLC and related entities (subsequently rebranded as “MountainWest”), which resulted in MountainWest becoming a wholly owned subsidiary of the Company. See the Company’s 2021 Form 10-K for additional information about this acquisition.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Assets acquired and liabilities assumed in the transaction were recorded at their acquisition date fair values. Transaction costs associated with the acquisition were expensed as incurred. The majority of the operations acquired are subject to FERC rate-regulation and therefore are accounted for pursuant to ASC 980, </w:t>
      </w:r>
      <w:r>
        <w:rPr>
          <w:rFonts w:ascii="Times New Roman" w:cs="Times New Roman" w:eastAsia="Times New Roman" w:hAnsi="Times New Roman"/>
          <w:sz w:val="18"/>
          <w:szCs w:val="18"/>
          <w:i w:val="1"/>
          <w:iCs w:val="1"/>
          <w:color w:val="auto"/>
        </w:rPr>
        <w:t>Regulated Operations</w:t>
      </w:r>
      <w:r>
        <w:rPr>
          <w:rFonts w:ascii="Times New Roman" w:cs="Times New Roman" w:eastAsia="Times New Roman" w:hAnsi="Times New Roman"/>
          <w:sz w:val="18"/>
          <w:szCs w:val="18"/>
          <w:color w:val="auto"/>
        </w:rPr>
        <w:t>. The fair values of MountainWest’s</w:t>
      </w: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1" w:name="page32"/>
    <w:bookmarkEnd w:id="31"/>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assets and liabilities, subject to rate making and cost recovery provisions, provide revenues derived from costs of service, including a return on investment of assets and liabilities included in rate base. Accordingly, the carrying values of such assets and liabilities were deemed to approximate their fair values. The fair value of the MountainWest assets and liabilities assumed that are not subject to the rate-regulation provisions discussed above include a 50% equity method investment, non-regulated property, plant and equipment, and long-term debt assumed; related fair values were determined using a market approach, income approach, or cost approach, as appropriate. Amounts related to post-closing payments and deferred taxes were estimated as of the acquisition date and adjusted when determined during the period ended June 30, 2022. No other measurement period adjustments occurred during the period. However, the final purchase accounting has not yet been completed and further refinements may occur, including finalization of income tax-related amounts.</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preliminary estimated fair values of assets acquired and liabilities assumed as of December 31, 2021, and as updated through June 30, 2022, are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Measurement Period</w:t>
            </w:r>
          </w:p>
        </w:tc>
        <w:tc>
          <w:tcPr>
            <w:tcW w:w="120" w:type="dxa"/>
            <w:vAlign w:val="bottom"/>
          </w:tcPr>
          <w:p>
            <w:pPr>
              <w:spacing w:after="0"/>
              <w:rPr>
                <w:sz w:val="17"/>
                <w:szCs w:val="17"/>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Revised Acquisition</w:t>
            </w:r>
          </w:p>
        </w:tc>
      </w:tr>
      <w:tr>
        <w:trPr>
          <w:trHeight w:val="24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 of dollars)</w:t>
            </w:r>
          </w:p>
        </w:tc>
        <w:tc>
          <w:tcPr>
            <w:tcW w:w="180" w:type="dxa"/>
            <w:vAlign w:val="bottom"/>
          </w:tcPr>
          <w:p>
            <w:pPr>
              <w:spacing w:after="0"/>
              <w:rPr>
                <w:sz w:val="21"/>
                <w:szCs w:val="21"/>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Acquisition Date</w:t>
            </w:r>
          </w:p>
        </w:tc>
        <w:tc>
          <w:tcPr>
            <w:tcW w:w="260" w:type="dxa"/>
            <w:vAlign w:val="bottom"/>
          </w:tcPr>
          <w:p>
            <w:pPr>
              <w:spacing w:after="0"/>
              <w:rPr>
                <w:sz w:val="21"/>
                <w:szCs w:val="21"/>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Adjustments</w:t>
            </w:r>
          </w:p>
        </w:tc>
        <w:tc>
          <w:tcPr>
            <w:tcW w:w="120" w:type="dxa"/>
            <w:vAlign w:val="bottom"/>
          </w:tcPr>
          <w:p>
            <w:pPr>
              <w:spacing w:after="0"/>
              <w:rPr>
                <w:sz w:val="21"/>
                <w:szCs w:val="21"/>
                <w:color w:val="auto"/>
              </w:rPr>
            </w:pPr>
          </w:p>
        </w:tc>
        <w:tc>
          <w:tcPr>
            <w:tcW w:w="15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Date</w:t>
            </w:r>
          </w:p>
        </w:tc>
      </w:tr>
      <w:tr>
        <w:trPr>
          <w:trHeight w:val="223"/>
        </w:trPr>
        <w:tc>
          <w:tcPr>
            <w:tcW w:w="5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Gas plant, net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1,047.4</w:t>
            </w:r>
          </w:p>
        </w:tc>
      </w:tr>
      <w:tr>
        <w:trPr>
          <w:trHeight w:val="22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property and investments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3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 of allowances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3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2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2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958.0</w:t>
            </w:r>
          </w:p>
        </w:tc>
      </w:tr>
      <w:tr>
        <w:trPr>
          <w:trHeight w:val="230"/>
        </w:trPr>
        <w:tc>
          <w:tcPr>
            <w:tcW w:w="5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23"/>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2,198.6</w:t>
            </w:r>
          </w:p>
        </w:tc>
      </w:tr>
      <w:tr>
        <w:trPr>
          <w:trHeight w:val="237"/>
        </w:trPr>
        <w:tc>
          <w:tcPr>
            <w:tcW w:w="5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3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w:t>
            </w:r>
          </w:p>
        </w:tc>
      </w:tr>
      <w:tr>
        <w:trPr>
          <w:trHeight w:val="23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purchased gas costs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deposits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general taxes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3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removal costs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3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deferred credits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r>
      <w:tr>
        <w:trPr>
          <w:trHeight w:val="223"/>
        </w:trPr>
        <w:tc>
          <w:tcPr>
            <w:tcW w:w="5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8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627.4</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627.4</w:t>
            </w:r>
          </w:p>
        </w:tc>
      </w:tr>
      <w:tr>
        <w:trPr>
          <w:trHeight w:val="248"/>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1,571.2</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incurred and expensed acquisition costs of $18.5 million for the twelve months ended June 30, 2022, which are included in Operations and maintenance expense on the Company’s Condensed Consolidated Statement of Income. No acquisition-related costs were incurred during the six months ended June 30, 2022 and no impacts to earnings resulted from the measurement-period adjustments reflected above. The Company has a transition services agreement with the sellers for a period of up to twelve months from the acquisition date of December 31, 2021, to continue certain corporate and administrative functions for the entities acquired while MountainWest is established as an independent enterprise.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2" w:name="page33"/>
    <w:bookmarkEnd w:id="32"/>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2022</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Southwest Gas Holdings, Inc. is a holding company that owns all of the shares of common stock of Southwest Gas Corporation (“Southwest” or the “natural gas distribution” segment), all of the shares of common stock of Centuri Group, Inc. (“Centuri,” or the “utility infrastructure services” segment), as well as all of the common stock of the newly formed MountainWest Pipelines Holding Company (“MountainWest,” or the “pipeline and storage” segment). Southwest Gas Holdings, Inc. and its subsidiaries are collectively referred to as the “Company.”</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completed the acquisition of Dominion Energy Questar Pipeline, LLC (“Questar Pipelines”) and related entities in December 2021. Following the acquisition, the Company formed MountainWest, which owns all of the membership interests of Questar Pipelines. In April 2022, the Company completed a general rebranding of the Questar Pipelines entities under the MountainWest name. The acquired operations further diversify the Company’s business including an essential Rocky Mountain energy hub with over 2,000 miles of highly contracted, FERC-regulated interstate natural gas pipelines providing transportation and underground storage services in Utah, Wyoming, and Colorado.</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2021, our Board of Directors (the “Board”) authorized and declared a dividend of one preferred stock purchase right for each share of common stock outstanding to stockholders of record at the close of business on October 21, 2021, in accordance with the terms and conditions set forth in the Rights Agreement.</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2022, the Company announced that the Board had determined to separate Centuri from the Company and authorized management to complete the separation within nine to twelve months from the date of such announcement. In April 2022, as a result of interest in the Company well in excess of a tender offer to other of our stockholders by an activist stockholder (affiliates of Carl C. Icahn), the Board authorized the review of a full range of strategic alternatives intended to maximize stockholder value. As part of this process, a strategic transactions committee of the Board, consisting entirely of independent directors, would evaluate a sale of the Company, as well as a range of alternatives, including, but not limited to, a separate sale of its business units and/or pursuing the spin-off of Centuri (collectively, the “Strategic Review”). On August 3, 2022, the Company announced that the Board had unanimously determined that the best path forward to maximize value for all stockholders is to (i) focus on the strategic plan and conclude the strategic review process for Southwest Gas Holdings, Inc. and Southwest Gas Corporation; (ii) continue to review strategic alternatives for MountainWest; and (iii) continue to review strategic alternatives for Centuri, including a sale or spin-off of Centuri. There can be no assurances that the strategic alternatives considered will be executed or maximize value as intended. See “</w:t>
      </w:r>
      <w:r>
        <w:rPr>
          <w:rFonts w:ascii="Times New Roman" w:cs="Times New Roman" w:eastAsia="Times New Roman" w:hAnsi="Times New Roman"/>
          <w:sz w:val="18"/>
          <w:szCs w:val="18"/>
          <w:b w:val="1"/>
          <w:bCs w:val="1"/>
          <w:color w:val="auto"/>
        </w:rPr>
        <w:t>Item 1A - Risk Factors</w:t>
      </w:r>
      <w:r>
        <w:rPr>
          <w:rFonts w:ascii="Times New Roman" w:cs="Times New Roman" w:eastAsia="Times New Roman" w:hAnsi="Times New Roman"/>
          <w:sz w:val="18"/>
          <w:szCs w:val="18"/>
          <w:color w:val="auto"/>
        </w:rPr>
        <w:t>” included elsewhere in this Quarterly Report on Form 10-Q.</w:t>
      </w:r>
    </w:p>
    <w:p>
      <w:pPr>
        <w:spacing w:after="0" w:line="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As described in </w:t>
      </w:r>
      <w:r>
        <w:rPr>
          <w:rFonts w:ascii="Times New Roman" w:cs="Times New Roman" w:eastAsia="Times New Roman" w:hAnsi="Times New Roman"/>
          <w:sz w:val="18"/>
          <w:szCs w:val="18"/>
          <w:b w:val="1"/>
          <w:bCs w:val="1"/>
          <w:color w:val="auto"/>
        </w:rPr>
        <w:t>Note 1 – Background, Organization, and Summary of Significant Accounting Policies</w:t>
      </w:r>
      <w:r>
        <w:rPr>
          <w:rFonts w:ascii="Times New Roman" w:cs="Times New Roman" w:eastAsia="Times New Roman" w:hAnsi="Times New Roman"/>
          <w:sz w:val="18"/>
          <w:szCs w:val="18"/>
          <w:color w:val="auto"/>
        </w:rPr>
        <w:t>, on May 6, 2022, the Company entered into a Cooperation Agreement (“Cooperation Agreement”) with Carl C. Icahn and the persons and entities named therein (the “Icahn Group”). In accordance with the Cooperation Agreement, among other things, (i) Karen S. Haller has replaced John C. Hester as the Company’s President and Chief Executive Officer,</w:t>
      </w:r>
    </w:p>
    <w:p>
      <w:pPr>
        <w:jc w:val="both"/>
        <w:ind w:firstLine="8"/>
        <w:spacing w:after="0" w:line="252" w:lineRule="auto"/>
        <w:tabs>
          <w:tab w:leader="none" w:pos="26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Icahn Group received the right to designate three directors to the Company’s Board, subject to certain ongoing ownership conditions, (iii) the Icahn Group agreed to consummate its previously announced tender offer for any and all shares of the Company’s common stock, which occurred on May 20, 2022, and (iv) the Icahn Group caused its affiliates to file a stipulation of dismissal with prejudice dismissing the action filed by them on November 29, 2021, which was entered by the Delaware Court of Chancery on May 9, 2022. See </w:t>
      </w:r>
      <w:r>
        <w:rPr>
          <w:rFonts w:ascii="Times New Roman" w:cs="Times New Roman" w:eastAsia="Times New Roman" w:hAnsi="Times New Roman"/>
          <w:sz w:val="18"/>
          <w:szCs w:val="18"/>
          <w:b w:val="1"/>
          <w:bCs w:val="1"/>
          <w:color w:val="auto"/>
        </w:rPr>
        <w:t>Note 1 – Background, Organization, and 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Accounting Policies </w:t>
      </w:r>
      <w:r>
        <w:rPr>
          <w:rFonts w:ascii="Times New Roman" w:cs="Times New Roman" w:eastAsia="Times New Roman" w:hAnsi="Times New Roman"/>
          <w:sz w:val="18"/>
          <w:szCs w:val="18"/>
          <w:color w:val="auto"/>
        </w:rPr>
        <w:t>for more information. Separately, Justin L. Brown was appointed President of Southwest, while Ms. Haller assumed the role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Southwest’s Chief Executive Officer following the retirement of Mr. Hester from the same position.</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Southwest is engaged in the business of purchasing, distributing, and transporting natural gas for customers in portions of Arizona, Nevada, and California. Southwest is the largest distributor of natural gas in Arizona and Nevada, and distributes and transports natural gas for customers in portions of California. Additionally, through its subsidiaries, Southwest operates two regulated interstate pipelines serving portions of the northern territories of Nevada and California.</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As of June 30, 2022, Southwest had 2,174,000 residential, commercial, industrial, and other natural gas customers, of which 1,162,000 customers were located in Arizona, 808,000 in Nevada, and 204,000 in California. In January 2022, approximately 5,300 customers became part of Southwest’s gas distribution operations that were formerly served by Graham County Utilities (“GCU”). </w:t>
      </w:r>
      <w:r>
        <w:rPr>
          <w:rFonts w:ascii="Times New Roman" w:cs="Times New Roman" w:eastAsia="Times New Roman" w:hAnsi="Times New Roman"/>
          <w:sz w:val="18"/>
          <w:szCs w:val="18"/>
          <w:color w:val="212529"/>
        </w:rPr>
        <w:t>Over the past twelve months, first-time meter sets were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approximately 39,000, compared to 37,000 for the twelve months ended June 2021. </w:t>
      </w:r>
      <w:r>
        <w:rPr>
          <w:rFonts w:ascii="Times New Roman" w:cs="Times New Roman" w:eastAsia="Times New Roman" w:hAnsi="Times New Roman"/>
          <w:sz w:val="18"/>
          <w:szCs w:val="18"/>
          <w:color w:val="000000"/>
        </w:rPr>
        <w:t>Residential and small commercial customers represented over 99% of</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the total customer base. During the twelve months ended June 30, 2022, 54% of operating margin (Regulated operations revenues less the net cost of gas sold) was earned in Arizona, 34% in Nevada, and 12% in California. During this same period, Southwest earned 85% of its operating margin from residential and small commercial customers, 4% from other sales customers, and 11% from transportation customers. These patterns are expected to remain materially consistent for the foreseeable future.</w:t>
      </w: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3" w:name="page34"/>
    <w:bookmarkEnd w:id="33"/>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Southwest recognizes operating revenues from the distribution and transportation of natural gas (and related services) to customers. Operating margin is a financial measure defined by management as Regulated operations revenues less the net cost of gas sold. However, operating margin is not specifically defined in accounting principles generally accepted in the United States (“U.S. GAAP”). Thus, operating margin is considered a non-GAAP measure. Management uses this financial measure because Regulated operations revenues include the net cost of gas sold, which is a tracked cost that is passed through to customers without markup under purchased gas adjustment (“PGA”) mechanisms. Fluctuations in the net cost of gas sold impact revenues on a dollar-for-dollar basis, but do not impact operating margin or operating income. Therefore, management believes operating margin provides investors and other interested parties with useful and relevant information to analyze Southwest’s financial performance in a rate-regulated environment. The principal factors affecting changes in operating margin are general rate relief (including impacts of infrastructure trackers) and customer growth. Commission decisions on the amount and timing of such relief may impact our earnings. Refer to the Summary Operating Results table below for a reconciliation of gross margin to operating margin, and refer to </w:t>
      </w:r>
      <w:r>
        <w:rPr>
          <w:rFonts w:ascii="Times New Roman" w:cs="Times New Roman" w:eastAsia="Times New Roman" w:hAnsi="Times New Roman"/>
          <w:sz w:val="18"/>
          <w:szCs w:val="18"/>
          <w:i w:val="1"/>
          <w:iCs w:val="1"/>
          <w:color w:val="auto"/>
        </w:rPr>
        <w:t>Rates and Regulatory Proceedings</w:t>
      </w:r>
      <w:r>
        <w:rPr>
          <w:rFonts w:ascii="Times New Roman" w:cs="Times New Roman" w:eastAsia="Times New Roman" w:hAnsi="Times New Roman"/>
          <w:sz w:val="18"/>
          <w:szCs w:val="18"/>
          <w:color w:val="auto"/>
        </w:rPr>
        <w:t xml:space="preserve"> in this Management’s Discussion and Analysis, for details of various rate proceedings.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demand for natural gas is seasonal, with greater demand in the colder winter months and decreased demand in the warmer summer months. All of Southwest’s service territories have decoupled rate structures (alternative revenue programs), which are designed to eliminate the direct link between volumetric sales and revenue, thereby mitigating the impacts of unusual weather variability and conservation on operating margin, allowing Southwest to pursue energy efficiency initiatives.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Centuri is a strategic infrastructure services company that partners with regulated utilities to build and maintain the energy network that powers millions of homes and businesses across the United States (“U.S.”) and Canada. With an unwavering commitment to serve as long-term partners to customers and communities, Centuri’s employees enable regulated utilities to safely and reliably deliver natural gas and electricity, as well as achieve their goals for environmental sustainability. Centuri operates in 70 primary locations across 45 states and provinces in the U.S. and Canada. Centuri operates in the U.S., primarily as NPL, Neuco, Linetec, and Riggs Distler, and in Canada, primarily as NPL Canada.</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Utility infrastructure services activity can be impacted by changes in infrastructure replacement programs of utilities, weather, and local and federal regulation (including tax rates and incentives). Utilities continue to implement or modify system integrity management programs to enhance safety pursuant to federal and state mandates. These programs have resulted in multi-year utility system replacement projects throughout the U.S. Generally, Centuri revenues are lowest during the first quarter of the year due to less favorable winter weather conditions. Revenues typically improve as more favorable weather conditions occur during the summer and fall months. In cases of severe weather, such as following a regional storm, Centuri may be engaged to perform restoration activities related to above-ground utility infrastructure, and related results impacts are not solely within the control of management. In addition, in certain circumstances, such as with large bid contracts (especially those of a longer duration), or unit-price contracts with revenue caps, results may be impacted by differences between costs incurred and those anticipated when the work was originally bid. Work awarded, or failing to be awarded, by individual large customers can impact operating results.</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MountainWest is an interstate natural gas transmission pipeline company that provides transportation and underground storage services to customers in Utah, Wyoming, and Colorado. A substantial portion of its revenue results from reservation charges, but variable rates are also included as part of its primarily rate-regulated rate structures.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 xml:space="preserve">While the novel coronavirus (“COVID-19”) pandemic has been ongoing since the first quarter of 2020, to date, there has not been a significant disruption in the Company’s supply chains, transportation network, or ability to serve customers. See </w:t>
      </w:r>
      <w:r>
        <w:rPr>
          <w:rFonts w:ascii="Times New Roman" w:cs="Times New Roman" w:eastAsia="Times New Roman" w:hAnsi="Times New Roman"/>
          <w:sz w:val="18"/>
          <w:szCs w:val="18"/>
          <w:b w:val="1"/>
          <w:bCs w:val="1"/>
          <w:color w:val="212529"/>
        </w:rPr>
        <w:t>Item 1A “Risk Factors - Operational Risks”</w:t>
      </w:r>
      <w:r>
        <w:rPr>
          <w:rFonts w:ascii="Times New Roman" w:cs="Times New Roman" w:eastAsia="Times New Roman" w:hAnsi="Times New Roman"/>
          <w:sz w:val="18"/>
          <w:szCs w:val="18"/>
          <w:color w:val="212529"/>
        </w:rPr>
        <w:t xml:space="preserve"> in this </w:t>
      </w:r>
      <w:r>
        <w:rPr>
          <w:rFonts w:ascii="Times New Roman" w:cs="Times New Roman" w:eastAsia="Times New Roman" w:hAnsi="Times New Roman"/>
          <w:sz w:val="18"/>
          <w:szCs w:val="18"/>
          <w:color w:val="000000"/>
        </w:rPr>
        <w:t>Quarterly</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Report on Form 10-Q</w:t>
      </w:r>
      <w:r>
        <w:rPr>
          <w:rFonts w:ascii="Times New Roman" w:cs="Times New Roman" w:eastAsia="Times New Roman" w:hAnsi="Times New Roman"/>
          <w:sz w:val="18"/>
          <w:szCs w:val="18"/>
          <w:color w:val="212529"/>
        </w:rPr>
        <w:t>. The extent to which COVID-19 may adversely impact the Company’s business depends on future developments; however,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management does not currently expect impacts to be material to the Company’s liquidity or financial position overall.</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12529"/>
        </w:rPr>
        <w:t>All of our businesses may be impacted by economic conditions that impact businesses generally, such as inflationary impacts on goods and services consumed in the business, labor markets and costs (including in regard to contracted or professional services), and the availability of those resources.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Management’s Discussion and Analysis (“MD&amp;A”) of Financial Condition and Results of Operations should be read in conjunction with the unaudited condensed consolidated financial statements and notes thereto included in this Quarterly Report on Form 10-Q and the audited financial statements and notes thereto, as well as MD&amp;A, included in the 2021 Annual Report to Stockholders, which is incorporated by reference into the 2021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4" w:name="page35"/>
    <w:bookmarkEnd w:id="34"/>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Summary</w:t>
      </w:r>
    </w:p>
    <w:p>
      <w:pPr>
        <w:spacing w:after="0" w:line="11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items discussed in this Executive Summary are intended to provide an overview of the results of the Company’s and Southwest’s operations and are covered in greater detail in later sections of MD&amp;A.</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Summary Operating Results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Period Ended June 30,</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4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Three Months</w:t>
            </w:r>
          </w:p>
        </w:tc>
        <w:tc>
          <w:tcPr>
            <w:tcW w:w="24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Six Months</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color w:val="auto"/>
              </w:rPr>
              <w:t>Twelve Months</w:t>
            </w:r>
          </w:p>
        </w:tc>
      </w:tr>
      <w:tr>
        <w:trPr>
          <w:trHeight w:val="223"/>
        </w:trPr>
        <w:tc>
          <w:tcPr>
            <w:tcW w:w="20" w:type="dxa"/>
            <w:vAlign w:val="bottom"/>
            <w:tcBorders>
              <w:bottom w:val="single" w:sz="8" w:color="CCEEFF"/>
            </w:tcBorders>
          </w:tcPr>
          <w:p>
            <w:pPr>
              <w:spacing w:after="0"/>
              <w:rPr>
                <w:sz w:val="19"/>
                <w:szCs w:val="19"/>
                <w:color w:val="auto"/>
              </w:rPr>
            </w:pPr>
          </w:p>
        </w:tc>
        <w:tc>
          <w:tcPr>
            <w:tcW w:w="40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94"/>
              </w:rPr>
              <w:t>2021</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r>
      <w:tr>
        <w:trPr>
          <w:trHeight w:val="190"/>
        </w:trPr>
        <w:tc>
          <w:tcPr>
            <w:tcW w:w="20" w:type="dxa"/>
            <w:vAlign w:val="bottom"/>
            <w:shd w:val="clear" w:color="auto" w:fill="CCEEFF"/>
          </w:tcPr>
          <w:p>
            <w:pPr>
              <w:spacing w:after="0"/>
              <w:rPr>
                <w:sz w:val="16"/>
                <w:szCs w:val="16"/>
                <w:color w:val="auto"/>
              </w:rPr>
            </w:pPr>
          </w:p>
        </w:tc>
        <w:tc>
          <w:tcPr>
            <w:tcW w:w="4040" w:type="dxa"/>
            <w:vAlign w:val="bottom"/>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Contribution to net income</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9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Natural gas distribution</w:t>
            </w:r>
          </w:p>
        </w:tc>
        <w:tc>
          <w:tcPr>
            <w:tcW w:w="2100" w:type="dxa"/>
            <w:vAlign w:val="bottom"/>
            <w:tcBorders>
              <w:top w:val="single" w:sz="8" w:color="CCEEFF"/>
            </w:tcBorders>
            <w:gridSpan w:val="2"/>
          </w:tcPr>
          <w:p>
            <w:pPr>
              <w:spacing w:after="0"/>
              <w:rPr>
                <w:sz w:val="19"/>
                <w:szCs w:val="19"/>
                <w:color w:val="auto"/>
              </w:rPr>
            </w:pPr>
          </w:p>
        </w:tc>
        <w:tc>
          <w:tcPr>
            <w:tcW w:w="240" w:type="dxa"/>
            <w:vAlign w:val="bottom"/>
            <w:tcBorders>
              <w:top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11,413</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109,529</w:t>
            </w:r>
          </w:p>
        </w:tc>
        <w:tc>
          <w:tcPr>
            <w:tcW w:w="10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130,128</w:t>
            </w: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166,536</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193,705</w:t>
            </w:r>
          </w:p>
        </w:tc>
      </w:tr>
      <w:tr>
        <w:trPr>
          <w:trHeight w:val="229"/>
        </w:trPr>
        <w:tc>
          <w:tcPr>
            <w:tcW w:w="20" w:type="dxa"/>
            <w:vAlign w:val="bottom"/>
            <w:shd w:val="clear" w:color="auto" w:fill="CCEEFF"/>
          </w:tcPr>
          <w:p>
            <w:pPr>
              <w:spacing w:after="0"/>
              <w:rPr>
                <w:sz w:val="19"/>
                <w:szCs w:val="19"/>
                <w:color w:val="auto"/>
              </w:rPr>
            </w:pPr>
          </w:p>
        </w:tc>
        <w:tc>
          <w:tcPr>
            <w:tcW w:w="404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Utility infrastructure services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73,056</w:t>
            </w:r>
          </w:p>
        </w:tc>
      </w:tr>
      <w:tr>
        <w:trPr>
          <w:trHeight w:val="230"/>
        </w:trPr>
        <w:tc>
          <w:tcPr>
            <w:tcW w:w="20" w:type="dxa"/>
            <w:vAlign w:val="bottom"/>
          </w:tcPr>
          <w:p>
            <w:pPr>
              <w:spacing w:after="0"/>
              <w:rPr>
                <w:sz w:val="19"/>
                <w:szCs w:val="19"/>
                <w:color w:val="auto"/>
              </w:rPr>
            </w:pPr>
          </w:p>
        </w:tc>
        <w:tc>
          <w:tcPr>
            <w:tcW w:w="404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Pipeline and storage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404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w:t>
            </w:r>
          </w:p>
        </w:tc>
      </w:tr>
      <w:tr>
        <w:trPr>
          <w:trHeight w:val="223"/>
        </w:trPr>
        <w:tc>
          <w:tcPr>
            <w:tcW w:w="20" w:type="dxa"/>
            <w:vAlign w:val="bottom"/>
          </w:tcPr>
          <w:p>
            <w:pPr>
              <w:spacing w:after="0"/>
              <w:rPr>
                <w:sz w:val="19"/>
                <w:szCs w:val="19"/>
                <w:color w:val="auto"/>
              </w:rPr>
            </w:pPr>
          </w:p>
        </w:tc>
        <w:tc>
          <w:tcPr>
            <w:tcW w:w="4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25,119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89,603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142,412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147,970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264,229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67,045</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58,607</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63,909</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58,106</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62,022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57,348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4040" w:type="dxa"/>
            <w:vAlign w:val="bottom"/>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Basic earnings (loss) per share</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22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40" w:type="dxa"/>
            <w:vAlign w:val="bottom"/>
            <w:tcBorders>
              <w:top w:val="single" w:sz="8" w:color="CCEEFF"/>
            </w:tcBorders>
          </w:tcPr>
          <w:p>
            <w:pPr>
              <w:spacing w:after="0"/>
              <w:rPr>
                <w:sz w:val="19"/>
                <w:szCs w:val="19"/>
                <w:color w:val="auto"/>
              </w:rPr>
            </w:pPr>
          </w:p>
        </w:tc>
        <w:tc>
          <w:tcPr>
            <w:tcW w:w="240" w:type="dxa"/>
            <w:vAlign w:val="bottom"/>
            <w:tcBorders>
              <w:top w:val="single" w:sz="8" w:color="CCEEFF"/>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top w:val="single" w:sz="8" w:color="CCEEFF"/>
            </w:tcBorders>
          </w:tcPr>
          <w:p>
            <w:pPr>
              <w:spacing w:after="0"/>
              <w:rPr>
                <w:sz w:val="19"/>
                <w:szCs w:val="19"/>
                <w:color w:val="auto"/>
              </w:rPr>
            </w:pPr>
          </w:p>
        </w:tc>
        <w:tc>
          <w:tcPr>
            <w:tcW w:w="380" w:type="dxa"/>
            <w:vAlign w:val="bottom"/>
            <w:tcBorders>
              <w:top w:val="single" w:sz="8" w:color="CCEEFF"/>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CCEEFF"/>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40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auto"/>
              </w:rPr>
              <w:t>Natural Gas Distribution</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04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Reconciliation of Gross Margin to Operating Margin</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40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(Non-GAAP measure)</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Utility Gross Margin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99,637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96,353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333,519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329,509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574,335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560,572</w:t>
            </w:r>
          </w:p>
        </w:tc>
      </w:tr>
      <w:tr>
        <w:trPr>
          <w:trHeight w:val="230"/>
        </w:trPr>
        <w:tc>
          <w:tcPr>
            <w:tcW w:w="20" w:type="dxa"/>
            <w:vAlign w:val="bottom"/>
            <w:shd w:val="clear" w:color="auto" w:fill="CCEEFF"/>
          </w:tcPr>
          <w:p>
            <w:pPr>
              <w:spacing w:after="0"/>
              <w:rPr>
                <w:sz w:val="19"/>
                <w:szCs w:val="19"/>
                <w:color w:val="auto"/>
              </w:rPr>
            </w:pPr>
          </w:p>
        </w:tc>
        <w:tc>
          <w:tcPr>
            <w:tcW w:w="404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Plus: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4040" w:type="dxa"/>
            <w:vAlign w:val="bottom"/>
            <w:gridSpan w:val="4"/>
          </w:tcPr>
          <w:p>
            <w:pPr>
              <w:ind w:left="200"/>
              <w:spacing w:after="0" w:line="176" w:lineRule="exact"/>
              <w:rPr>
                <w:sz w:val="20"/>
                <w:szCs w:val="20"/>
                <w:color w:val="auto"/>
              </w:rPr>
            </w:pPr>
            <w:r>
              <w:rPr>
                <w:rFonts w:ascii="Times New Roman" w:cs="Times New Roman" w:eastAsia="Times New Roman" w:hAnsi="Times New Roman"/>
                <w:sz w:val="18"/>
                <w:szCs w:val="18"/>
                <w:color w:val="auto"/>
              </w:rPr>
              <w:t>Operations and maintenance (excluding Admin. &amp;</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404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General) expense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248,719</w:t>
            </w:r>
          </w:p>
        </w:tc>
      </w:tr>
      <w:tr>
        <w:trPr>
          <w:trHeight w:val="229"/>
        </w:trPr>
        <w:tc>
          <w:tcPr>
            <w:tcW w:w="20" w:type="dxa"/>
            <w:vAlign w:val="bottom"/>
            <w:shd w:val="clear" w:color="auto" w:fill="CCEEFF"/>
          </w:tcPr>
          <w:p>
            <w:pPr>
              <w:spacing w:after="0"/>
              <w:rPr>
                <w:sz w:val="19"/>
                <w:szCs w:val="19"/>
                <w:color w:val="auto"/>
              </w:rPr>
            </w:pPr>
          </w:p>
        </w:tc>
        <w:tc>
          <w:tcPr>
            <w:tcW w:w="404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57,631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128,044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126,329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255,113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243,701</w:t>
            </w:r>
          </w:p>
        </w:tc>
      </w:tr>
      <w:tr>
        <w:trPr>
          <w:trHeight w:val="223"/>
        </w:trPr>
        <w:tc>
          <w:tcPr>
            <w:tcW w:w="20" w:type="dxa"/>
            <w:vAlign w:val="bottom"/>
          </w:tcPr>
          <w:p>
            <w:pPr>
              <w:spacing w:after="0"/>
              <w:rPr>
                <w:sz w:val="19"/>
                <w:szCs w:val="19"/>
                <w:color w:val="auto"/>
              </w:rPr>
            </w:pPr>
          </w:p>
        </w:tc>
        <w:tc>
          <w:tcPr>
            <w:tcW w:w="4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231,288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216,300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610,706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582,211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1,119,378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1,052,992</w:t>
            </w:r>
          </w:p>
        </w:tc>
      </w:tr>
      <w:tr>
        <w:trPr>
          <w:trHeight w:val="21"/>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2nd Quarter 2022 Overview</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Southwest Gas Holdings highlights include the following:</w:t>
      </w:r>
    </w:p>
    <w:p>
      <w:pPr>
        <w:spacing w:after="0" w:line="27"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continues to advance strategic alternatives for MountainWest and Centuri</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administrative expenses include impact of interest on remaining $1.2 billion term loan, and shareholder activism/settlement and Strategic Review costs collectively totaling $22 million</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Natural gas distribution highlights include the following:</w:t>
      </w:r>
    </w:p>
    <w:p>
      <w:pPr>
        <w:spacing w:after="0" w:line="27"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39,000 first-time meters sets occurred over the past 12 months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increased $15 million in the second quarter of 2022 compared to the prior year quarter, including the benefit of new general rates in Nevada effective April 1, 2022</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$152 million capital investment during the quarter</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and maintenance expense includes $15 million of transitory costs for legal-related claims, uncollectible accounts, customer support system stabilization, and pipeline integrity management</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COLI results declined $8.3 million compared to the prior-year quarter</w:t>
      </w:r>
    </w:p>
    <w:p>
      <w:pPr>
        <w:spacing w:after="0" w:line="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Utility infrastructure services highlights include the following:</w:t>
      </w:r>
    </w:p>
    <w:p>
      <w:pPr>
        <w:spacing w:after="0" w:line="27"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revenues of $706 million in the second quarter of 2022, an increase of $177 million, or 34%, compared to the second quarter of 2021</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impacted by inflation, including higher fuel, subcontractor, and equipment rental costs</w:t>
      </w:r>
    </w:p>
    <w:p>
      <w:pPr>
        <w:spacing w:after="0" w:line="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Pipeline and storage highlights include the following:</w:t>
      </w:r>
    </w:p>
    <w:p>
      <w:pPr>
        <w:spacing w:after="0" w:line="27"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Recognized revenue of $62 million in the second quarter of 2022</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Contributed $15 million to consolidated net income, net of $4.5 million of stand-up and integration costs</w:t>
      </w:r>
    </w:p>
    <w:p>
      <w:pPr>
        <w:sectPr>
          <w:pgSz w:w="11900" w:h="16838" w:orient="portrait"/>
          <w:cols w:equalWidth="0" w:num="1">
            <w:col w:w="11240"/>
          </w:cols>
          <w:pgMar w:left="320" w:top="257" w:right="3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type w:val="continuous"/>
        </w:sectPr>
      </w:pPr>
    </w:p>
    <w:bookmarkStart w:id="35" w:name="page36"/>
    <w:bookmarkEnd w:id="35"/>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Results of Natural Gas Distribution</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2"/>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Quarterly Analysis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18"/>
        </w:trPr>
        <w:tc>
          <w:tcPr>
            <w:tcW w:w="1380" w:type="dxa"/>
            <w:vAlign w:val="bottom"/>
            <w:tcBorders>
              <w:top w:val="single" w:sz="8" w:color="auto"/>
            </w:tcBorders>
          </w:tcPr>
          <w:p>
            <w:pPr>
              <w:spacing w:after="0"/>
              <w:rPr>
                <w:sz w:val="24"/>
                <w:szCs w:val="24"/>
                <w:color w:val="auto"/>
              </w:rPr>
            </w:pPr>
          </w:p>
        </w:tc>
        <w:tc>
          <w:tcPr>
            <w:tcW w:w="6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1120" w:type="dxa"/>
            <w:vAlign w:val="bottom"/>
          </w:tcPr>
          <w:p>
            <w:pPr>
              <w:spacing w:after="0"/>
              <w:rPr>
                <w:sz w:val="24"/>
                <w:szCs w:val="24"/>
                <w:color w:val="auto"/>
              </w:rPr>
            </w:pPr>
          </w:p>
        </w:tc>
      </w:tr>
      <w:tr>
        <w:trPr>
          <w:trHeight w:val="237"/>
        </w:trPr>
        <w:tc>
          <w:tcPr>
            <w:tcW w:w="138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June 30,</w:t>
            </w:r>
          </w:p>
        </w:tc>
        <w:tc>
          <w:tcPr>
            <w:tcW w:w="1120" w:type="dxa"/>
            <w:vAlign w:val="bottom"/>
            <w:tcBorders>
              <w:bottom w:val="single" w:sz="8" w:color="auto"/>
            </w:tcBorders>
          </w:tcPr>
          <w:p>
            <w:pPr>
              <w:spacing w:after="0"/>
              <w:rPr>
                <w:sz w:val="20"/>
                <w:szCs w:val="20"/>
                <w:color w:val="auto"/>
              </w:rPr>
            </w:pPr>
          </w:p>
        </w:tc>
      </w:tr>
      <w:tr>
        <w:trPr>
          <w:trHeight w:val="229"/>
        </w:trPr>
        <w:tc>
          <w:tcPr>
            <w:tcW w:w="7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23"/>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Regulated operations revenues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377,942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292,796</w:t>
            </w:r>
          </w:p>
        </w:tc>
      </w:tr>
      <w:tr>
        <w:trPr>
          <w:trHeight w:val="229"/>
        </w:trPr>
        <w:tc>
          <w:tcPr>
            <w:tcW w:w="7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cost of gas sold</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146,654</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76,496</w:t>
            </w:r>
          </w:p>
        </w:tc>
      </w:tr>
      <w:tr>
        <w:trPr>
          <w:trHeight w:val="223"/>
        </w:trPr>
        <w:tc>
          <w:tcPr>
            <w:tcW w:w="7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margin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231,288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216,300</w:t>
            </w:r>
          </w:p>
        </w:tc>
      </w:tr>
      <w:tr>
        <w:trPr>
          <w:trHeight w:val="229"/>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127,811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103,137</w:t>
            </w:r>
          </w:p>
        </w:tc>
      </w:tr>
      <w:tr>
        <w:trPr>
          <w:trHeight w:val="229"/>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57,631</w:t>
            </w:r>
          </w:p>
        </w:tc>
      </w:tr>
      <w:tr>
        <w:trPr>
          <w:trHeight w:val="230"/>
        </w:trPr>
        <w:tc>
          <w:tcPr>
            <w:tcW w:w="7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20,098</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19,338</w:t>
            </w:r>
          </w:p>
        </w:tc>
      </w:tr>
      <w:tr>
        <w:trPr>
          <w:trHeight w:val="223"/>
        </w:trPr>
        <w:tc>
          <w:tcPr>
            <w:tcW w:w="7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36,194</w:t>
            </w:r>
          </w:p>
        </w:tc>
      </w:tr>
      <w:tr>
        <w:trPr>
          <w:trHeight w:val="230"/>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(deductions)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r>
      <w:tr>
        <w:trPr>
          <w:trHeight w:val="229"/>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deductions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28,633</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24,175</w:t>
            </w:r>
          </w:p>
        </w:tc>
      </w:tr>
      <w:tr>
        <w:trPr>
          <w:trHeight w:val="223"/>
        </w:trPr>
        <w:tc>
          <w:tcPr>
            <w:tcW w:w="7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10,854</w:t>
            </w:r>
          </w:p>
        </w:tc>
      </w:tr>
      <w:tr>
        <w:trPr>
          <w:trHeight w:val="229"/>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r>
      <w:tr>
        <w:trPr>
          <w:trHeight w:val="223"/>
        </w:trPr>
        <w:tc>
          <w:tcPr>
            <w:tcW w:w="7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Contribution to consolidated results</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11,413</w:t>
            </w:r>
          </w:p>
        </w:tc>
      </w:tr>
      <w:tr>
        <w:trPr>
          <w:trHeight w:val="20"/>
        </w:trPr>
        <w:tc>
          <w:tcPr>
            <w:tcW w:w="13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Contribution from natural gas distribution operations decreased $14 million between the second quarters of 2022 and 2021. The decline was primarily due to an increase in Operations and maintenance expense and Net interest deductions, partially offset by an increase in Operating margin.</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margin increased $15 million quarter over quarter. Approximately $4 million of incremental margin was attributable to customer growth, including 39,000 first-time meter sets during the last twelve months. Rate relief primarily in Nevada, and to a lesser extent in California, added $9 million of combined margin. Amounts collected from customers associated with previously unrecovered Vintage Steel Pipe (“VSP”) and Customer-Owned Yard Line (“COYL”) programs in Arizona ($6.4 million) also contributed to the improvement. Refer to Rates and Regulatory Proceedings later in this MD&amp;A. Amounts attributable to recovery/return of other regulatory programs (which are also offset in Depreciation and amortization expense, thereby mitigating the impact to overall results) partially offset the other improvements in Operating margin. Other differences in miscellaneous revenue and margin from customers outside the decoupling mechanisms contributed to the remaining net variance between quarters.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Operations and maintenance expense increased $24.7 million between quarters. In addition to general inflationary impacts, specific increases include transitory costs for temporary/contractor services for customer and technology support ($1.6 million), contractor costs for event-driven pipeline integrity, reliability and engineering services ($2.5 million), an increase in the reserve for customer accounts deemed uncollectible ($2.2 million), and higher legal claim-related costs ($8.2 million). Additionally, employee labor and related costs (including the service component of pension costs) increased $2.5 million between quarters. The prior-year quarter expense levels included more modest expense levels overall due to COVID environment reduced training, travel, and related amounts.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Depreciation and amortization expense decreased $1.7 million, or 3%, between quarters, primarily due to a decrease in amortization related to regulatory account recoveries of approximately $5.5 million between quarters, which is also reflected in Operating margin above. Offsetting the decrease was additional expense as a result of a $542 million, or 6%, increase in average gas plant in service compared to the corresponding quarter a year ago. The increase in plant was attributable to pipeline capacity reinforcement work, franchise requirements, scheduled pipe replacement activities, and new infrastructure.</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income decreased $2.3 million. The current quarter reflects a $5.2 million decline in COLI policy cash surrender values, while the prior-year quarter reflected a $3.1 million increase. These fluctuations primarily result from changes in the portion of the cash surrender values that are associated with equity securities, and are directionally consistent with the broader securities markets. This decrease was offset by non-service-related components of employee pension and other postretirement benefit costs, which decreased $3.3 million between quarters. Interest income increased $2 million between quarters due to the increased receivable position related to the Purchased Gas Adjustment mechanisms.</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interest deductions increased $4.5 million in the second quarter of 2022, as compared to the prior-year quarter, primarily due to interest associated with the issuance of $300 million of Senior Notes issued in August 2021 and $600 million of Senior Notes in March 2022.</w:t>
      </w: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6" w:name="page37"/>
    <w:bookmarkEnd w:id="36"/>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Results of Natural Gas Operations</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91"/>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Six-Month Analysis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1"/>
        </w:trPr>
        <w:tc>
          <w:tcPr>
            <w:tcW w:w="1460" w:type="dxa"/>
            <w:vAlign w:val="bottom"/>
            <w:tcBorders>
              <w:top w:val="single" w:sz="8" w:color="auto"/>
            </w:tcBorders>
          </w:tcPr>
          <w:p>
            <w:pPr>
              <w:spacing w:after="0"/>
              <w:rPr>
                <w:sz w:val="24"/>
                <w:szCs w:val="24"/>
                <w:color w:val="auto"/>
              </w:rPr>
            </w:pPr>
          </w:p>
        </w:tc>
        <w:tc>
          <w:tcPr>
            <w:tcW w:w="6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Six Months Ended</w:t>
            </w:r>
          </w:p>
        </w:tc>
        <w:tc>
          <w:tcPr>
            <w:tcW w:w="1140" w:type="dxa"/>
            <w:vAlign w:val="bottom"/>
          </w:tcPr>
          <w:p>
            <w:pPr>
              <w:spacing w:after="0"/>
              <w:rPr>
                <w:sz w:val="24"/>
                <w:szCs w:val="24"/>
                <w:color w:val="auto"/>
              </w:rPr>
            </w:pPr>
          </w:p>
        </w:tc>
      </w:tr>
      <w:tr>
        <w:trPr>
          <w:trHeight w:val="237"/>
        </w:trPr>
        <w:tc>
          <w:tcPr>
            <w:tcW w:w="146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June 30,</w:t>
            </w:r>
          </w:p>
        </w:tc>
        <w:tc>
          <w:tcPr>
            <w:tcW w:w="1140" w:type="dxa"/>
            <w:vAlign w:val="bottom"/>
            <w:tcBorders>
              <w:bottom w:val="single" w:sz="8" w:color="auto"/>
            </w:tcBorders>
          </w:tcPr>
          <w:p>
            <w:pPr>
              <w:spacing w:after="0"/>
              <w:rPr>
                <w:sz w:val="20"/>
                <w:szCs w:val="20"/>
                <w:color w:val="auto"/>
              </w:rPr>
            </w:pPr>
          </w:p>
        </w:tc>
      </w:tr>
      <w:tr>
        <w:trPr>
          <w:trHeight w:val="229"/>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420" w:type="dxa"/>
            <w:vAlign w:val="bottom"/>
          </w:tcPr>
          <w:p>
            <w:pPr>
              <w:spacing w:after="0"/>
              <w:rPr>
                <w:sz w:val="19"/>
                <w:szCs w:val="19"/>
                <w:color w:val="auto"/>
              </w:rPr>
            </w:pPr>
          </w:p>
        </w:tc>
        <w:tc>
          <w:tcPr>
            <w:tcW w:w="140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2021</w:t>
            </w:r>
          </w:p>
        </w:tc>
      </w:tr>
      <w:tr>
        <w:trPr>
          <w:trHeight w:val="230"/>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Gas operating revenues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1,054,481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814,728</w:t>
            </w:r>
          </w:p>
        </w:tc>
      </w:tr>
      <w:tr>
        <w:trPr>
          <w:trHeight w:val="229"/>
        </w:trPr>
        <w:tc>
          <w:tcPr>
            <w:tcW w:w="7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cost of gas sold</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443,775</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232,517</w:t>
            </w:r>
          </w:p>
        </w:tc>
      </w:tr>
      <w:tr>
        <w:trPr>
          <w:trHeight w:val="223"/>
        </w:trPr>
        <w:tc>
          <w:tcPr>
            <w:tcW w:w="7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margin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610,706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582,211</w:t>
            </w:r>
          </w:p>
        </w:tc>
      </w:tr>
      <w:tr>
        <w:trPr>
          <w:trHeight w:val="229"/>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247,447</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209,272</w:t>
            </w:r>
          </w:p>
        </w:tc>
      </w:tr>
      <w:tr>
        <w:trPr>
          <w:trHeight w:val="229"/>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128,044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126,329</w:t>
            </w:r>
          </w:p>
        </w:tc>
      </w:tr>
      <w:tr>
        <w:trPr>
          <w:trHeight w:val="230"/>
        </w:trPr>
        <w:tc>
          <w:tcPr>
            <w:tcW w:w="7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41,750</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40,025</w:t>
            </w:r>
          </w:p>
        </w:tc>
      </w:tr>
      <w:tr>
        <w:trPr>
          <w:trHeight w:val="223"/>
        </w:trPr>
        <w:tc>
          <w:tcPr>
            <w:tcW w:w="7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193,465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206,585</w:t>
            </w:r>
          </w:p>
        </w:tc>
      </w:tr>
      <w:tr>
        <w:trPr>
          <w:trHeight w:val="230"/>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(deductions)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29"/>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deductions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55,243</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46,341</w:t>
            </w:r>
          </w:p>
        </w:tc>
      </w:tr>
      <w:tr>
        <w:trPr>
          <w:trHeight w:val="223"/>
        </w:trPr>
        <w:tc>
          <w:tcPr>
            <w:tcW w:w="7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136,104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159,629</w:t>
            </w:r>
          </w:p>
        </w:tc>
      </w:tr>
      <w:tr>
        <w:trPr>
          <w:trHeight w:val="229"/>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26,575</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29,501</w:t>
            </w:r>
          </w:p>
        </w:tc>
      </w:tr>
      <w:tr>
        <w:trPr>
          <w:trHeight w:val="223"/>
        </w:trPr>
        <w:tc>
          <w:tcPr>
            <w:tcW w:w="7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Contribution to consolidated results</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109,529</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130,128</w:t>
            </w:r>
          </w:p>
        </w:tc>
      </w:tr>
      <w:tr>
        <w:trPr>
          <w:trHeight w:val="20"/>
        </w:trPr>
        <w:tc>
          <w:tcPr>
            <w:tcW w:w="146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Contribution from natural gas distribution operations to consolidated net income decreased $20.6 million between the first six months of 2022 and 2021. The decline was primarily due to increases in Operations and maintenance expense and Net interest deductions, partially offset by an increase in Operating margin.</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margin increased $28.5 million, including $11 million attributable to customer growth. Rate relief contributed an additional $10 million. Also contributing to the increase were customer late fees that were $3.4 million greater in the current period due to the lifting (in 2021) of a moratorium on such fees. The moratorium was previously in place beginning in March 2020 to provide temporary relief to customers during the COVID-19 pandemic. Amounts collected in the current period from customers associated with previously unrecovered VSP and COYL programs in Arizona totaled $11.7 million. Amounts related to the recovery/return associated with other regulatory programs partially offset these improvements; however, such amounts also reduced amortization expense. The residual difference in Operating margin relates to miscellaneous service revenue and customers that are not part of the decoupling mechanisms.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Operations and maintenance expense increased $38 million between periods primarily due to general inflationary impacts, including specific increases related to labor and related pension and benefit costs ($11.1 million), temporary/contractor services for customer and technology support ($2.9 million), contractor costs for pipeline integrity, reliability, and engineering ($3.1 million), an increase to the reserve for customer accounts deemed uncollectible ($2.1 million), higher legal claim-related costs ($8.2 million), as well as increases in other miscellaneous general expenses.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Depreciation and amortization expense increased $1.7 million, or 1%, between periods primarily due to a $552 million, or 7%, increase in average gas plant in service between periods, the impact of which was offset by reduced amounts ($6.2 million) associated with the return/recovery of regulatory account balances, compared to the first six months of 2021. The increase in plant was attributable to pipeline reinforcement work, franchise requirements, scheduled pipe replacement activities, and new infrastructure, as well as the implementation of the customer information system, which occurred in May 2021.</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Taxes other than income taxes increased $1.7 million, or 4%, between periods primarily due to an increase in property taxes in Nevada and, to a lesser extent, in California.</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income (deductions) decreased $1.5 million overall between periods. The current period reflects a $7.2 million decline in COLI policy cash surrender values, while the prior-year period reflected $5.8 million in income from the combined effects of an increase in COLI policy cash surrender values and recognized death benefits. Offsetting these impacts- were non-service cost components of employee pension and other postretirement benefits, which decreased $6.6 million between periods, and interest income, which increased $4 million between periods due to the increased receivable position of the PGA. Additionally, a gain of $1.5 million was recognized on the sale of non-regulated property in the first quarter of 2022.</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interest deductions increased $8.9 million between periods, primarily due to higher interest associated with $300 million of Senior Notes issued in August 2021, $600 million of Senior Notes issued in March 2022, and the impacts of the variable rate $250 million March 2021 Term Loan.</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7" w:name="page38"/>
    <w:bookmarkEnd w:id="37"/>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Results of Natural Gas Distribution</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91"/>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Twelve-Month Analysis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72"/>
        </w:trPr>
        <w:tc>
          <w:tcPr>
            <w:tcW w:w="1740" w:type="dxa"/>
            <w:vAlign w:val="bottom"/>
            <w:tcBorders>
              <w:top w:val="single" w:sz="8" w:color="auto"/>
            </w:tcBorders>
          </w:tcPr>
          <w:p>
            <w:pPr>
              <w:spacing w:after="0"/>
              <w:rPr>
                <w:sz w:val="24"/>
                <w:szCs w:val="24"/>
                <w:color w:val="auto"/>
              </w:rPr>
            </w:pPr>
          </w:p>
        </w:tc>
        <w:tc>
          <w:tcPr>
            <w:tcW w:w="57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color w:val="auto"/>
              </w:rPr>
              <w:t>Twelve Months Ended June 30,</w:t>
            </w:r>
          </w:p>
        </w:tc>
      </w:tr>
      <w:tr>
        <w:trPr>
          <w:trHeight w:val="223"/>
        </w:trPr>
        <w:tc>
          <w:tcPr>
            <w:tcW w:w="7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Regulated operations revenues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1,761,543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1,400,052</w:t>
            </w:r>
          </w:p>
        </w:tc>
      </w:tr>
      <w:tr>
        <w:trPr>
          <w:trHeight w:val="229"/>
        </w:trPr>
        <w:tc>
          <w:tcPr>
            <w:tcW w:w="7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cost of gas sold</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642,165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347,060</w:t>
            </w:r>
          </w:p>
        </w:tc>
      </w:tr>
      <w:tr>
        <w:trPr>
          <w:trHeight w:val="223"/>
        </w:trPr>
        <w:tc>
          <w:tcPr>
            <w:tcW w:w="7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margin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1,119,378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1,052,992</w:t>
            </w:r>
          </w:p>
        </w:tc>
      </w:tr>
      <w:tr>
        <w:trPr>
          <w:trHeight w:val="229"/>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476,725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413,246</w:t>
            </w:r>
          </w:p>
        </w:tc>
      </w:tr>
      <w:tr>
        <w:trPr>
          <w:trHeight w:val="230"/>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243,701</w:t>
            </w:r>
          </w:p>
        </w:tc>
      </w:tr>
      <w:tr>
        <w:trPr>
          <w:trHeight w:val="229"/>
        </w:trPr>
        <w:tc>
          <w:tcPr>
            <w:tcW w:w="7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82,068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71,765</w:t>
            </w:r>
          </w:p>
        </w:tc>
      </w:tr>
      <w:tr>
        <w:trPr>
          <w:trHeight w:val="223"/>
        </w:trPr>
        <w:tc>
          <w:tcPr>
            <w:tcW w:w="7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305,472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324,280</w:t>
            </w:r>
          </w:p>
        </w:tc>
      </w:tr>
      <w:tr>
        <w:trPr>
          <w:trHeight w:val="229"/>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(deductions)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5,493</w:t>
            </w:r>
          </w:p>
        </w:tc>
      </w:tr>
      <w:tr>
        <w:trPr>
          <w:trHeight w:val="229"/>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deductions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106,462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98,440</w:t>
            </w:r>
          </w:p>
        </w:tc>
      </w:tr>
      <w:tr>
        <w:trPr>
          <w:trHeight w:val="223"/>
        </w:trPr>
        <w:tc>
          <w:tcPr>
            <w:tcW w:w="7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192,948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231,333</w:t>
            </w:r>
          </w:p>
        </w:tc>
      </w:tr>
      <w:tr>
        <w:trPr>
          <w:trHeight w:val="229"/>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37,628</w:t>
            </w:r>
          </w:p>
        </w:tc>
      </w:tr>
      <w:tr>
        <w:trPr>
          <w:trHeight w:val="223"/>
        </w:trPr>
        <w:tc>
          <w:tcPr>
            <w:tcW w:w="7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Contribution to consolidated results</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166,536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193,705</w:t>
            </w:r>
          </w:p>
        </w:tc>
      </w:tr>
      <w:tr>
        <w:trPr>
          <w:trHeight w:val="21"/>
        </w:trPr>
        <w:tc>
          <w:tcPr>
            <w:tcW w:w="17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Contribution to consolidated net income from natural gas distribution operations decreased $27 million between the twelve-month periods ended June 2022 and 2021. The decline was due primarily to increases in Operations and maintenance expense, Depreciation and amortization, Taxes other than income taxes, and Net interest deductions, and a decrease in Other income (deductions), offset by an increase in Operating margin and a reduction to Income tax expense.</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margin increased $66 million between periods. Customer growth provided $16 million, and combined rate relief provided $38 million of incremental operating margin. Also contributing to the increase were customer late fees that were $6.7 million greater in the current period due to lifting the earlier moratorium on such fees in all jurisdictions. Approved VSP and COYL revenue in Arizona also contributed to the improvement between periods ($12 million). Offsetting these increases are amounts associated with the return/recovery of regulatory account balances ($4.5 million between periods), which is mitigated by a decrease in amortization expense (discussed below).</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Operations and maintenance expense increased $63 million between periods. In addition to general inflationary impacts, specific increases include temporary/contractor services for customer and technology support services ($7.2 million), employee labor and related pension and benefit costs ($21.1 million), contractor costs for pipeline integrity, reliability, and engineering services ($4.5 million), an increase in the reserve for customer accounts deemed uncollectible ($2.4 million), higher legal claim-related costs ($13.9 million) (including legal reserves as described in </w:t>
      </w:r>
      <w:r>
        <w:rPr>
          <w:rFonts w:ascii="Times New Roman" w:cs="Times New Roman" w:eastAsia="Times New Roman" w:hAnsi="Times New Roman"/>
          <w:sz w:val="18"/>
          <w:szCs w:val="18"/>
          <w:b w:val="1"/>
          <w:bCs w:val="1"/>
          <w:color w:val="auto"/>
        </w:rPr>
        <w:t>Note 1 – Background, Organization,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Summary of Significant Accounting Policies</w:t>
      </w:r>
      <w:r>
        <w:rPr>
          <w:rFonts w:ascii="Times New Roman" w:cs="Times New Roman" w:eastAsia="Times New Roman" w:hAnsi="Times New Roman"/>
          <w:sz w:val="18"/>
          <w:szCs w:val="18"/>
          <w:color w:val="auto"/>
        </w:rPr>
        <w:t>), and other general expense increases overall. The prior year expense levels were uncharacteristically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low due to COVID-period reduced training/travel and other cost savings.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Depreciation and amortization expense increased $11.4 million, or 5%, between periods primarily due to a $561 million, or 7%, increase in average gas plant in service since the corresponding period in the prior year, offset by a reduction in amortization of regulatory account balances, as discussed in regard to Operating margin above. The increase in gas plant was attributable to pipeline capacity reinforcement work, franchise requirements, scheduled pipe replacement activities, and new infrastructure, as well as the implementation of a new customer information system placed into production in the second quarter of 2021.</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Taxes other than income taxes increased $10.3 million between periods primarily due to an increase in property taxes in Arizona, and to a lesser extent, in California and Nevada.</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income decreased $11.6 million between the twelve-month periods of 2022 and 2021, primarily due to a current-period decline in COLI policy cash surrender values of $4.2 million, compared to the twelve months ended June 30, 2021, which reflected an increase in values of $18.5 million (including $3.5 million of net death benefits). Additionally, equity AFUDC was lower by $2.4 million, due to the impact short-term borrowings have on AFUDC rates. Offsetting these impacts were non-service cost components of employee pension and other postretirement benefit costs, which were $9.6 million lower between periods, and interest income, which increased $5 million between periods. The gain on sale of non-regulated property, noted earlier, also impacted the variance between periods.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interest deductions increased $8 million between periods primarily due to increased interest associated with $300 million of Senior Notes issued in August 2021 and, to a lesser extent, $600 million of Senior Notes issued in March 2022.</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38" w:name="page39"/>
    <w:bookmarkEnd w:id="38"/>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 expense decreased $11.2 million between the twelve-month periods ended June 30, 2022 and 2021, primarily due to a reduction in pre-tax book income, additional amortization of excess accumulated deferred income taxes (“EADIT”) ($3.5 million), and to a lesser extent, changes in Arizona and California state apportionment percentages of $2.9 million. Income tax expense in both periods reflects that COLI results are recognized without tax consequences.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Results of Utility Infrastructure Services</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83"/>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Quarterly Analysis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18"/>
        </w:trPr>
        <w:tc>
          <w:tcPr>
            <w:tcW w:w="1380" w:type="dxa"/>
            <w:vAlign w:val="bottom"/>
            <w:tcBorders>
              <w:top w:val="single" w:sz="8" w:color="auto"/>
            </w:tcBorders>
          </w:tcPr>
          <w:p>
            <w:pPr>
              <w:spacing w:after="0"/>
              <w:rPr>
                <w:sz w:val="24"/>
                <w:szCs w:val="24"/>
                <w:color w:val="auto"/>
              </w:rPr>
            </w:pPr>
          </w:p>
        </w:tc>
        <w:tc>
          <w:tcPr>
            <w:tcW w:w="6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1120" w:type="dxa"/>
            <w:vAlign w:val="bottom"/>
          </w:tcPr>
          <w:p>
            <w:pPr>
              <w:spacing w:after="0"/>
              <w:rPr>
                <w:sz w:val="24"/>
                <w:szCs w:val="24"/>
                <w:color w:val="auto"/>
              </w:rPr>
            </w:pPr>
          </w:p>
        </w:tc>
      </w:tr>
      <w:tr>
        <w:trPr>
          <w:trHeight w:val="237"/>
        </w:trPr>
        <w:tc>
          <w:tcPr>
            <w:tcW w:w="138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June 30,</w:t>
            </w:r>
          </w:p>
        </w:tc>
        <w:tc>
          <w:tcPr>
            <w:tcW w:w="1120" w:type="dxa"/>
            <w:vAlign w:val="bottom"/>
            <w:tcBorders>
              <w:bottom w:val="single" w:sz="8" w:color="auto"/>
            </w:tcBorders>
          </w:tcPr>
          <w:p>
            <w:pPr>
              <w:spacing w:after="0"/>
              <w:rPr>
                <w:sz w:val="20"/>
                <w:szCs w:val="20"/>
                <w:color w:val="auto"/>
              </w:rPr>
            </w:pPr>
          </w:p>
        </w:tc>
      </w:tr>
      <w:tr>
        <w:trPr>
          <w:trHeight w:val="229"/>
        </w:trPr>
        <w:tc>
          <w:tcPr>
            <w:tcW w:w="7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23"/>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Utility infrastructure services revenues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706,090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528,625</w:t>
            </w:r>
          </w:p>
        </w:tc>
      </w:tr>
      <w:tr>
        <w:trPr>
          <w:trHeight w:val="229"/>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7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Utility infrastructure services expenses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646,193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478,640</w:t>
            </w:r>
          </w:p>
        </w:tc>
      </w:tr>
      <w:tr>
        <w:trPr>
          <w:trHeight w:val="230"/>
        </w:trPr>
        <w:tc>
          <w:tcPr>
            <w:tcW w:w="74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38,863</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25,217</w:t>
            </w:r>
          </w:p>
        </w:tc>
      </w:tr>
      <w:tr>
        <w:trPr>
          <w:trHeight w:val="223"/>
        </w:trPr>
        <w:tc>
          <w:tcPr>
            <w:tcW w:w="7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24,768</w:t>
            </w:r>
          </w:p>
        </w:tc>
      </w:tr>
      <w:tr>
        <w:trPr>
          <w:trHeight w:val="230"/>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(deductions)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9"/>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deductions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12,598</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r>
      <w:tr>
        <w:trPr>
          <w:trHeight w:val="223"/>
        </w:trPr>
        <w:tc>
          <w:tcPr>
            <w:tcW w:w="7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22,990</w:t>
            </w:r>
          </w:p>
        </w:tc>
      </w:tr>
      <w:tr>
        <w:trPr>
          <w:trHeight w:val="229"/>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6,519</w:t>
            </w:r>
          </w:p>
        </w:tc>
      </w:tr>
      <w:tr>
        <w:trPr>
          <w:trHeight w:val="223"/>
        </w:trPr>
        <w:tc>
          <w:tcPr>
            <w:tcW w:w="7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16,471</w:t>
            </w:r>
          </w:p>
        </w:tc>
      </w:tr>
      <w:tr>
        <w:trPr>
          <w:trHeight w:val="229"/>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r>
      <w:tr>
        <w:trPr>
          <w:trHeight w:val="223"/>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Contribution to consolidated results</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4,741</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15,116</w:t>
            </w:r>
          </w:p>
        </w:tc>
      </w:tr>
      <w:tr>
        <w:trPr>
          <w:trHeight w:val="20"/>
        </w:trPr>
        <w:tc>
          <w:tcPr>
            <w:tcW w:w="13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Utility infrastructure services revenues increased $177.5 million in the second quarter of 2022 when compared to the prior-year quarter, including $150.4 million from Riggs Distler. Revenues from electric infrastructure services increased $82.1 million in the second quarter of 2022 when compared to the prior-year quarter, of which $67.8 million was recorded by Riggs Distler. The current quarter increase also included approximately $72 million in gas infrastructure services revenues, including $17.7 million recorded by Riggs Distler, primarily from increased volumes under master service agreements. Certain ancillary revenue was lower in the current period, offsetting these impacts. Work mix and volume were negatively impacted during the second quarter of 2022 due to certain customers’ supply chain challenges in procuring necessary materials and equipment.</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Utility infrastructure services expenses increased $167.6 million in the second quarter of 2022 when compared to the prior-year quarter. The overall increase includes $135 million incurred by Riggs Distler in 2022, and incremental costs related to the higher volume of infrastructure services provided. Changes in mix of work and inflation led to higher input costs including fuel and subcontractor expenses, as well as increased project related travel and equipment rental costs incurred by the electric infrastructure business. Fuel costs increased $10.9 million in the current quarter, including $2.6 million incurred by Riggs Distler. Increased project related travel expenses of $3.9 million were incurred during the period. Also included in total Utility infrastructure services expenses were general and administrative costs, which increased approximately $5.4 million between quarters, including $4 million of general and administrative costs incurred by Riggs Distler and $2.2 million of Strategic Review costs. Other administrative costs increased due to the continued growth in the business. Gains on sale of equipment in the second quarter of 2022 and 2021 (reflected as an offset to Utility infrastructure services expenses) were approximately $1.6 million and $2.5 million, respectively.</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$13.6 million between quarters, of which $13.1 million was recorded by Riggs Distler. The remaining increase was attributable to equipment purchased to support the growing volume of infrastructure work.</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Net interest deductions of $11 million was primarily due to incremental outstanding borrowings under Centuri’s $1.545 billion amended and restated secured revolving credit and term loan facility in conjunction with the acquisition of Riggs Distler.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decreased $3.5 million between quarters, primarily due to reduced profitability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9" w:name="page40"/>
    <w:bookmarkEnd w:id="39"/>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of Utility Infrastructure Services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Six-Month Analysis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Six Months Ended</w:t>
            </w:r>
          </w:p>
        </w:tc>
        <w:tc>
          <w:tcPr>
            <w:tcW w:w="1140" w:type="dxa"/>
            <w:vAlign w:val="bottom"/>
          </w:tcPr>
          <w:p>
            <w:pPr>
              <w:spacing w:after="0"/>
              <w:rPr>
                <w:sz w:val="17"/>
                <w:szCs w:val="17"/>
                <w:color w:val="auto"/>
              </w:rPr>
            </w:pPr>
          </w:p>
        </w:tc>
      </w:tr>
      <w:tr>
        <w:trPr>
          <w:trHeight w:val="237"/>
        </w:trPr>
        <w:tc>
          <w:tcPr>
            <w:tcW w:w="75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June 30,</w:t>
            </w:r>
          </w:p>
        </w:tc>
        <w:tc>
          <w:tcPr>
            <w:tcW w:w="1140" w:type="dxa"/>
            <w:vAlign w:val="bottom"/>
            <w:tcBorders>
              <w:bottom w:val="single" w:sz="8" w:color="auto"/>
            </w:tcBorders>
          </w:tcPr>
          <w:p>
            <w:pPr>
              <w:spacing w:after="0"/>
              <w:rPr>
                <w:sz w:val="20"/>
                <w:szCs w:val="20"/>
                <w:color w:val="auto"/>
              </w:rPr>
            </w:pPr>
          </w:p>
        </w:tc>
      </w:tr>
      <w:tr>
        <w:trPr>
          <w:trHeight w:val="229"/>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Utility infrastructure services revenues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1,229,967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892,600</w:t>
            </w: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Utility infrastructure services expenses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1,149,425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814,254</w:t>
            </w:r>
          </w:p>
        </w:tc>
      </w:tr>
      <w:tr>
        <w:trPr>
          <w:trHeight w:val="229"/>
        </w:trPr>
        <w:tc>
          <w:tcPr>
            <w:tcW w:w="7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76,475</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49,961</w:t>
            </w:r>
          </w:p>
        </w:tc>
      </w:tr>
      <w:tr>
        <w:trPr>
          <w:trHeight w:val="223"/>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28,385</w:t>
            </w: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(deductions)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deductions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23,729</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w:t>
            </w:r>
          </w:p>
        </w:tc>
      </w:tr>
      <w:tr>
        <w:trPr>
          <w:trHeight w:val="223"/>
        </w:trPr>
        <w:tc>
          <w:tcPr>
            <w:tcW w:w="7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(20,295)</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24,883</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7,719</w:t>
            </w:r>
          </w:p>
        </w:tc>
      </w:tr>
      <w:tr>
        <w:trPr>
          <w:trHeight w:val="223"/>
        </w:trPr>
        <w:tc>
          <w:tcPr>
            <w:tcW w:w="7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(loss)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(17,179)</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17,164</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w:t>
            </w:r>
          </w:p>
        </w:tc>
      </w:tr>
      <w:tr>
        <w:trPr>
          <w:trHeight w:val="22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 to consolidated results</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(18,745)</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14,257</w:t>
            </w:r>
          </w:p>
        </w:tc>
      </w:tr>
      <w:tr>
        <w:trPr>
          <w:trHeight w:val="21"/>
        </w:trPr>
        <w:tc>
          <w:tcPr>
            <w:tcW w:w="7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Utility infrastructure services revenues increased $337.4 million in the first six months of 2022 when compared to the same period in the prior year, including $264.2 million recorded by Riggs Distler in 2022. Revenues from electric infrastructure services increased $170.1 million in 2022 when compared to the prior year, of which $135.3 million was recorded by Riggs Distler. Included in electric infrastructure services revenues overall during the first six months of 2022 was $19 million from emergency restoration services performed by Linetec and Riggs Distler following tornados and other storm damage to customers’ above-ground utility infrastructure in and around the Gulf Coast and eastern regions of the U.S., compared to $12.2 million in the first six months of the prior year. Centuri’s revenues derived from storm-related services vary from period to period due to the unpredictable nature of weather-related events, and when this type of work is performed, it typically generates a higher profit margin than core infrastructure services, due to improved operating efficiencies related to equipment utilization and absorption of fixed costs. The current year increase also included approximately $110.8 million in gas infrastructure services revenues, including $31.3 million recorded by Riggs Distler, primarily from increased volumes under master service agreements. Certain ancillary revenue was lower in the current period, offsetting these increases. Work mix and volume were negatively impacted during the first six months of 2022 due to certain customers’ supply chain challenges in procuring necessary materials and equipment.</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Utility infrastructure services expenses increased $335.2 million in the first six months of 2022 when compared to the same period in the prior year. The overall increase includes $239.1 million incurred by Riggs Distler in 2022, and incremental costs related to the higher volume of infrastructure services provided. Changes in mix of work and inflation led to higher input costs including fuel and subcontractor expenses. Within our electric infrastructure business, we incurred higher equipment rental and tooling costs in support of growth along with higher project related travel costs. Fuel costs increased $18.1 million in the current year, including $4.9 million incurred by Riggs Distler. Increased project related travel expenses of $5.9 million were incurred during the current period. Also included in total Utility infrastructure services expenses were general and administrative costs, which increased $12.5 million in 2022 compared to 2021, including $7.9 million of general and administrative costs incurred by Riggs Distler, as well as $2.2 million of Strategic Review costs. Other administrative costs increased due to the continued growth in the business. Gains on sale of equipment (reflected as an offset to Utility infrastructure services expenses) were approximately $2 million and $4 million in the six-month periods in 2022 and 2021, respectively.</w:t>
      </w:r>
    </w:p>
    <w:p>
      <w:pPr>
        <w:spacing w:after="0" w:line="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$26.5 million between periods, of which $25.4 million was recorded by Riggs Distler in 2022. The remaining increase was attributable to equipment purchased to support the growing volume of infrastructure work.</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Net interest deductions of $20.5 million during the first six months of 2022 was primarily due to incremental outstanding borrowings under Centuri’s $1.545 billion amended and restated secured revolving credit and term loan facility in conjunction with the acquisition of Riggs Distler.</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0" w:name="page41"/>
    <w:bookmarkEnd w:id="40"/>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Results of Utility Infrastructure Services</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83"/>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Twelve-Month Analysis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85"/>
        </w:trPr>
        <w:tc>
          <w:tcPr>
            <w:tcW w:w="1740" w:type="dxa"/>
            <w:vAlign w:val="bottom"/>
            <w:tcBorders>
              <w:top w:val="single" w:sz="8" w:color="auto"/>
            </w:tcBorders>
          </w:tcPr>
          <w:p>
            <w:pPr>
              <w:spacing w:after="0"/>
              <w:rPr>
                <w:sz w:val="24"/>
                <w:szCs w:val="24"/>
                <w:color w:val="auto"/>
              </w:rPr>
            </w:pPr>
          </w:p>
        </w:tc>
        <w:tc>
          <w:tcPr>
            <w:tcW w:w="57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color w:val="auto"/>
              </w:rPr>
              <w:t>Twelve Months Ended June 30,</w:t>
            </w:r>
          </w:p>
        </w:tc>
      </w:tr>
      <w:tr>
        <w:trPr>
          <w:trHeight w:val="223"/>
        </w:trPr>
        <w:tc>
          <w:tcPr>
            <w:tcW w:w="7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Utility infrastructure services revenues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2,496,028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2,012,582</w:t>
            </w:r>
          </w:p>
        </w:tc>
      </w:tr>
      <w:tr>
        <w:trPr>
          <w:trHeight w:val="229"/>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Utility infrastructure services expenses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2,290,638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1,794,145</w:t>
            </w:r>
          </w:p>
        </w:tc>
      </w:tr>
      <w:tr>
        <w:trPr>
          <w:trHeight w:val="230"/>
        </w:trPr>
        <w:tc>
          <w:tcPr>
            <w:tcW w:w="75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144,157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99,746</w:t>
            </w:r>
          </w:p>
        </w:tc>
      </w:tr>
      <w:tr>
        <w:trPr>
          <w:trHeight w:val="223"/>
        </w:trPr>
        <w:tc>
          <w:tcPr>
            <w:tcW w:w="7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61,233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118,691</w:t>
            </w:r>
          </w:p>
        </w:tc>
      </w:tr>
      <w:tr>
        <w:trPr>
          <w:trHeight w:val="230"/>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(deductions)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9"/>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deductions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7,384</w:t>
            </w:r>
          </w:p>
        </w:tc>
      </w:tr>
      <w:tr>
        <w:trPr>
          <w:trHeight w:val="223"/>
        </w:trPr>
        <w:tc>
          <w:tcPr>
            <w:tcW w:w="7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111,007</w:t>
            </w:r>
          </w:p>
        </w:tc>
      </w:tr>
      <w:tr>
        <w:trPr>
          <w:trHeight w:val="229"/>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30,762</w:t>
            </w:r>
          </w:p>
        </w:tc>
      </w:tr>
      <w:tr>
        <w:trPr>
          <w:trHeight w:val="223"/>
        </w:trPr>
        <w:tc>
          <w:tcPr>
            <w:tcW w:w="7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80,245</w:t>
            </w:r>
          </w:p>
        </w:tc>
      </w:tr>
      <w:tr>
        <w:trPr>
          <w:trHeight w:val="229"/>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7,189</w:t>
            </w:r>
          </w:p>
        </w:tc>
      </w:tr>
      <w:tr>
        <w:trPr>
          <w:trHeight w:val="223"/>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Contribution to consolidated results</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7,418</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73,056</w:t>
            </w:r>
          </w:p>
        </w:tc>
      </w:tr>
      <w:tr>
        <w:trPr>
          <w:trHeight w:val="20"/>
        </w:trPr>
        <w:tc>
          <w:tcPr>
            <w:tcW w:w="17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Utility infrastructure services revenues increased $483.4 million in the current twelve-month period compared to the corresponding period of 2021, including $428.1 million recorded by Riggs Distler subsequent to its acquisition on August 27, 2021. Revenues from electric infrastructure services increased $259.5 million in 2022 when compared to the prior year, of which $243.3 million was recorded by Riggs Distler. Included in the incremental electric infrastructure revenues during the twelve-month period of 2022 was $72.1 million from emergency restoration services performed by Linetec and Riggs Distler, following hurricane, tornado, and other storm damage to customers’ above-ground utility infrastructure in and around the Gulf Coast and eastern regions of the U.S., as compared to $86.5 million in similar services during the twelve-month period in 2021. The remaining increase in revenue was attributable to continued growth with existing gas infrastructure customers under master service and bid agreements, partially offset by reduced work with a significant customer during the twelve-month period ending June 30, 2022 (totaling $30 million), due to the mix of projects under its multi-year capital spending program. Work mix and volume were negatively impacted during the current twelve-month period due to certain customers’ supply chain challenges in procuring necessary materials and equipment.</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Utility infrastructure services expenses increased $496.5 million between periods (including $14 million of professional fees related to the acquisition of Riggs Distler). The increase overall includes $384 million incurred by Riggs Distler subsequent to the acquisition, as well as incremental costs related to electric infrastructure services work and costs necessary for the completion of additional gas infrastructure work. Higher fuel costs, equipment rental expense, and subcontractor expenses were also incurred due to inflation, the mix of work, and in support of growth in our electric infrastructure business. Expenses in relation to revenues, and therefore, profit margins, can be impacted by inefficiencies from equipment and facility utilization and under-absorption of other fixed costs, which occurred due to the reduced work from the noted large customer and lower revenues from emergency restoration services as noted above. Also included in total Utility infrastructure services expenses were general and administrative costs, which increased approximately $30.9 million between comparative periods, including $14 million of acquisition-related professional fees previously noted and $17.3 million of general and administrative costs incurred by Riggs Distler subsequent to the acquisition. Gains on sale of equipment (reflected as an offset to Utility infrastructure services expenses) were approximately $4.8 million and $5.6 million for the twelve-month periods of 2022 and 2021, respectively.</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increased $44.4 million between the current and prior-year twelve-month periods, of which $42.2 million was recorded by Riggs Distler subsequent to the acquisition. The remaining increase was attributable to equipment and computer systems purchased to support the growing volume of infrastructure work.</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interest deductions increased $34.1 million between periods due to incremental outstanding borrowings under Centuri’s $1.545 billion amended and restated secured revolving credit and term loan facility in conjunction with the acquisition of Riggs Distler.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decreased $22.8 million between periods, primarily due to reduced profitability in 2022.</w:t>
      </w: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1" w:name="page42"/>
    <w:bookmarkEnd w:id="41"/>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Results of Pipeline and Storage</w:t>
            </w: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83"/>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Quarterly and Six-Month Analysis</w:t>
            </w: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18"/>
        </w:trPr>
        <w:tc>
          <w:tcPr>
            <w:tcW w:w="2500" w:type="dxa"/>
            <w:vAlign w:val="bottom"/>
            <w:tcBorders>
              <w:top w:val="single" w:sz="8" w:color="auto"/>
            </w:tcBorders>
          </w:tcPr>
          <w:p>
            <w:pPr>
              <w:spacing w:after="0"/>
              <w:rPr>
                <w:sz w:val="24"/>
                <w:szCs w:val="24"/>
                <w:color w:val="auto"/>
              </w:rPr>
            </w:pPr>
          </w:p>
        </w:tc>
        <w:tc>
          <w:tcPr>
            <w:tcW w:w="4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80" w:type="dxa"/>
            <w:vAlign w:val="bottom"/>
          </w:tcPr>
          <w:p>
            <w:pPr>
              <w:spacing w:after="0"/>
              <w:rPr>
                <w:sz w:val="24"/>
                <w:szCs w:val="24"/>
                <w:color w:val="auto"/>
              </w:rPr>
            </w:pPr>
          </w:p>
        </w:tc>
        <w:tc>
          <w:tcPr>
            <w:tcW w:w="16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6"/>
        </w:trPr>
        <w:tc>
          <w:tcPr>
            <w:tcW w:w="250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June 30,</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June 30,</w:t>
            </w:r>
          </w:p>
        </w:tc>
      </w:tr>
      <w:tr>
        <w:trPr>
          <w:trHeight w:val="230"/>
        </w:trPr>
        <w:tc>
          <w:tcPr>
            <w:tcW w:w="7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1640" w:type="dxa"/>
            <w:vAlign w:val="bottom"/>
            <w:tcBorders>
              <w:bottom w:val="single" w:sz="8" w:color="auto"/>
            </w:tcBorders>
          </w:tcPr>
          <w:p>
            <w:pPr>
              <w:spacing w:after="0"/>
              <w:rPr>
                <w:sz w:val="19"/>
                <w:szCs w:val="19"/>
                <w:color w:val="auto"/>
              </w:rPr>
            </w:pPr>
          </w:p>
        </w:tc>
      </w:tr>
      <w:tr>
        <w:trPr>
          <w:trHeight w:val="223"/>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Regulated operations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129,081</w:t>
            </w:r>
          </w:p>
        </w:tc>
      </w:tr>
      <w:tr>
        <w:trPr>
          <w:trHeight w:val="230"/>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7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cost of gas sold</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w:t>
            </w:r>
          </w:p>
        </w:tc>
      </w:tr>
      <w:tr>
        <w:trPr>
          <w:trHeight w:val="229"/>
        </w:trPr>
        <w:tc>
          <w:tcPr>
            <w:tcW w:w="7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49,053</w:t>
            </w:r>
          </w:p>
        </w:tc>
      </w:tr>
      <w:tr>
        <w:trPr>
          <w:trHeight w:val="230"/>
        </w:trPr>
        <w:tc>
          <w:tcPr>
            <w:tcW w:w="7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26,137</w:t>
            </w:r>
          </w:p>
        </w:tc>
      </w:tr>
      <w:tr>
        <w:trPr>
          <w:trHeight w:val="229"/>
        </w:trPr>
        <w:tc>
          <w:tcPr>
            <w:tcW w:w="73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5,672</w:t>
            </w:r>
          </w:p>
        </w:tc>
      </w:tr>
      <w:tr>
        <w:trPr>
          <w:trHeight w:val="223"/>
        </w:trPr>
        <w:tc>
          <w:tcPr>
            <w:tcW w:w="7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45,216</w:t>
            </w:r>
          </w:p>
        </w:tc>
      </w:tr>
      <w:tr>
        <w:trPr>
          <w:trHeight w:val="229"/>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(deductions)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r>
      <w:tr>
        <w:trPr>
          <w:trHeight w:val="230"/>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deductions</w:t>
            </w:r>
          </w:p>
        </w:tc>
        <w:tc>
          <w:tcPr>
            <w:tcW w:w="1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8,896</w:t>
            </w:r>
          </w:p>
        </w:tc>
      </w:tr>
      <w:tr>
        <w:trPr>
          <w:trHeight w:val="223"/>
        </w:trPr>
        <w:tc>
          <w:tcPr>
            <w:tcW w:w="7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37,658</w:t>
            </w:r>
          </w:p>
        </w:tc>
      </w:tr>
      <w:tr>
        <w:trPr>
          <w:trHeight w:val="230"/>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5,652</w:t>
            </w:r>
          </w:p>
        </w:tc>
      </w:tr>
      <w:tr>
        <w:trPr>
          <w:trHeight w:val="223"/>
        </w:trPr>
        <w:tc>
          <w:tcPr>
            <w:tcW w:w="7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Contribution to consolidated results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32,006</w:t>
            </w:r>
          </w:p>
        </w:tc>
      </w:tr>
      <w:tr>
        <w:trPr>
          <w:trHeight w:val="21"/>
        </w:trPr>
        <w:tc>
          <w:tcPr>
            <w:tcW w:w="25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results for the Pipeline and Storage segment included rate-regulated transmission and subscription storage revenues of $57.8 million and $118.9 million during the three- and six-months ended June 30, 2022. Operating expenses include $4.5 million and $13.2 million, during the three- and six-month periods, respectively, ended June 30, 2022, related to integrating MountainWest, including employee retention payments incurred during the first quarter of 2022. Additional integration costs will be incurred in future periods until integration efforts are completed. The effective tax rates for the three- and six-months ended June 30, 2022 are lower than the statutory rate primarily due to the amortization of EADIT.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Rates and Regulatory Proceedings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Southwest is subject to the regulation of the Arizona Corporation Commission (the “ACC”), the Public Utilities Commission of Nevada (the “PUCN”), the California Public Utilities Commission (the “CPUC”), and the Federal Energy Regulatory Commission (the “FERC”). Due to the size of Southwest’s regulated operations and the frequency of rate cases and other procedural activities with its commissions, the following discussion focuses primarily on the proceedings within its natural gas distribution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Rate Relief and Rate Design</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Rates charged to customers vary according to customer class and rate jurisdiction and are set by the individual state and federal regulatory commissions that govern Southwest’s service territories. Southwest makes periodic filings for rate adjustments as the cost of providing service changes (including the cost of natural gas purchased), and as additional investments in new or replacement pipeline and related facilities are made. Rates are intended to provide for recovery of all commission-approved costs and a reasonable return on investment. The mix of fixed and variable components in rates assigned to various customer classes (rate design) can significantly impact the operating margin actually realized by Southwest. Management has worked with its regulatory commissions in designing rate structures that strive to provide affordable service to its customers while mitigating volatility in prices to customers and stabilizing returns to investors. Such rate structures were in place in all of Southwest’s operating areas during all periods for which results of natural gas distribution operations are disclosed above.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Arizona Jurisdiction</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Arizona General Rate Case. </w:t>
      </w:r>
      <w:r>
        <w:rPr>
          <w:rFonts w:ascii="Times New Roman" w:cs="Times New Roman" w:eastAsia="Times New Roman" w:hAnsi="Times New Roman"/>
          <w:sz w:val="18"/>
          <w:szCs w:val="18"/>
          <w:color w:val="auto"/>
        </w:rPr>
        <w:t>In December 2021, Southwest filed a general rate case application proposing a revenue increase of approximately $90.7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Although updated rates related to the previous rate case became effective in January 2021, the most significant driver for the new request is the necessity to reflect in rates the substantial capital investments that have been made since the end of the test year in the previous case, including the customer information system implemented in May 2021. The current filing is based on a test year ended August 31, 2021 and proposes a return on common equity of 9.90% relative to a target equity ratio of 51%. Recovery (over three years) of the approximately $12 million related to the outstanding deferral balance associated with the LNG facility (see below) is included in the request, along with the approximate $2.1 million (also over three years) in late payment charges that were suppressed from customer accounts during the COVID-19 pandemic. A</w:t>
      </w: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2" w:name="page43"/>
    <w:bookmarkEnd w:id="42"/>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request to continue the Delivery Charge Adjustment (“DCA”), Southwest’s full-revenue decoupling mechanism, is also included, while no changes to Southwest’s existing rate design are proposed. A decision is anticipated by the end of 2022, with new rates expected to be effective in the first quarter of 2023.</w:t>
      </w:r>
    </w:p>
    <w:p>
      <w:pPr>
        <w:spacing w:after="0" w:line="6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Delivery Charge Adjustment. </w:t>
      </w:r>
      <w:r>
        <w:rPr>
          <w:rFonts w:ascii="Times New Roman" w:cs="Times New Roman" w:eastAsia="Times New Roman" w:hAnsi="Times New Roman"/>
          <w:sz w:val="18"/>
          <w:szCs w:val="18"/>
          <w:color w:val="auto"/>
        </w:rPr>
        <w:t>The DCA is filed each April, which along with other reporting requirements, contemplates a rate to recover the over-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under-collected margin tracker (decoupling mechanism) amounts based on the balance at the end of the reporting period. An April 2022 request proposed a rate to return $10.5 million, the over-collected balance existing at the end of the first quarter 2022, which was approved effective July 1, 2022.</w:t>
      </w:r>
    </w:p>
    <w:p>
      <w:pPr>
        <w:spacing w:after="0" w:line="1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Tax Reform. </w:t>
      </w:r>
      <w:r>
        <w:rPr>
          <w:rFonts w:ascii="Times New Roman" w:cs="Times New Roman" w:eastAsia="Times New Roman" w:hAnsi="Times New Roman"/>
          <w:sz w:val="18"/>
          <w:szCs w:val="18"/>
          <w:color w:val="auto"/>
        </w:rPr>
        <w:t>In the most recently concluded Arizona general rate proceeding, a Tax Expense Adjustor Mechanism (“TEAM”) was approved to timely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 tax rate changes resulting from federal or state tax legislation following the TEAM implementation. In addition, the TEAM tracks and returns/recovers the revenue requirement impact of changes in amortization of EADIT (including that which resulted from 2017 U.S. federal tax reform) compared to the amount authorized in the most recently concluded rate case. In December 2021, Southwest filed its inaugural TEAM rate application for the recovery of approximately $4.3 million associated with the mechanism. The ACC staff is expected to issue its report on the filing for commission consideration at a subsequent open meeting.</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Liquefied Natural Gas (“LNG”) Facility</w:t>
      </w:r>
      <w:r>
        <w:rPr>
          <w:rFonts w:ascii="Times New Roman" w:cs="Times New Roman" w:eastAsia="Times New Roman" w:hAnsi="Times New Roman"/>
          <w:sz w:val="18"/>
          <w:szCs w:val="18"/>
          <w:color w:val="auto"/>
        </w:rPr>
        <w:t>. In 2014, Southwest sought ACC preapproval to construct, operate, and maintain a 233,000 dekatherm LNG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in southern Arizona. This facility is intended to enhance service reliability and flexibility related to natural gas deliveries in the southern Arizona area by providing a local storage option, connecting directly to Southwest’s distribution system. Southwest was ultimately granted approval for construction and deferral of costs. The facility was placed in service in December 2019. The capital costs and the operating expenses associated with plant operation were approved and considered as part of Southwest’s previous general rate case. Approximately $12 million in costs, incurred following the in-service date of the facility and after the period considered as part of the previous general rate case, were deferred in the previously authorized regulatory asset account and are included for consideration in the current general rate case application.</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Customer-Owned Yard Line (“COYL”) Program</w:t>
      </w:r>
      <w:r>
        <w:rPr>
          <w:rFonts w:ascii="Times New Roman" w:cs="Times New Roman" w:eastAsia="Times New Roman" w:hAnsi="Times New Roman"/>
          <w:sz w:val="18"/>
          <w:szCs w:val="18"/>
          <w:color w:val="auto"/>
        </w:rPr>
        <w:t>. Southwest originally received approval, in connection with its 2010 Arizona general rate case,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 a program to conduct leak surveys, and if leaks were present, to replace and relocate service lines and meters for Arizona customers whose meters were set off from the customer’s home, representing a non-traditional configuration. A filing in May 2021 proposed the recovery of previously unrecovered surcharge revenue from 2019 and 2020 (collectively, $13.7 million) over a one-year period. In November 2021, the ACC approved full recovery within the proposed timeline, the rate for which was implemented the same month. In a February 2022 filing, Southwest requested and received approval to increase its surcharge revenue by $3.4 million to recover the revenue requirement associated with previous investments made since August 2020 and through calendar year 2021. The rate was implemented in June 2022.</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Vintage Steel Pipe (“VSP”) Program. </w:t>
      </w:r>
      <w:r>
        <w:rPr>
          <w:rFonts w:ascii="Times New Roman" w:cs="Times New Roman" w:eastAsia="Times New Roman" w:hAnsi="Times New Roman"/>
          <w:sz w:val="18"/>
          <w:szCs w:val="18"/>
          <w:color w:val="auto"/>
        </w:rPr>
        <w:t>Southwest received approval, in connection with its 2016 Arizona general rate case, to implement a VSP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replacement program, due to having a substantial amount of pre-1970s vintage steel pipe in Arizona. However, as part of Southwest’s most recent rate case decision in 2020, the ACC ultimately decided to discontinue the accelerated VSP program. A filing in May 2021 proposed the recovery of previously unrecovered surcharge revenue relating to investments during 2019 and 2020, with approximately $60 million to be recovered over a three-year period. In November 2021, the ACC approved full recovery over the proposed three-year timeline with updated rates which became effective in March 2022.</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Graham County Utilities. </w:t>
      </w:r>
      <w:r>
        <w:rPr>
          <w:rFonts w:ascii="Times New Roman" w:cs="Times New Roman" w:eastAsia="Times New Roman" w:hAnsi="Times New Roman"/>
          <w:sz w:val="18"/>
          <w:szCs w:val="18"/>
          <w:color w:val="auto"/>
        </w:rPr>
        <w:t>In April 2021, Southwest and Graham County Utilities, Inc. (“GCU”) filed a joint application with the ACC for approval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 assets of GCU to Southwest and extend Southwest’s Certificate of Public Convenience and Necessity to serve the more than 5,000 associated customers, for a purchase price of $3.5 million. Approval of the application by the ACC was received in December 2021, with final transfer in mid-January 2022. Former GCU customers continue to be served under existing GCU rates until such time as they are rolled into Southwest’s rates, which is proposed to take place in conjunction with the effective date of rates resulting from the currently pending Arizona general rate case.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California Jurisdiction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California General Rate Case. </w:t>
      </w:r>
      <w:r>
        <w:rPr>
          <w:rFonts w:ascii="Times New Roman" w:cs="Times New Roman" w:eastAsia="Times New Roman" w:hAnsi="Times New Roman"/>
          <w:sz w:val="18"/>
          <w:szCs w:val="18"/>
          <w:color w:val="auto"/>
        </w:rPr>
        <w:t>In August 2019, Southwest filed a general rate case based on a 2021 test year, seeking authority to increase rates in its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 rate jurisdictions, after being granted earlier permission to extend the rate case cycle by two years and continue its 2.75% previously approved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Post-Test Year (“PTY”) attrition adjustments for 2019 and 2020.</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Southwest reached an agreement in principle with the Public Advocate’s Office, which was unanimously approved by the CPUC on March 25, 2021, including a $6.4 million total combined revenue increase with a 10% return on common equity, relative to a 52% equity ratio. Approximately $4 million of the original proposed increase was associated with a North Lake Tahoe project that would not ultimately be completed by the beginning of 2021; consequently, the parties agreed to provide for</w:t>
      </w: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3" w:name="page44"/>
    <w:bookmarkEnd w:id="43"/>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recovery of the cost of service impacts of the project through the annual attrition filing. The rate case decision maintains Southwest’s existing 2.75% annual attrition adjustments and the continuation of the pension balancing account. It also includes cumulative expenditures totaling $119 million over the five-year rate cycle to implement risk-informed proposals, consisting of a school COYL replacement, meter protection, and pipe replacement programs. Although new rates were originally anticipated to be in place by January 1, 2021, due to an administrative delay, new rates were ultimately implemented April 1, 2021. In light of this delay, Southwest was granted authority to establish a general rate case memorandum account to track the impacts related to the delay in the implementation of new rates for purposes of later recovery, which began January 1, 2022.</w:t>
      </w:r>
    </w:p>
    <w:p>
      <w:pPr>
        <w:spacing w:after="0" w:line="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Attrition Filing. </w:t>
      </w:r>
      <w:r>
        <w:rPr>
          <w:rFonts w:ascii="Times New Roman" w:cs="Times New Roman" w:eastAsia="Times New Roman" w:hAnsi="Times New Roman"/>
          <w:sz w:val="18"/>
          <w:szCs w:val="18"/>
          <w:color w:val="auto"/>
        </w:rPr>
        <w:t>Following the 2021 implementation of rates approved as part of the general rate case, Southwest is also authorized to implement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PTY attrition increases of 2.75%, the first annual adjustment of which began in January 2022.</w:t>
      </w:r>
    </w:p>
    <w:p>
      <w:pPr>
        <w:spacing w:after="0" w:line="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Customer Data Modernization Initiative (“CDMI”). </w:t>
      </w:r>
      <w:r>
        <w:rPr>
          <w:rFonts w:ascii="Times New Roman" w:cs="Times New Roman" w:eastAsia="Times New Roman" w:hAnsi="Times New Roman"/>
          <w:sz w:val="18"/>
          <w:szCs w:val="18"/>
          <w:color w:val="auto"/>
        </w:rPr>
        <w:t>In April 2019, Southwest filed an application with the CPUC seeking authority to establish a two-way,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interest-bearing balancing account to record costs associated with the CDMI to mitigate adverse financial implications associated with this multi-year project (including a new customer information system, ultimately implemented in May 2021). Effective October 2019, the CPUC granted a memorandum account, which allowed Southwest to track costs, including operations and maintenance costs and capital-related costs, such as depreciation, taxes, and return associated with California’s portion of the CDMI (initially estimated at $19 million). The balance tracked in the memorandum account was transferred to the two-way balancing account in July 2020. A rate to begin recovering the balance accumulated through June 30, 2020 was established and made effective September 1, 2020, and updated multiple times since, including in January 2022. This rate is expected to be updated at least annually.</w:t>
      </w:r>
    </w:p>
    <w:p>
      <w:pPr>
        <w:spacing w:after="0" w:line="11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Carbon Offset Program. </w:t>
      </w:r>
      <w:r>
        <w:rPr>
          <w:rFonts w:ascii="Times New Roman" w:cs="Times New Roman" w:eastAsia="Times New Roman" w:hAnsi="Times New Roman"/>
          <w:sz w:val="18"/>
          <w:szCs w:val="18"/>
          <w:color w:val="auto"/>
        </w:rPr>
        <w:t>In March 2022, Southwest filed an application to seek approval to offer a voluntary program to California customers to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carbon offsets in an effort to provide customers additional options to reduce their respective GHG emissions. A request to establish a two-way balancing account to track program-related costs and revenues was included as part of the application. Southwest anticipates a decision in 2023.</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Nevada Jurisdiction</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Nevada General Rate Case</w:t>
      </w:r>
      <w:r>
        <w:rPr>
          <w:rFonts w:ascii="Times New Roman" w:cs="Times New Roman" w:eastAsia="Times New Roman" w:hAnsi="Times New Roman"/>
          <w:sz w:val="18"/>
          <w:szCs w:val="18"/>
          <w:color w:val="auto"/>
        </w:rPr>
        <w:t>. On August 31, 2021, Southwest filed its most recent general rate case, which was further updated by a certification filing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17, 2021. The request proposed a combined revenue increase of approximately $28.7 million (as of certification); the most significant driver for the new request is the necessity to reflect in rates the substantial capital investments that have been made since the end of the test year in the previous case, including the customer information system that was implemented in May 2021. The filing included a proposed return on common equity of 9.90% with a target equity ratio of 51%; recovery over two years of approximately $6.6 million in previously deferred late payment charges related to a regulatory asset associated with COVID-19; and continuation of full revenue decoupling under the General Revenues Adjustment (“GRA”) mechanism. The filing utilized a test year ended May 31, 2021 with certification-period adjustments through November 30, 2021. On February 7, 2022, the parties filed a stipulation with the PUCN, providing for a statewide revenue increase of $14.05 million, a return on common equity of 9.40% relative to a 50% target equity ratio, and continuation of Southwest’s full revenue decoupling mechanism. The stipulation was approved by the PUCN, and new rates became effective April 1, 2022. The PUCN’s order did not include recovery of the approximate $6.6 million in deferred late payment charges related to a regulatory asset associated with COVID-19, which had previously been reserved.</w:t>
      </w:r>
    </w:p>
    <w:p>
      <w:pPr>
        <w:spacing w:after="0" w:line="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General Revenues Adjustment. </w:t>
      </w:r>
      <w:r>
        <w:rPr>
          <w:rFonts w:ascii="Times New Roman" w:cs="Times New Roman" w:eastAsia="Times New Roman" w:hAnsi="Times New Roman"/>
          <w:sz w:val="18"/>
          <w:szCs w:val="18"/>
          <w:color w:val="auto"/>
        </w:rPr>
        <w:t>As noted above, the continuation of the GRA was affirmed as part of Southwest’s most recent general rate case with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expansion to include a large customer class (with average monthly throughput requirements greater than 15,000 therms), effective April 2022. Southwest makes Annual Rate Adjustment (“ARA”) filings to update rates to recover or return amounts associated with various regulatory mechanisms, including the GRA. Southwest made its most recent ARA filing in November 2021 related to balances as of September 30, 2021. New rates related to that filing became effective July 1, 2022. While there is no impact to net income overall from adjustments to recovery rates associated with the related regulatory balances, operating cash flows are impacted by such changes.</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COYL Program. </w:t>
      </w:r>
      <w:r>
        <w:rPr>
          <w:rFonts w:ascii="Times New Roman" w:cs="Times New Roman" w:eastAsia="Times New Roman" w:hAnsi="Times New Roman"/>
          <w:sz w:val="18"/>
          <w:szCs w:val="18"/>
          <w:color w:val="auto"/>
        </w:rPr>
        <w:t>In August 2021, Southwest filed a joint petition with the Regulatory Operations Staff of the PUCN proposing a Nevada COYL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replacement program to include residential COYLs, public school COYLs, and any other COYLs that are identified to be a safety concern. The petition was approved in January 2022 and provides for capital investments up to $5 million per year for five years and the establishment of a regulatory asset to track the capital-related costs. After five years, the program will be reassessed to determine if it should be continued.</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Infrastructure Replacement Mechanism. </w:t>
      </w:r>
      <w:r>
        <w:rPr>
          <w:rFonts w:ascii="Times New Roman" w:cs="Times New Roman" w:eastAsia="Times New Roman" w:hAnsi="Times New Roman"/>
          <w:sz w:val="18"/>
          <w:szCs w:val="18"/>
          <w:color w:val="auto"/>
        </w:rPr>
        <w:t>In 2014, the PUCN approved final rules for the Gas Infrastructure Replacement (“GIR”) mechanism,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for the deferral and recovery of certain costs associated with accelerated replacement of qualifying infrastructure that would not otherwise provide incremental revenues between general rate cases. Associated with the replacement of various types of pipe infrastructure under the mechanism (Early Vintage Plastic Pipe, COYL, and VSP), the</w:t>
      </w: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4" w:name="page45"/>
    <w:bookmarkEnd w:id="44"/>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related regulations provide Southwest with the opportunity to file a GIR “Advance Application” annually to seek preapproval of qualifying replacement projects.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cases where preapproval of projects is requested and granted, a GIR rate application is separately filed to reset the GIR recovery surcharge rate related to previously approved and completed projects. On September 30, 2021, Southwest filed its latest rate application to reset the recovery surcharge to include cumulative deferrals through August 31, 2021. The updated surcharge rate is expected to result in an annual revenue decrease of approximately $1.4 million in southern Nevada and an annual revenue increase of $66,000 in northern Nevada. The parties reached a stipulation that was approved by the PUCN and new rates became effective January 1, 2022.</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Conservation and Energy Efficiency. </w:t>
      </w:r>
      <w:r>
        <w:rPr>
          <w:rFonts w:ascii="Times New Roman" w:cs="Times New Roman" w:eastAsia="Times New Roman" w:hAnsi="Times New Roman"/>
          <w:sz w:val="18"/>
          <w:szCs w:val="18"/>
          <w:color w:val="auto"/>
        </w:rPr>
        <w:t>The PUCN allows deferral (and later recovery) of approved conservation and energy efficiency costs, recovery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which are adjusted in association with ARA filings. In its November 2021 ARA filing, Southwest proposed annualized margin decreases of $574,000 and $434,700 for southern and northern Nevada, respectively, which became effective in July 2022. In May 2022, Southwest filed an application seeking approval of its annual Conservation and Energy Efficiency Plan Report for 2021, with no proposed modifications to the previously approved $1.3 million annual budget for years 2022-2024. The parties reached a stipulation that was approved by the PUCN in July 2022.</w:t>
      </w:r>
    </w:p>
    <w:p>
      <w:pPr>
        <w:spacing w:after="0" w:line="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Expansion and Economic Development Legislation</w:t>
      </w:r>
      <w:r>
        <w:rPr>
          <w:rFonts w:ascii="Times New Roman" w:cs="Times New Roman" w:eastAsia="Times New Roman" w:hAnsi="Times New Roman"/>
          <w:sz w:val="18"/>
          <w:szCs w:val="18"/>
          <w:color w:val="auto"/>
        </w:rPr>
        <w:t>. In January 2016, final regulations were approved by the PUCN associated with legislation (“SB 151”)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previously introduced and signed into law in Nevada. The legislation authorized natural gas utilities to expand their infrastructure to provide service to unserved and underserved areas in Nevada.</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2017, Southwest filed for preapproval of a project to extend service to Mesquite, Nevada, in accordance with the SB 151 regulations. Ultimately, the PUCN issued an order approving Southwest’s proposal for the expansion, and Southwest provides periodic updates and adjusts the rates to recover the revenue requirement associated with the investments to serve customers as part of Southwest’s ARA filings and rate case proceedings. As of June 2022, approximately 40 miles of natural gas infrastructure has been installed throughout the Mesquite expansion area.</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June 2019, Southwest filed for preapproval to construct the infrastructure necessary to expand natural gas service to Spring Creek, near Elko, Nevada, and to implement a cost recovery methodology to recover the associated revenue requirement consistent with the SB 151 regulations. The expansion facilities consist of a high-pressure approach main and associated regulator stations, an interior backbone, and an extension of the distribution system from the interior backbone. The total capital investment was estimated to be $61.9 million. A stipulation was reached with the parties and approved by the PUCN in December 2019, including a rate recovery allocation amongst northern Nevada, Elko, and Spring Creek expansion customers. Construction began in the third quarter of 2020, and service commenced to the first Spring Creek customers in December 2020. As of June 2022, approximately 36 miles of natural gas infrastructure has been installed throughout the Spring Creek expansion area, and is anticipated to be completed in 2026.</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Carbon Offset Program. </w:t>
      </w:r>
      <w:r>
        <w:rPr>
          <w:rFonts w:ascii="Times New Roman" w:cs="Times New Roman" w:eastAsia="Times New Roman" w:hAnsi="Times New Roman"/>
          <w:sz w:val="18"/>
          <w:szCs w:val="18"/>
          <w:color w:val="auto"/>
        </w:rPr>
        <w:t>In June 2021, Southwest filed an application seeking approval to offer a voluntary program to northern and southern Nevada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to purchase carbon offsets in an effort to provide customers additional options to reduce their respective GHG emissions. A request to establish a regulatory asset to track program-related costs and revenues was included as part of the application. The parties reached a stipulation that was approved by the PUCN in December 2021 approving Southwest’s proposal. Implementation of the program is underway with customer participation expected in the third quarter of 2022.</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FERC Jurisdiction</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Rate Case. </w:t>
      </w:r>
      <w:r>
        <w:rPr>
          <w:rFonts w:ascii="Times New Roman" w:cs="Times New Roman" w:eastAsia="Times New Roman" w:hAnsi="Times New Roman"/>
          <w:sz w:val="18"/>
          <w:szCs w:val="18"/>
          <w:color w:val="auto"/>
        </w:rPr>
        <w:t>In 2020, Great Basin Gas Transmission Company (“Great Basin”), a wholly owned subsidiary of Southwest, reached an agreement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principle with the FERC Staff providing that its three largest transportation customers and all storage customers would be required to have primary service agreement terms of at least five years, that term-differentiated rates would continue generally, and included a 9.90% pre-tax rate of return. Interim rates were made effective February 2020. As part of the settlement, Great Basin will file a rate case no later than May 31, 2025.</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PGA Filings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rate schedules in all of Southwest’s service territories contain provisions that permit adjustment to rates as the cost of purchased gas changes. These deferred energy provisions and purchased gas adjustment clauses are collectively referred to as “PGA” clauses. Differences between gas costs recovered from customers and amounts paid for gas by Southwest result in over- or under-collections. Balances are recovered from or refunded to customers on an ongoing basis with interest. As of June 30, 2022, under-collections in each of Southwest’s service territories resulted in an asset of $355 million on the Company’s and Southwest’s Condensed Consolidated Balance Sheets. See also </w:t>
      </w:r>
      <w:r>
        <w:rPr>
          <w:rFonts w:ascii="Times New Roman" w:cs="Times New Roman" w:eastAsia="Times New Roman" w:hAnsi="Times New Roman"/>
          <w:sz w:val="18"/>
          <w:szCs w:val="18"/>
          <w:i w:val="1"/>
          <w:iCs w:val="1"/>
          <w:color w:val="auto"/>
        </w:rPr>
        <w:t>Deferred Purchased Gas Costs</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b w:val="1"/>
          <w:bCs w:val="1"/>
          <w:color w:val="auto"/>
        </w:rPr>
        <w:t>Note 1 – Background, Organization,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and Summary of Significant Accounting Policies </w:t>
      </w:r>
      <w:r>
        <w:rPr>
          <w:rFonts w:ascii="Times New Roman" w:cs="Times New Roman" w:eastAsia="Times New Roman" w:hAnsi="Times New Roman"/>
          <w:sz w:val="18"/>
          <w:szCs w:val="18"/>
          <w:color w:val="auto"/>
        </w:rPr>
        <w:t>in this quarterly report on Form 10-Q</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5" w:name="page46"/>
    <w:bookmarkEnd w:id="45"/>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Filings to change rates in accordance with PGA clauses are subject to audit by state regulatory commission staffs. PGA changes impact cash flows, but have no direct impact on operating margin. However, gas cost deferrals and recoveries can impact comparisons between periods of individual consolidated income statement components. These include Regulated operations revenues, Net cost of gas sold, Net interest deductions, and Other income (deductions).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Southwest’s outstanding PGA balances receivable/(payable):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20" w:type="dxa"/>
            <w:vAlign w:val="bottom"/>
          </w:tcPr>
          <w:p>
            <w:pPr>
              <w:spacing w:after="0"/>
              <w:rPr>
                <w:sz w:val="20"/>
                <w:szCs w:val="20"/>
                <w:color w:val="auto"/>
              </w:rPr>
            </w:pP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June 30, 2022</w:t>
            </w:r>
          </w:p>
        </w:tc>
        <w:tc>
          <w:tcPr>
            <w:tcW w:w="240" w:type="dxa"/>
            <w:vAlign w:val="bottom"/>
          </w:tcPr>
          <w:p>
            <w:pPr>
              <w:spacing w:after="0"/>
              <w:rPr>
                <w:sz w:val="20"/>
                <w:szCs w:val="20"/>
                <w:color w:val="auto"/>
              </w:rPr>
            </w:pPr>
          </w:p>
        </w:tc>
        <w:tc>
          <w:tcPr>
            <w:tcW w:w="2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December 31, 2021</w:t>
            </w:r>
          </w:p>
        </w:tc>
        <w:tc>
          <w:tcPr>
            <w:tcW w:w="320" w:type="dxa"/>
            <w:vAlign w:val="bottom"/>
          </w:tcPr>
          <w:p>
            <w:pPr>
              <w:spacing w:after="0"/>
              <w:rPr>
                <w:sz w:val="20"/>
                <w:szCs w:val="20"/>
                <w:color w:val="auto"/>
              </w:rPr>
            </w:pPr>
          </w:p>
        </w:tc>
        <w:tc>
          <w:tcPr>
            <w:tcW w:w="17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June 30, 2021</w:t>
            </w:r>
          </w:p>
        </w:tc>
      </w:tr>
      <w:tr>
        <w:trPr>
          <w:trHeight w:val="223"/>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254,319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214,387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194,107</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Northern Nevada</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Southern Nevada</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35,865</w:t>
            </w:r>
          </w:p>
        </w:tc>
      </w:tr>
      <w:tr>
        <w:trPr>
          <w:trHeight w:val="230"/>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4,715</w:t>
            </w:r>
          </w:p>
        </w:tc>
      </w:tr>
      <w:tr>
        <w:trPr>
          <w:trHeight w:val="248"/>
        </w:trPr>
        <w:tc>
          <w:tcPr>
            <w:tcW w:w="4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235,104</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180"/>
        <w:spacing w:after="0" w:line="298" w:lineRule="auto"/>
        <w:rPr>
          <w:sz w:val="20"/>
          <w:szCs w:val="20"/>
          <w:color w:val="auto"/>
        </w:rPr>
      </w:pPr>
      <w:r>
        <w:rPr>
          <w:rFonts w:ascii="Times New Roman" w:cs="Times New Roman" w:eastAsia="Times New Roman" w:hAnsi="Times New Roman"/>
          <w:sz w:val="16"/>
          <w:szCs w:val="16"/>
          <w:color w:val="auto"/>
        </w:rPr>
        <w:t>Not included in the PGA balances table above are $5 million at June 30, 2022 and $5.7 million at December 31, 2021 in deferred purchased gas cost liabilities for MountainWest.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Resources and Liquidity</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Historically, cash on hand and cash flows from operations have provided a substantial portion of cash used in investing activities (primarily for construction expenditures and property additions). In recent years, Southwest has undertaken significant pipe replacement activities to fortify system integrity and reliability, including on an accelerated basis in association with certain gas infrastructure replacement programs. This activity has necessitated the issuance of both debt and equity securities to supplement cash flows from operations. The Company, in executing on its plans to fund the MountainWest acquisition, initially funded the transaction through short-term borrowings, which would be refinanced through a multi-pronged permanent financing plan, some of which was executed during the first quarter of 2022 as the Company used $452 million in net proceeds from its underwritten offering of common stock to repay a portion of such short-term borrowings. In advance of full plan deployment, current liabilities are in excess of current assets creating a working capital deficit, which will be alleviated once management completes its execution on the remainder of its plan. The Company’s capitalization strategy is to maintain an appropriate balance of equity and debt to preserve investment-grade credit ratings, which help minimize interest costs. Investment-grade credit ratings have been maintained following the acquisition.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1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Operating Cash Flows. </w:t>
      </w:r>
      <w:r>
        <w:rPr>
          <w:rFonts w:ascii="Times New Roman" w:cs="Times New Roman" w:eastAsia="Times New Roman" w:hAnsi="Times New Roman"/>
          <w:sz w:val="18"/>
          <w:szCs w:val="18"/>
          <w:color w:val="auto"/>
        </w:rPr>
        <w:t>Cash flows from consolidated operating activities increased $262 million in the first six months of 2022 as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of 2021. The improvement in cash flows primarily resulted from the change in purchased gas costs, including amounts incurred and deferred, as well as impacts related to when amounts are incorporated in customer bills to recover or return deferred balances. The prior period included a $50 million incremental contribution to the noncontributory qualified retirement plan (reflected as a change in other liabilities and deferred credits). Other impacts include benefits from depreciation and changes and components of working capital overall.</w:t>
      </w:r>
    </w:p>
    <w:p>
      <w:pPr>
        <w:spacing w:after="0" w:line="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corporate and administrative expenses/outflows for Southwest Gas Holdings, Inc. in the six- and twelve-month periods ended June 30, 2022 include outlays related to shareholder activism and the Strategic Review, in addition to outlays related to expenditures/financing costs for the MountainWest acquisition.</w:t>
      </w:r>
    </w:p>
    <w:p>
      <w:pPr>
        <w:spacing w:after="0" w:line="6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Cash used in consolidated investing activities increased $44 million in the first six months of 2022 as compared to the same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2021. The change was primarily due to an increase in capital expenditures in both the natural gas distribution and utility infrastructure services segments. The current period also included a post-closing payment of $18.8 million in association with the MountainWest acquisition.</w:t>
      </w:r>
    </w:p>
    <w:p>
      <w:pPr>
        <w:spacing w:after="0" w:line="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Net cash provided by consolidated financing activities decreased $189 million in the first six months of 2022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of 2021. The change was primarily due to borrowings by Southwest in the first six months of 2021, including the March 2021 Term Loan to finance a gas cost runup caused by the freeze event in and around the central U.S. due to Winter Storm Uri, as well as borrowings under the Company’s credit facility; by comparison, in the first six months of 2022, financing activities were largely undertaken in concert with reductions in other borrowings. The Company reduced its 364-day Term Loan facility (utilized to finance the MountainWest acquisition) through net proceeds of $452 million from the issuance of common stock in an underwritten public offering in the current period. Proceeds from equity issuances by the holding company were lower in 2021 (and were contributed to Southwest in that period). Furthermore, while debt proceeds were received by Southwest’s issuance of $600 million in notes, it also redeemed, in February 2022, $25 million 7.78% series</w:t>
      </w: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6" w:name="page47"/>
    <w:bookmarkEnd w:id="46"/>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Medium-term notes then maturing, as well as $250 million in notes maturing in April 2022. Southwest also repaid (during 2022) $25 million of amounts outstanding on the March 2021 Term Loan utilized to finance the gas cost runup in 2021. Outstanding amounts under the long-term portion of Southwest’s facility were also paid down during 2022 ($130 million). The holding company had higher borrowings under its credit facility in the current period given its expenditures for shareholder activism and settlement activities, along with the Strategic Review. Centuri’s line of credit and term loan facility borrowings during the first six months of 2021 exceeded amounts in the current period. Dividends paid in 2022 were also higher than during the comparative period in 2021.</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capital requirements and resources of the Company generally are determined independently for the individual business segments. Each business segment is generally responsible for securing its own financing sources. However, the holding company may raise funds through stock issuances or other external financing sources in support of each business segment.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1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Operating Cash Flows. </w:t>
      </w:r>
      <w:r>
        <w:rPr>
          <w:rFonts w:ascii="Times New Roman" w:cs="Times New Roman" w:eastAsia="Times New Roman" w:hAnsi="Times New Roman"/>
          <w:sz w:val="18"/>
          <w:szCs w:val="18"/>
          <w:color w:val="auto"/>
        </w:rPr>
        <w:t>Cash flows provided by operating activities increased $270 million in the first six months of 2022 as compared to the same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2021. The improvement in operating cash flows was primarily attributable to the impacts related to deferred purchased gas costs (described above), as well as to other working capital changes. While gas costs incurred were higher in both periods compared to earlier recent historical periods, the first six months of 2021 included unusual/excessive increases in costs over a number of days in February 2021 amidst the freeze event from Winter Storm Uri. While gas costs incurred in the first six months of 2021 were higher, collections from customers in the 2022 period increased over the six-month period of 2021, which includes the effects of when gas costs are incorporated into customer rates.</w:t>
      </w:r>
    </w:p>
    <w:p>
      <w:pPr>
        <w:spacing w:after="0" w:line="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Cash used in investing activities increased $8 million in the first six months of 2022 as compared to the same period of 2021.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change was primarily due to increases in capital expenditures in 2022 partly offset by an increase in customer advances as compared to the same period in the prior year. See also </w:t>
      </w:r>
      <w:r>
        <w:rPr>
          <w:rFonts w:ascii="Times New Roman" w:cs="Times New Roman" w:eastAsia="Times New Roman" w:hAnsi="Times New Roman"/>
          <w:sz w:val="18"/>
          <w:szCs w:val="18"/>
          <w:i w:val="1"/>
          <w:iCs w:val="1"/>
          <w:color w:val="auto"/>
        </w:rPr>
        <w:t>Gas Segment Construction Expenditures and Financing</w:t>
      </w:r>
      <w:r>
        <w:rPr>
          <w:rFonts w:ascii="Times New Roman" w:cs="Times New Roman" w:eastAsia="Times New Roman" w:hAnsi="Times New Roman"/>
          <w:sz w:val="18"/>
          <w:szCs w:val="18"/>
          <w:color w:val="auto"/>
        </w:rPr>
        <w:t xml:space="preserve"> below.</w:t>
      </w:r>
    </w:p>
    <w:p>
      <w:pPr>
        <w:spacing w:after="0" w:line="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Net cash provided by financing activities decreased $195 million in the first six months of 2022 as compared to the same period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2021. The decline was primarily due to the impacts cited above. The 2021 period included proceeds to finance gas purchases during Winter Storm Uri; by comparison, in 2022, financing proceeds were largely offset by debt repayments. Southwest issued $600 million in notes in the first quarter of 2022, and paid down amounts then outstanding under its credit facility and redeemed $250 million in notes maturing in April 2022. It also redeemed $25 million 7.78% series Medium-term notes that matured in February 2022, and $25 million of amounts outstanding under the March 2021 Term Loan used to fund increased gas purchased costs during the 2021 freeze event. See </w:t>
      </w:r>
      <w:r>
        <w:rPr>
          <w:rFonts w:ascii="Times New Roman" w:cs="Times New Roman" w:eastAsia="Times New Roman" w:hAnsi="Times New Roman"/>
          <w:sz w:val="18"/>
          <w:szCs w:val="18"/>
          <w:b w:val="1"/>
          <w:bCs w:val="1"/>
          <w:color w:val="auto"/>
        </w:rPr>
        <w:t>Note 5 – Debt</w:t>
      </w:r>
      <w:r>
        <w:rPr>
          <w:rFonts w:ascii="Times New Roman" w:cs="Times New Roman" w:eastAsia="Times New Roman" w:hAnsi="Times New Roman"/>
          <w:sz w:val="18"/>
          <w:szCs w:val="18"/>
          <w:color w:val="auto"/>
        </w:rPr>
        <w:t>. Furthermore, parent capital contributions from equity issuances made in 2021 have not recurred in 2022, while dividends paid to the parent holding company were higher in the current period.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Gas Segment Construction Expenditures, Debt Maturities, and Financing</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twelve-month period ended June 30, 2022, construction expenditures for the natural gas distribution segment were $619 million (not including amounts incurred for capital expenditures not yet paid). The majority of these expenditures represented costs associated with the replacement of existing transmission, distribution, and general plant to fortify system integrity and reliability.</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Management estimates natural gas segment construction expenditures during the five-year period ending December 31, 2026 will be approximately $2.5 billion to $3.5 billion. Of this amount, approximately $600 million to $650 million is expected to be incurred in 2022. Southwest plans to continue to request regulatory support to undertake projects, or to accelerate projects as necessary, for the improvement of system flexibility and reliability, or to expand, where relevant, to unserved or underserved areas. Southwest may expand existing, or initiate new, programs. Significant replacement activities are expected to continue well beyond the next few years. See also </w:t>
      </w:r>
      <w:r>
        <w:rPr>
          <w:rFonts w:ascii="Times New Roman" w:cs="Times New Roman" w:eastAsia="Times New Roman" w:hAnsi="Times New Roman"/>
          <w:sz w:val="18"/>
          <w:szCs w:val="18"/>
          <w:b w:val="1"/>
          <w:bCs w:val="1"/>
          <w:color w:val="auto"/>
        </w:rPr>
        <w:t>Rates and Regulatory Proceedings</w:t>
      </w:r>
      <w:r>
        <w:rPr>
          <w:rFonts w:ascii="Times New Roman" w:cs="Times New Roman" w:eastAsia="Times New Roman" w:hAnsi="Times New Roman"/>
          <w:sz w:val="18"/>
          <w:szCs w:val="18"/>
          <w:color w:val="auto"/>
        </w:rPr>
        <w:t>. During the three-year period, cash flows from operating activities of Southwest are expected to provide approximately 69% of the funding for gas operations of Southwest and total construction expenditures and dividend requirements. As of June 30, 2022, Southwest had the March 2021 Term Loan with an outstanding balance of $225 million, due in March 2023. Any additional cash requirements, including construction-related, and pay down or refinancing of debt, are expected to be provided by existing credit facilities, equity contributions from the Company, and/or other external financing sources. The timing, types, and amounts of additional external financings will be dependent on a number of factors, including the cost of gas purchases, conditions in capital markets, timing and amounts of rate relief, timing and amounts of surcharge collections from, or amounts returned to, customers related to other regulatory mechanisms and programs, as well as growth levels in Southwest’s service areas and earnings. External financings may include the issuance of debt securities, bank and other short-term borrowings, and other forms of financing.</w:t>
      </w: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7" w:name="page48"/>
    <w:bookmarkEnd w:id="47"/>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2022</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Policy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Dividends are payable on the Company’s common stock at the discretion of the Board. In setting the dividend rate, the Board currently targets a payout ratio of 55% to 65% of consolidated earnings per share and considers, among other factors, current and expected future earnings levels, our ongoing capital expenditure plans, expected external funding needs, and our ability to maintain investment-grade credit ratings and liquidity. The Company has paid dividends on its common stock since 1956 and has increased that dividend each year since 2007. In February 2022, the Board elected to increase the quarterly dividend from $0.595 to $0.62 per share, representing a 4.2% increase, effective with the June 2022 payment.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Several factors (some of which are out of the control of the Company) that could significantly affect liquidity in the future include: variability of natural gas prices, changes in ratemaking policies of regulatory commissions, regulatory lag, customer growth in the natural gas distribution segment, the ability to access and obtain capital from external sources, interest rates, changes in income tax laws, pension funding requirements, inflation, and the level of earnings. Natural gas prices and related gas cost recovery rates, as well as plant investment, have historically had the most significant impact on liquidity.</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an interim basis, Southwest defers over- or under-collections of gas costs to PGA balancing accounts. In addition, Southwest uses this mechanism to either refund amounts over-collected or recoup amounts under-collected as compared to the price paid for natural gas during the period since the last PGA rate change went into effect. At June 30, 2022, the combined balance in the PGA accounts totaled an under-collection of $355 million. See </w:t>
      </w:r>
      <w:r>
        <w:rPr>
          <w:rFonts w:ascii="Times New Roman" w:cs="Times New Roman" w:eastAsia="Times New Roman" w:hAnsi="Times New Roman"/>
          <w:sz w:val="18"/>
          <w:szCs w:val="18"/>
          <w:b w:val="1"/>
          <w:bCs w:val="1"/>
          <w:color w:val="auto"/>
        </w:rPr>
        <w:t>PGA Filings</w:t>
      </w:r>
      <w:r>
        <w:rPr>
          <w:rFonts w:ascii="Times New Roman" w:cs="Times New Roman" w:eastAsia="Times New Roman" w:hAnsi="Times New Roman"/>
          <w:sz w:val="18"/>
          <w:szCs w:val="18"/>
          <w:color w:val="auto"/>
        </w:rPr>
        <w:t xml:space="preserve"> for more information.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2022, Southwest amended the $250 million March 2021 Term Loan, extending the maturity date to March 21, 2023. As noted above, the proceeds were originally used to fund the increased cost of natural gas supply during the month of February 2021 caused by extreme weather conditions in the central U.S. The March 2021 Term Loan was extended as a result of the current gas cost environment and management’s funding plans for purchases. At June 30, 2022, there was $225 million outstanding under the March 2021 Term Loan.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2022, Southwest issued $600 million aggregate principal amount of 4.05% Senior Notes at a discount of 0.65%. The notes will mature in March 2032. Southwest used the net proceeds to redeem $250 million 3.875% notes due in April 2022 and to repay outstanding amounts under its credit facility, with the remaining net proceeds used for general corporate purposes.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Southwest has a credit facility, with a borrowing capacity of $400 million, which expires in April 2025. Southwest designates $150 million of the facility for long-term borrowing needs and the remaining $250 million for working capital purposes. The maximum amount outstanding on the long-term portion of the credit facility (including a commercial paper program) during the first six months of 2022 was $150 million. The maximum amount outstanding on the short-term portion of the credit facility during the first six months of 2022 was $85 million. As of June 30, 2022, no borrowings were outstanding on the short-term or long-term portions of this credit facility. The credit facility can be used as necessary to meet liquidity requirements, including temporarily financing under-collected PGA balances, or meeting the refund needs of over-collected balances. The credit facility has been adequate for Southwest’s working capital needs outside of funds raised through operations and other types of external financing. As indicated, any additional cash requirements would include the existing credit facility, equity contributions from the Company, and/or other external financing sources.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Southwest has a $50 million commercial paper program. Any issuance under the commercial paper program is supported by Southwest’s current revolving credit facility and, therefore, does not represent additional borrowing capacity. Any borrowing under the commercial paper program during 2022 will be designated as long-term debt. Interest rates for the commercial paper program are calculated at the current commercial paper rate during the borrowing term. At June 30, 2022, there were no borrowings outstanding under this program.</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Centuri has a senior secured revolving credit and term loan facility. The line of credit portion comprises $400 million; associated amounts borrowed and repaid are available to be re-borrowed. The term loan facility portion provided approximately $1.145 billion in financing. The term loan facility expires on August 27, 2028 and the revolving credit facility expires on August 27, 2026. This multi-currency facility allows the borrower to request loan advances in either Canadian dollars or U.S. dollars. The obligations under the credit agreement are secured by present and future ownership interests in substantially all direct and indirect subsidiaries of Centuri, substantially all of the tangible and intangible personal property of each borrower, certain of their direct and indirect subsidiaries, and all products, profits, and proceeds of the foregoing. Centuri assets securing the facility at June 30, 2022 totaled $2.5 billion. The maximum amount outstanding on the combined facility during the first six months of 2022 was $1.2 billion. As of June 30, 2022, $146 million was outstanding on the revolving credit facility, in addition to $1.01 billion that was outstanding on the term loan portion of the facility. Also at June 30, 2022, there was approximately $190 million, net of letters of credit, available for borrowing under the line of credit.</w:t>
      </w: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8" w:name="page49"/>
    <w:bookmarkEnd w:id="48"/>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Southwest Gas Holdings, Inc. has a credit facility with a borrowing capacity of $200 million that expires in December 2026. This facility is intended for short-term financing needs. At June 30, 2022, $90 million was outstanding under this facility.</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2021, the Company entered into a $1.6 billion delayed-draw Term Loan Facility that was funded on December 31, 2021 in connection with the acquisition of MountainWest. This term loan matures on December 30, 2022. There was $1.15 billion outstanding under this Term Loan Facility as of June 30, 2022, included in the total of $1.46 billion of total short-term debt as of June 30, 2022. Current maturities of $41 million on the balance sheet as of that date relate to Centuri. These conditions contributed to a negative working capital position of $707 million as of June 30, 2022, and the Company does not currently have sufficient liquidity or capital resources to repay this debt at maturity without issuing new debt or equity. In March 2022, the Company used net proceeds from the issuance of common stock (see below) to repay a portion of borrowings under the Term Loan Facility. Management intends to pay off the remainder of the Term Loan Facility through the issuance of long-term debt, or extend the Term Loan Facility up to 364 days. However, management maintains the discretion to seek alternative sources, and can provide no assurances as to its ability to refinance this obligation with the intended method or on attractive terms.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2022, the Company sold, through a prospectus supplement under its Universal Shelf program, an aggregate of 6.325 million shares of common stock, with an underwritten public offering price of $74.00 per share, resulting in proceeds to the Company of $452.2 million, net of the underwriters’ discount of $15.8 million. The Company used the net proceeds to repay a portion of the outstanding borrowings under the 364-day Term Loan Facility that was used to initially fund the MountainWest acquisition.</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April 2021, the Company entered into a Sales Agency Agreement between the Company and BNY Mellon Capital Markets, LLC and J.P. Morgan Securities LLC (the “Equity Shelf Program”) for the offer and sale of up to $500 million of common stock from time to time in at-the-market offerings under the related prospectus supplement filed with the Securities and Exchange Commission (the “SEC”) the same month. There was no activity under this multi-year program during the second quarter of 2022. Net proceeds from the sales of shares of common stock under the Equity Shelf Program are intended for general corporate purposes, including the acquisition of property for the construction, completion, extension, or improvement of pipeline systems and facilities located in and around the communities served by Southwest, as well as for repayment or repurchase of indebtedness (including amounts outstanding from time to time under the credit facilities, senior notes, Term Loan or future credit facilities), and to provide for working capital. The Company had approximately $341.8 million available under the program as of June 30, 2022.</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During the twelve months ended June 30, 2022, 1,251,810 shares were issued in at-the-market offerings under the foregoing program at an average price of $70.15 per share with gross proceeds of $87.8 million, agent commissions of $0.9 million, and net proceeds of $86.9 million under the equity shelf program noted above. See </w:t>
      </w:r>
      <w:r>
        <w:rPr>
          <w:rFonts w:ascii="Times New Roman" w:cs="Times New Roman" w:eastAsia="Times New Roman" w:hAnsi="Times New Roman"/>
          <w:sz w:val="18"/>
          <w:szCs w:val="18"/>
          <w:b w:val="1"/>
          <w:bCs w:val="1"/>
          <w:color w:val="auto"/>
        </w:rPr>
        <w:t>Note 4 – Common Stock</w:t>
      </w:r>
      <w:r>
        <w:rPr>
          <w:rFonts w:ascii="Times New Roman" w:cs="Times New Roman" w:eastAsia="Times New Roman" w:hAnsi="Times New Roman"/>
          <w:sz w:val="18"/>
          <w:szCs w:val="18"/>
          <w:color w:val="auto"/>
        </w:rPr>
        <w:t xml:space="preserve"> for more information.</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Interest rates for the Company’s Term Loan Facility and Centuri’s credit facility contain LIBOR-based rates. Certain LIBOR-based rates were scheduled to be discontinued as a benchmark or reference rate after 2021, while other LIBOR-based rates are scheduled to be discontinued after June 2023. As of June 30, 2022, the Company had $2.16 billion in aggregate outstanding borrowings under Centuri’s credit facility and the Company’s Term Loan Facility. In order to mitigate the impact of a LIBOR discontinuance on the Company’s financial condition and results of operations, management will monitor developments and work with lenders, where relevant, to determine the appropriate replacement/alternative reference rate for variable rate debt. At this time the Company can provide no assurances as to the impact a LIBOR discontinuance will have on its financial condition or results of operations. Any alternative rate may be less predictable or less attractive than LIBOR.</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quarterly report contains statements which constitute “forward-looking statements” within the meaning of the Private Securities Litigation Reform Act of 1995 (“Reform Act”). All statements other than statements of historical fact included or incorporated by reference in this quarterly report are forward-looking statements, including, without limitation, statements regarding the Company’s plans, objectives, goals, intentions, projections, strategies, future events or performance, negotiations, and underlying assumptions. The words “may,” “if,” “will,” “should,” “could,” “expect,” “plan,” “anticipate,” “believe,” “estimate,” “predict,” “project,” “continue,” “forecast,” “intend,” “endeavor,” “promote,” “seek,” and similar words and expressions are generally used and intended to identify forward-looking statements. For example, statements regarding plans to review strategic alternatives to maximize stockholder value, refinance near-term maturities, to separate Centuri or other entities from the Company, those regarding operating margin patterns, customer growth, the composition of our customer base, price volatility, seasonal patterns, payment of debt, the Company’s COLI strategy, replacement market and new construction market, our intent and ability to complete planned acquisitions or divestitures and at amounts originally set out, impacts from the COVID-19 pandemic, including on our employees, customers, or otherwise, our financial position, revenue, earnings, cash flows, debt covenants, operations, regulatory recovery, work deployment or resumption and related uncertainties stemming</w:t>
      </w: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9" w:name="page50"/>
    <w:bookmarkEnd w:id="49"/>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from this pandemic or otherwise, expected impacts of valuation adjustments associated with any redeemable noncontrolling interest, the profitability of storm work, mix of work, or absorption of fixed costs by larger infrastructure services customers including Southwest, the impacts of U.S. tax reform including disposition in any regulatory proceeding and bonus depreciation tax deductions, the impact of recent Pipeline and Hazardous Materials Safety Administration rulemaking, the amounts and timing for completion of estimated future construction expenditures, plans to pursue infrastructure programs or programs under SB 151 legislation, forecasted operating cash flows and results of operations, net earnings impacts or recovery of costs from gas infrastructure replacement and COYL programs and surcharges, funding sources of cash requirements, amounts generally expected to be reflected in future period revenues from regulatory rate proceedings including amounts requested or settled from recent and ongoing general rate cases or other regulatory proceedings, rates and surcharges, PGA administration and recovery, and other rate adjustments, sufficiency of working capital and current credit facilities, bank lending practices, the Company’s views regarding its liquidity position, ability to raise funds and receive external financing capacity and the intent and ability to issue various financing instruments and stock under the existing at-the-market equity program or otherwise, future dividend increases and the Board’s current target dividend payout ratio, pension and postretirement benefits, certain impacts of tax acts, the effect of any other rate changes or regulatory proceedings, contract or construction change order negotiations, impacts of accounting standard updates, statements regarding future gas prices, gas purchase contracts and pipeline imbalance charges or claims related thereto, recoverability of regulatory assets, the impact of certain legal proceedings or claims, and the timing and results of future rate hearings, including any ongoing or future general rate cases and other proceedings, and the final resolution for recovery of the CDMI-related amounts and balances in any jurisdiction, and statements regarding pending approvals are forward-looking statements. All forward-looking statements are intended to be subject to the safe harbor protection provided by the Reform Act.</w:t>
      </w:r>
    </w:p>
    <w:p>
      <w:pPr>
        <w:spacing w:after="0" w:line="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number of important factors affecting the business and financial results of the Company could cause actual results to differ materially from those stated in the forward-looking statements. These factors include, but are not limited to, customer growth rates, conditions in the housing market, the impacts of COVID-19 including that which may result from a continued or resumed restriction by government officials or otherwise, including impacts on employment in our territories, impacts related to supply chains, the health impacts to our customers and employees due to the virus or virus variants or efficacy of vaccines, the ability to collect on customer accounts due to the suspension or lifted moratorium on late fees or service disconnection in any or all jurisdictions, the ability of the infrastructure services business to resume or continue work with all customers and the impact of a delay or termination of work as a result thereof, the impacts of future restrictions placed on our business by government regulation or otherwise, the impact of a resurgence of the virus or its variants, and decisions of Centuri customers (including Southwest) as to whether to pursue capital projects due to economic impacts resulting from the pandemic or otherwise, the effects of regulation/deregulation, governmental or regulatory policy regarding pipeline safety, greenhouse gas emissions, natural gas or alternative energy, the regulatory support for ongoing infrastructure programs or expansions, the timing and amount of rate relief, the timing and methods determined by regulators to refund amounts to customers resulting from U.S. tax reform, changes in rate design, variability in volume of gas or transportation service sold to customers, changes in gas procurement practices and prices, impacts of inflation, changes in capital requirements and funding, the impact of credit rating actions and conditions in the capital markets on financing costs, the impact of variable rate indebtedness with or without a discontinuance of LIBOR including in relation to amounts of indebtedness then outstanding, changes in construction expenditures and financing, levels of or changes in operations and maintenance expenses, or other costs, including fuel costs and other costs impacted by inflation or otherwise, geopolitical influences on the business or its costs, effects of pension or other postretirement benefit expense forecasts or plan modifications, accounting changes and regulatory treatment related thereto, currently unresolved and future liability claims and disputes, changes in pipeline capacity for the transportation of gas and related costs, results of Centuri bid work, the impact of weather on Centuri’s operations, projections about acquired business’ earnings or those planned (including accretion within the first twelve months or other periods) and future acquisition-related costs, the timing and magnitude of costs necessary to integrate and stand up newly acquired operations, administration, and systems, and the ability to complete stand-up for MountainWest prior to the expiration of the transition services agreement, the ability to attract, hire, and maintain necessary staff and management for our collective operations, impacts of changes in value of any redeemable noncontrolling interest if at other than fair value, Centuri utility infrastructure expenses, differences between actual and originally expected outcomes of Centuri bid or other fixed-price construction agreements, outcomes from contract and change order negotiations, ability to successfully procure new work and impacts from work awarded or failing to be awarded from significant customers (collectively, including from Southwest), the mix of work awarded, the amount of work awarded to Centuri following the lifting of work stoppages or reduction, the result of productivity inefficiencies from regulatory requirements or otherwise, delays in commissioning individual projects, acquisitions and divestitures and management’s plans related thereto, the ability of management to successfully finance, close, and assimilate acquired businesses, the impact on our stock price or our credit ratings due to undertaking or failing to undertake acquisition activity or other strategic endeavors, the impact on our stock price, costs, or businesses from the stock rights program, actions or disruptions of significant shareholders and costs related thereto, competition, our ability to raise capital in external financings, our ability to continue to remain within</w:t>
      </w: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50" w:name="page51"/>
    <w:bookmarkEnd w:id="50"/>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ratios and other limits subject to our debt covenants, and ongoing evaluations in regard to goodwill and other intangible assets. In addition, the Company can provide no assurance that its discussions regarding certain trends or plans relating to its financing and operating expenses will continue, proceed as planned, or cease to continue in future periods. For additional information on the risks associated with the Company’s business, see </w:t>
      </w:r>
      <w:r>
        <w:rPr>
          <w:rFonts w:ascii="Times New Roman" w:cs="Times New Roman" w:eastAsia="Times New Roman" w:hAnsi="Times New Roman"/>
          <w:sz w:val="18"/>
          <w:szCs w:val="18"/>
          <w:b w:val="1"/>
          <w:bCs w:val="1"/>
          <w:color w:val="auto"/>
        </w:rPr>
        <w:t>Item 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Risk Factors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Item 7A. Quantitative and Qualitative Disclosures About Market Risk </w:t>
      </w:r>
      <w:r>
        <w:rPr>
          <w:rFonts w:ascii="Times New Roman" w:cs="Times New Roman" w:eastAsia="Times New Roman" w:hAnsi="Times New Roman"/>
          <w:sz w:val="18"/>
          <w:szCs w:val="18"/>
          <w:color w:val="auto"/>
        </w:rPr>
        <w:t>in the Annual Report on Form 10-K for the year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2021.</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All forward-looking statements in this quarterly report are made as of the date hereof, based on information available to the Company and Southwest as of the date hereof, and the Company and Southwest assume no obligation to update or revise any of its forward-looking statements, even if experience or future changes show that the indicated results or events will not be realized. </w:t>
      </w:r>
      <w:r>
        <w:rPr>
          <w:rFonts w:ascii="Times New Roman" w:cs="Times New Roman" w:eastAsia="Times New Roman" w:hAnsi="Times New Roman"/>
          <w:sz w:val="18"/>
          <w:szCs w:val="18"/>
          <w:b w:val="1"/>
          <w:bCs w:val="1"/>
          <w:color w:val="auto"/>
        </w:rPr>
        <w:t>We caution you not to unduly rely on any forward-looking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b w:val="1"/>
          <w:bCs w:val="1"/>
          <w:color w:val="auto"/>
        </w:rPr>
        <w:t>Item 7A. Quantitative and Qualitative Disclosures about Market Risk</w:t>
      </w:r>
      <w:r>
        <w:rPr>
          <w:rFonts w:ascii="Times New Roman" w:cs="Times New Roman" w:eastAsia="Times New Roman" w:hAnsi="Times New Roman"/>
          <w:sz w:val="18"/>
          <w:szCs w:val="18"/>
          <w:color w:val="auto"/>
        </w:rPr>
        <w:t xml:space="preserve"> in the 2021 Annual Report on Form 10-K filed with the SEC. No material changes have occurred related to the disclosures about market risk.</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Management of Southwest Gas Holdings, Inc. and Southwest Gas Corporation has established disclosure controls and procedures (as defined in Rules 13a-15(e) and 15d-15(e) under the Securities Exchange Act of 1934, as amended (the “Exchange Act”)) that are designed to provide reasonable assurance that information required to be disclosed in their respective reports filed or submitted under the Exchange Act is recorded, processed, summarized, and reported within the time periods specified in the SEC’s rules and forms and to provide reasonable assurance that such information is accumulated and communicated to management of each company, including each respective Chief Executive Officer and Chief Financial Officer, as appropriate, to allow timely decisions regarding required disclosures. A control system, no matter how well conceived and operated, can provide only reasonable, not absolute, assurance that the objectives of the control system are met. Further, the design of a control system must reflect the fact that there are resource constraints, and benefits of controls must be considered relative to their costs. Additionally, controls can be circumvented by the individual acts of some persons, by collusion of two or more people, or management override of the control. Because of the inherent limitations in a cost-effective control system, misstatements due to error or fraud may occur and may not be detected.</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most recent evaluation, as of June 30, 2022, management of Southwest Gas Holdings, Inc. and Southwest Gas Corporation, including the Chief Executive Officer and Chief Financial Officer, believes the Company’s and Southwest’s disclosure controls and procedures are effective at attaining the level of reasonable assurance noted above.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the Company’s or Southwest’s internal control over financial reporting (as defined in Rules 13a-15(f) and 15d-15(f) of the Exchange Act) during the second quarter of 2022 that have materially affected, or are likely to materially affect the Company’s internal control over financial reporting.</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and Southwest are named as a defendant in various legal proceedings. The ultimate dispositions of these proceedings are not presently determinable; however, it is the opinion of management that none of this litigation individually or in the aggregate will have a material adverse impact on the Company’s or Southwest’s financial position or results of operations. See </w:t>
      </w:r>
      <w:r>
        <w:rPr>
          <w:rFonts w:ascii="Times New Roman" w:cs="Times New Roman" w:eastAsia="Times New Roman" w:hAnsi="Times New Roman"/>
          <w:sz w:val="18"/>
          <w:szCs w:val="18"/>
          <w:i w:val="1"/>
          <w:iCs w:val="1"/>
          <w:color w:val="auto"/>
        </w:rPr>
        <w:t>Contingency</w:t>
      </w:r>
      <w:r>
        <w:rPr>
          <w:rFonts w:ascii="Times New Roman" w:cs="Times New Roman" w:eastAsia="Times New Roman" w:hAnsi="Times New Roman"/>
          <w:sz w:val="18"/>
          <w:szCs w:val="18"/>
          <w:color w:val="auto"/>
        </w:rPr>
        <w:t xml:space="preserve"> within </w:t>
      </w:r>
      <w:r>
        <w:rPr>
          <w:rFonts w:ascii="Times New Roman" w:cs="Times New Roman" w:eastAsia="Times New Roman" w:hAnsi="Times New Roman"/>
          <w:sz w:val="18"/>
          <w:szCs w:val="18"/>
          <w:b w:val="1"/>
          <w:bCs w:val="1"/>
          <w:color w:val="auto"/>
        </w:rPr>
        <w:t>Note 1 – Background, Organization, and 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color w:val="auto"/>
        </w:rPr>
        <w:t>for ongoing and dismissed litigation, including litigation filed by certain stockholders and by funds managed by Carl 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Icahn.</w:t>
      </w:r>
    </w:p>
    <w:p>
      <w:pPr>
        <w:spacing w:after="0" w:line="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color w:val="auto"/>
        </w:rPr>
        <w:t>Described below is a risk factor that we have identified that may have a negative impact on our future financial performance or affect whether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achieve the goals or expectations expressed or implied in any forward-looking statements contained herein. This risk factor supplements, and does not replace, the Risk Factors and other disclosures made in our Annual Report on Form 10-K filed March 1, 2022 and our Quarterly Report on Form 10-Q filed May 10, 2022.</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Challenges relating to current supply chain constraints have negatively impacted Centuri’s work mix and volumes and could adversely impact our results of operations overall.</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increased demand across a range of industries, the global supply market for certain customer-provided components, including, but not limited to, electric transformers and gas risers needed to complete customer projects at Centuri, has experienced isolated performance constraint and disruption in recent periods in support of a few customers. This constrained supply environment has adversely affected, and could further affect, customer-provided component availability, lead times and cost, and could increase the likelihood of unexpected cancellations or delays of supply of key components to customers, thereby</w:t>
      </w:r>
    </w:p>
    <w:p>
      <w:pPr>
        <w:sectPr>
          <w:pgSz w:w="11900" w:h="16838" w:orient="portrait"/>
          <w:cols w:equalWidth="0" w:num="1">
            <w:col w:w="11240"/>
          </w:cols>
          <w:pgMar w:left="320" w:top="257" w:right="33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type w:val="continuous"/>
        </w:sectPr>
      </w:pPr>
    </w:p>
    <w:bookmarkStart w:id="51" w:name="page52"/>
    <w:bookmarkEnd w:id="51"/>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leading to delays in Centuri’s ability to timely deliver projects to customers. In an effort to mitigate these risks, Centuri has redirected efforts to projects whereby the customer has provided necessary materials, but delays in materials and redirecting workforces can lead to inefficiencies in absorption of fixed costs, higher labor costs for teams waiting to be deployed, and delays in pivoting to projects where necessary materials are available. Centuri’s efforts to adapt quickly or redeploy to other projects may fail to reduce the impact of these adverse supply chain conditions on Centuri’s business.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Despite these mitigation efforts, the constrained supply conditions may adversely impact Centuri’s revenues and results of operations. At the same time, increased costs associated with fuel, labor, equipment rental, and other job costs may adversely impact Centuri’s gross margin, profitability, and ability to complete customer projects in a manner consistent with prior periods. The COVID-19 pandemic, labor market, and conflict in Ukraine have also contributed to and exacerbated this strain within and outside the U.S., and there can be no assurance that these impacts on the supply chain will not continue, or worsen, in the future, negatively impacting any of our business segments and their results. The current supply chain challenges could also result in increased use of cash, engineering design changes, and delays in the completion of customer or other capital projects, each of which could adversely impact our business and results of operations for Centuri, Southwest, or MountainWest. In the event these supply chain challenges persist for the foreseeable future, these conditions could adversely impact our results of operations and financial condition over an extended period.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ITEMS 2 through 3. </w:t>
      </w: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MINE SAFETY DISCLOSURES </w:t>
      </w: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OTHER INFORMATION </w:t>
      </w: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52" w:name="page53"/>
    <w:bookmarkEnd w:id="52"/>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2022</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or furnished, as applicable, as part of this report on Form 10-Q:</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4.01</w:t>
            </w:r>
          </w:p>
        </w:tc>
        <w:tc>
          <w:tcPr>
            <w:tcW w:w="9740" w:type="dxa"/>
            <w:vAlign w:val="bottom"/>
            <w:gridSpan w:val="13"/>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63">
              <w:r>
                <w:rPr>
                  <w:rFonts w:ascii="Times New Roman" w:cs="Times New Roman" w:eastAsia="Times New Roman" w:hAnsi="Times New Roman"/>
                  <w:sz w:val="18"/>
                  <w:szCs w:val="18"/>
                  <w:color w:val="0000FF"/>
                </w:rPr>
                <w:t>Amendment No. 1 to Rights Agreement, dated May 9, 2022, between Southwest Gas Holdings, Inc. and Equiniti Trust</w:t>
              </w:r>
            </w:hyperlink>
          </w:p>
        </w:tc>
      </w:tr>
      <w:tr>
        <w:trPr>
          <w:trHeight w:val="155"/>
        </w:trPr>
        <w:tc>
          <w:tcPr>
            <w:tcW w:w="1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8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Company, as Rights Agent. Incorporated herein by reference to Exhibit 4.01 to Form 8-K dated May 10, 2022. File Nos. 001-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4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63">
              <w:r>
                <w:rPr>
                  <w:rFonts w:ascii="Times New Roman" w:cs="Times New Roman" w:eastAsia="Times New Roman" w:hAnsi="Times New Roman"/>
                  <w:sz w:val="18"/>
                  <w:szCs w:val="18"/>
                  <w:color w:val="0000FF"/>
                  <w:w w:val="99"/>
                </w:rPr>
                <w:t>37976 and 001-07850.</w:t>
              </w:r>
            </w:hyperlink>
          </w:p>
        </w:tc>
        <w:tc>
          <w:tcPr>
            <w:tcW w:w="7620" w:type="dxa"/>
            <w:vAlign w:val="bottom"/>
            <w:tcBorders>
              <w:top w:val="single" w:sz="8" w:color="0000FF"/>
            </w:tcBorders>
            <w:gridSpan w:val="7"/>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10.1</w:t>
            </w:r>
          </w:p>
        </w:tc>
        <w:tc>
          <w:tcPr>
            <w:tcW w:w="9740" w:type="dxa"/>
            <w:vAlign w:val="bottom"/>
            <w:gridSpan w:val="13"/>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64">
              <w:r>
                <w:rPr>
                  <w:rFonts w:ascii="Times New Roman" w:cs="Times New Roman" w:eastAsia="Times New Roman" w:hAnsi="Times New Roman"/>
                  <w:sz w:val="18"/>
                  <w:szCs w:val="18"/>
                  <w:color w:val="0000FF"/>
                </w:rPr>
                <w:t>Cooperation Agreement, dated as of May 6, 2022, by and among the Icahn Group and Southwest Gas Holdings, Inc.</w:t>
              </w:r>
            </w:hyperlink>
          </w:p>
        </w:tc>
      </w:tr>
      <w:tr>
        <w:trPr>
          <w:trHeight w:val="156"/>
        </w:trPr>
        <w:tc>
          <w:tcPr>
            <w:tcW w:w="1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64">
              <w:r>
                <w:rPr>
                  <w:rFonts w:ascii="Times New Roman" w:cs="Times New Roman" w:eastAsia="Times New Roman" w:hAnsi="Times New Roman"/>
                  <w:sz w:val="18"/>
                  <w:szCs w:val="18"/>
                  <w:color w:val="0000FF"/>
                  <w:w w:val="99"/>
                </w:rPr>
                <w:t>Incorporated herein by reference to Exhibit 10.1 to Form 8-K dated May 10, 2022. File Nos. 001-37976 and 001-07850.</w:t>
              </w:r>
            </w:hyperlink>
          </w:p>
        </w:tc>
        <w:tc>
          <w:tcPr>
            <w:tcW w:w="580" w:type="dxa"/>
            <w:vAlign w:val="bottom"/>
            <w:tcBorders>
              <w:top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10.2 # **</w:t>
            </w:r>
          </w:p>
        </w:tc>
        <w:tc>
          <w:tcPr>
            <w:tcW w:w="420" w:type="dxa"/>
            <w:vAlign w:val="bottom"/>
          </w:tcPr>
          <w:p>
            <w:pPr>
              <w:spacing w:after="0"/>
              <w:rPr>
                <w:sz w:val="24"/>
                <w:szCs w:val="24"/>
                <w:color w:val="auto"/>
              </w:rPr>
            </w:pPr>
          </w:p>
        </w:tc>
        <w:tc>
          <w:tcPr>
            <w:tcW w:w="93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Severance Agreement and General Release, dated June 6, 2022, by and between John P. Hester, Southwest Gas Holdings, Inc.</w:t>
            </w:r>
          </w:p>
        </w:tc>
      </w:tr>
      <w:tr>
        <w:trPr>
          <w:trHeight w:val="156"/>
        </w:trPr>
        <w:tc>
          <w:tcPr>
            <w:tcW w:w="1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30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and Southwest Gas Corporation.</w:t>
            </w:r>
          </w:p>
        </w:tc>
        <w:tc>
          <w:tcPr>
            <w:tcW w:w="20" w:type="dxa"/>
            <w:vAlign w:val="bottom"/>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360" w:type="dxa"/>
            <w:vAlign w:val="bottom"/>
            <w:gridSpan w:val="6"/>
          </w:tcPr>
          <w:p>
            <w:pPr>
              <w:spacing w:after="0" w:line="20" w:lineRule="exact"/>
              <w:rPr>
                <w:sz w:val="1"/>
                <w:szCs w:val="1"/>
                <w:color w:val="auto"/>
              </w:rPr>
            </w:pPr>
          </w:p>
        </w:tc>
      </w:tr>
      <w:tr>
        <w:trPr>
          <w:trHeight w:val="277"/>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10.3 # **</w:t>
            </w:r>
          </w:p>
        </w:tc>
        <w:tc>
          <w:tcPr>
            <w:tcW w:w="9740" w:type="dxa"/>
            <w:vAlign w:val="bottom"/>
            <w:gridSpan w:val="13"/>
          </w:tcPr>
          <w:p>
            <w:pPr>
              <w:ind w:left="1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Amended and Restated Award Agreement for the Centuri Group, Inc. Long-Term Incentive Plan</w:t>
            </w:r>
            <w:r>
              <w:rPr>
                <w:rFonts w:ascii="Times New Roman" w:cs="Times New Roman" w:eastAsia="Times New Roman" w:hAnsi="Times New Roman"/>
                <w:sz w:val="18"/>
                <w:szCs w:val="18"/>
                <w:color w:val="auto"/>
              </w:rPr>
              <w:t>.</w:t>
            </w:r>
          </w:p>
        </w:tc>
      </w:tr>
      <w:tr>
        <w:trPr>
          <w:trHeight w:val="20"/>
        </w:trPr>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8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2360" w:type="dxa"/>
            <w:vAlign w:val="bottom"/>
            <w:gridSpan w:val="6"/>
          </w:tcPr>
          <w:p>
            <w:pPr>
              <w:spacing w:after="0" w:line="20" w:lineRule="exact"/>
              <w:rPr>
                <w:sz w:val="1"/>
                <w:szCs w:val="1"/>
                <w:color w:val="auto"/>
              </w:rPr>
            </w:pPr>
          </w:p>
        </w:tc>
      </w:tr>
      <w:tr>
        <w:trPr>
          <w:trHeight w:val="26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31.01#</w:t>
            </w: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Section 302</w:t>
            </w:r>
          </w:p>
        </w:tc>
        <w:tc>
          <w:tcPr>
            <w:tcW w:w="844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rPr>
              <w:t>Certifications–Southwest Gas Holdings, Inc.</w:t>
            </w:r>
          </w:p>
        </w:tc>
      </w:tr>
      <w:tr>
        <w:trPr>
          <w:trHeight w:val="20"/>
        </w:trPr>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8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r>
      <w:tr>
        <w:trPr>
          <w:trHeight w:val="263"/>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31.02#</w:t>
            </w: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Section 302</w:t>
            </w:r>
          </w:p>
        </w:tc>
        <w:tc>
          <w:tcPr>
            <w:tcW w:w="844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rPr>
              <w:t>Certifications–Southwest Gas Corporation</w:t>
            </w:r>
          </w:p>
        </w:tc>
      </w:tr>
      <w:tr>
        <w:trPr>
          <w:trHeight w:val="20"/>
        </w:trPr>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80" w:type="dxa"/>
            <w:vAlign w:val="bottom"/>
            <w:gridSpan w:val="3"/>
            <w:shd w:val="clear" w:color="auto" w:fill="0000FF"/>
          </w:tcPr>
          <w:p>
            <w:pPr>
              <w:spacing w:after="0" w:line="20" w:lineRule="exact"/>
              <w:rPr>
                <w:sz w:val="1"/>
                <w:szCs w:val="1"/>
                <w:color w:val="auto"/>
              </w:rPr>
            </w:pPr>
          </w:p>
        </w:tc>
        <w:tc>
          <w:tcPr>
            <w:tcW w:w="5360" w:type="dxa"/>
            <w:vAlign w:val="bottom"/>
            <w:tcBorders>
              <w:left w:val="single" w:sz="8" w:color="0000FF"/>
            </w:tcBorders>
            <w:gridSpan w:val="8"/>
          </w:tcPr>
          <w:p>
            <w:pPr>
              <w:spacing w:after="0" w:line="20" w:lineRule="exact"/>
              <w:rPr>
                <w:sz w:val="1"/>
                <w:szCs w:val="1"/>
                <w:color w:val="auto"/>
              </w:rPr>
            </w:pPr>
          </w:p>
        </w:tc>
      </w:tr>
      <w:tr>
        <w:trPr>
          <w:trHeight w:val="263"/>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32.01#</w:t>
            </w: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Section 906</w:t>
            </w:r>
          </w:p>
        </w:tc>
        <w:tc>
          <w:tcPr>
            <w:tcW w:w="844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rPr>
              <w:t>Certifications–Southwest Gas Holdings, Inc.</w:t>
            </w:r>
          </w:p>
        </w:tc>
      </w:tr>
      <w:tr>
        <w:trPr>
          <w:trHeight w:val="20"/>
        </w:trPr>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8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r>
      <w:tr>
        <w:trPr>
          <w:trHeight w:val="26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32.02#</w:t>
            </w: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Section 906</w:t>
            </w:r>
          </w:p>
        </w:tc>
        <w:tc>
          <w:tcPr>
            <w:tcW w:w="844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rPr>
              <w:t>Certifications–Southwest Gas Corporation</w:t>
            </w:r>
          </w:p>
        </w:tc>
      </w:tr>
      <w:tr>
        <w:trPr>
          <w:trHeight w:val="20"/>
        </w:trPr>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960" w:type="dxa"/>
            <w:vAlign w:val="bottom"/>
            <w:gridSpan w:val="4"/>
            <w:shd w:val="clear" w:color="auto" w:fill="0000FF"/>
          </w:tcPr>
          <w:p>
            <w:pPr>
              <w:spacing w:after="0" w:line="20" w:lineRule="exact"/>
              <w:rPr>
                <w:sz w:val="1"/>
                <w:szCs w:val="1"/>
                <w:color w:val="auto"/>
              </w:rPr>
            </w:pPr>
          </w:p>
        </w:tc>
        <w:tc>
          <w:tcPr>
            <w:tcW w:w="5360" w:type="dxa"/>
            <w:vAlign w:val="bottom"/>
            <w:gridSpan w:val="8"/>
          </w:tcPr>
          <w:p>
            <w:pPr>
              <w:spacing w:after="0" w:line="20" w:lineRule="exact"/>
              <w:rPr>
                <w:sz w:val="1"/>
                <w:szCs w:val="1"/>
                <w:color w:val="auto"/>
              </w:rPr>
            </w:pPr>
          </w:p>
        </w:tc>
      </w:tr>
      <w:tr>
        <w:trPr>
          <w:trHeight w:val="250"/>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101#</w:t>
            </w:r>
          </w:p>
        </w:tc>
        <w:tc>
          <w:tcPr>
            <w:tcW w:w="9740" w:type="dxa"/>
            <w:vAlign w:val="bottom"/>
            <w:gridSpan w:val="13"/>
          </w:tcPr>
          <w:p>
            <w:pPr>
              <w:ind w:left="180"/>
              <w:spacing w:after="0"/>
              <w:rPr>
                <w:sz w:val="20"/>
                <w:szCs w:val="20"/>
                <w:color w:val="auto"/>
              </w:rPr>
            </w:pPr>
            <w:r>
              <w:rPr>
                <w:rFonts w:ascii="Times New Roman" w:cs="Times New Roman" w:eastAsia="Times New Roman" w:hAnsi="Times New Roman"/>
                <w:sz w:val="18"/>
                <w:szCs w:val="18"/>
                <w:color w:val="auto"/>
              </w:rPr>
              <w:t>-  The following materials from the Quarterly Report on Form 10-Q of Southwest Gas Holdings, Inc. and Southwest Gas</w:t>
            </w:r>
          </w:p>
        </w:tc>
      </w:tr>
      <w:tr>
        <w:trPr>
          <w:trHeight w:val="204"/>
        </w:trPr>
        <w:tc>
          <w:tcPr>
            <w:tcW w:w="1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320" w:type="dxa"/>
            <w:vAlign w:val="bottom"/>
            <w:gridSpan w:val="12"/>
          </w:tcPr>
          <w:p>
            <w:pPr>
              <w:spacing w:after="0" w:line="204" w:lineRule="exact"/>
              <w:rPr>
                <w:sz w:val="20"/>
                <w:szCs w:val="20"/>
                <w:color w:val="auto"/>
              </w:rPr>
            </w:pPr>
            <w:r>
              <w:rPr>
                <w:rFonts w:ascii="Times New Roman" w:cs="Times New Roman" w:eastAsia="Times New Roman" w:hAnsi="Times New Roman"/>
                <w:sz w:val="18"/>
                <w:szCs w:val="18"/>
                <w:color w:val="auto"/>
              </w:rPr>
              <w:t>Corporation for the quarter ended June 30, 2022, were formatted in Inline XBRL (Extensible Business Reporting Language):</w:t>
            </w:r>
          </w:p>
        </w:tc>
      </w:tr>
    </w:tbl>
    <w:p>
      <w:pPr>
        <w:jc w:val="both"/>
        <w:ind w:left="1880" w:right="60" w:firstLine="9"/>
        <w:spacing w:after="0" w:line="212" w:lineRule="auto"/>
        <w:tabs>
          <w:tab w:leader="none" w:pos="214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Southwest Gas Holdings, Inc. and Subsidiaries Condensed Consolidated Balance Sheets, (ii) Southwest Gas Holdings, Inc. and Subsidiaries Condensed Consolidated Statements of Income, (iii) Southwest Gas Holdings, Inc. and Subsidiaries Condensed Consolidated Statements of Comprehensive Income, (iv) Southwest Gas Holdings, Inc. and Subsidiaries Condensed Consolidated Statements of Cash Flows, (v) Southwest Gas Holdings, Inc. and Subsidiaries Condensed Consolidated Statements of Equity, (vi) Southwest Gas Corporation and Subsidiaries Condensed Consolidated Balance Sheets, (vii) Southwest Gas Corporation and Subsidiaries Condensed Consolidated Statements of Income, (viii) Southwest Gas Corporation and Subsidiaries Condensed Consolidated Statements of Comprehensive Income, (ix) Southwest Gas Corporation and Subsidiaries Condensed Consolidated Statements of Cash Flows, (x) Southwest Gas Corporation and Subsidiaries Condensed Consolidated Statements of Equity. The instance document does not appear in the Interactive Data File because its XBRL tags are embedded within the Inline XBRL document.</w:t>
      </w:r>
    </w:p>
    <w:p>
      <w:pPr>
        <w:spacing w:after="0" w:line="55" w:lineRule="exact"/>
        <w:rPr>
          <w:sz w:val="20"/>
          <w:szCs w:val="20"/>
          <w:color w:val="auto"/>
        </w:rPr>
      </w:pPr>
    </w:p>
    <w:p>
      <w:pPr>
        <w:ind w:left="20"/>
        <w:spacing w:after="0"/>
        <w:tabs>
          <w:tab w:leader="none" w:pos="1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Filed herewith.</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Management Contract or Compensation Plan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57" w:right="399" w:bottom="1440" w:gutter="0" w:footer="0" w:header="0"/>
        </w:sectPr>
      </w:pPr>
    </w:p>
    <w:bookmarkStart w:id="53" w:name="page54"/>
    <w:bookmarkEnd w:id="53"/>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2022</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51"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21602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6"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8"/>
          <w:szCs w:val="18"/>
          <w:color w:val="auto"/>
        </w:rPr>
        <w:t>(Registrant)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9, 2022</w:t>
      </w:r>
    </w:p>
    <w:p>
      <w:pPr>
        <w:spacing w:after="0" w:line="200" w:lineRule="exact"/>
        <w:rPr>
          <w:sz w:val="20"/>
          <w:szCs w:val="20"/>
          <w:color w:val="auto"/>
        </w:rPr>
      </w:pPr>
    </w:p>
    <w:p>
      <w:pPr>
        <w:spacing w:after="0" w:line="20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/s/ LORI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25888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Lori L. Colvin</w:t>
      </w:r>
    </w:p>
    <w:p>
      <w:pPr>
        <w:spacing w:after="0" w:line="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Vice President/Controller and Chief Accounting Officer</w:t>
      </w:r>
    </w:p>
    <w:p>
      <w:pPr>
        <w:spacing w:after="0" w:line="22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51"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21602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6"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8"/>
          <w:szCs w:val="18"/>
          <w:color w:val="auto"/>
        </w:rPr>
        <w:t>(Registrant)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9, 2022</w:t>
      </w:r>
    </w:p>
    <w:p>
      <w:pPr>
        <w:spacing w:after="0" w:line="200" w:lineRule="exact"/>
        <w:rPr>
          <w:sz w:val="20"/>
          <w:szCs w:val="20"/>
          <w:color w:val="auto"/>
        </w:rPr>
      </w:pPr>
    </w:p>
    <w:p>
      <w:pPr>
        <w:spacing w:after="0" w:line="21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/s/ LORI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25888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Lori L. Colvin</w:t>
      </w:r>
    </w:p>
    <w:p>
      <w:pPr>
        <w:spacing w:after="0" w:line="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Vice President/Controller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257" w:right="339" w:bottom="1440" w:gutter="0" w:footer="0" w:header="0"/>
        </w:sectPr>
      </w:pPr>
    </w:p>
    <w:bookmarkStart w:id="54" w:name="page55"/>
    <w:bookmarkEnd w:id="54"/>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SEVERANCE AGREEMENT AND GENERAL RELEASE</w:t>
      </w:r>
    </w:p>
    <w:p>
      <w:pPr>
        <w:spacing w:after="0" w:line="129" w:lineRule="exact"/>
        <w:rPr>
          <w:sz w:val="20"/>
          <w:szCs w:val="20"/>
          <w:color w:val="auto"/>
        </w:rPr>
      </w:pPr>
    </w:p>
    <w:p>
      <w:pPr>
        <w:jc w:val="both"/>
        <w:ind w:firstLine="648"/>
        <w:spacing w:after="0" w:line="355" w:lineRule="auto"/>
        <w:rPr>
          <w:sz w:val="20"/>
          <w:szCs w:val="20"/>
          <w:color w:val="auto"/>
        </w:rPr>
      </w:pPr>
      <w:r>
        <w:rPr>
          <w:rFonts w:ascii="Times New Roman" w:cs="Times New Roman" w:eastAsia="Times New Roman" w:hAnsi="Times New Roman"/>
          <w:sz w:val="22"/>
          <w:szCs w:val="22"/>
          <w:color w:val="auto"/>
        </w:rPr>
        <w:t>This Severance Agreement and General Release (“Agreement”) is entered into by and between John P. Hester (“Executive”), Southwest Gas Corporation (“SWG”), and Southwest Gas Holdings, Inc. (“SWX”). SWG and SWX are hereinafter referred to as the “Company.” Executive and the Company are at times hereinafter referred to individually as “Party” and collectively as the “Parties.”</w:t>
      </w:r>
    </w:p>
    <w:p>
      <w:pPr>
        <w:spacing w:after="0" w:line="2" w:lineRule="exact"/>
        <w:rPr>
          <w:sz w:val="20"/>
          <w:szCs w:val="20"/>
          <w:color w:val="auto"/>
        </w:rPr>
      </w:pPr>
    </w:p>
    <w:p>
      <w:pPr>
        <w:jc w:val="both"/>
        <w:ind w:firstLine="648"/>
        <w:spacing w:after="0" w:line="358" w:lineRule="auto"/>
        <w:rPr>
          <w:sz w:val="20"/>
          <w:szCs w:val="20"/>
          <w:color w:val="auto"/>
        </w:rPr>
      </w:pPr>
      <w:r>
        <w:rPr>
          <w:rFonts w:ascii="Times New Roman" w:cs="Times New Roman" w:eastAsia="Times New Roman" w:hAnsi="Times New Roman"/>
          <w:sz w:val="22"/>
          <w:szCs w:val="22"/>
          <w:color w:val="auto"/>
        </w:rPr>
        <w:t>WHEREAS, Executive was hired by the Company on June 2, 1989 and currently holds the title of President and Chief Executive Officer;</w:t>
      </w:r>
    </w:p>
    <w:p>
      <w:pPr>
        <w:spacing w:after="0" w:line="1" w:lineRule="exact"/>
        <w:rPr>
          <w:sz w:val="20"/>
          <w:szCs w:val="20"/>
          <w:color w:val="auto"/>
        </w:rPr>
      </w:pPr>
    </w:p>
    <w:p>
      <w:pPr>
        <w:jc w:val="both"/>
        <w:ind w:firstLine="648"/>
        <w:spacing w:after="0" w:line="352" w:lineRule="auto"/>
        <w:rPr>
          <w:sz w:val="20"/>
          <w:szCs w:val="20"/>
          <w:color w:val="auto"/>
        </w:rPr>
      </w:pPr>
      <w:r>
        <w:rPr>
          <w:rFonts w:ascii="Times New Roman" w:cs="Times New Roman" w:eastAsia="Times New Roman" w:hAnsi="Times New Roman"/>
          <w:sz w:val="22"/>
          <w:szCs w:val="22"/>
          <w:color w:val="auto"/>
        </w:rPr>
        <w:t>WHEREAS, as part of his employment relationship with the Company, Executive has served as a member of the SWX Board of Directors since 2015;</w:t>
      </w:r>
    </w:p>
    <w:p>
      <w:pPr>
        <w:jc w:val="both"/>
        <w:ind w:firstLine="648"/>
        <w:spacing w:after="0" w:line="358" w:lineRule="auto"/>
        <w:rPr>
          <w:sz w:val="20"/>
          <w:szCs w:val="20"/>
          <w:color w:val="auto"/>
        </w:rPr>
      </w:pPr>
      <w:r>
        <w:rPr>
          <w:rFonts w:ascii="Times New Roman" w:cs="Times New Roman" w:eastAsia="Times New Roman" w:hAnsi="Times New Roman"/>
          <w:sz w:val="22"/>
          <w:szCs w:val="22"/>
          <w:color w:val="auto"/>
        </w:rPr>
        <w:t>WHEREAS, Executive and the Company have agreed that Executive shall retire and resign his employment and his membership on the SWX Board of Directors effective May 31, 2022 (the “Separation Date”);</w:t>
      </w:r>
    </w:p>
    <w:p>
      <w:pPr>
        <w:spacing w:after="0" w:line="1" w:lineRule="exact"/>
        <w:rPr>
          <w:sz w:val="20"/>
          <w:szCs w:val="20"/>
          <w:color w:val="auto"/>
        </w:rPr>
      </w:pPr>
    </w:p>
    <w:p>
      <w:pPr>
        <w:jc w:val="both"/>
        <w:ind w:firstLine="648"/>
        <w:spacing w:after="0" w:line="358" w:lineRule="auto"/>
        <w:rPr>
          <w:sz w:val="20"/>
          <w:szCs w:val="20"/>
          <w:color w:val="auto"/>
        </w:rPr>
      </w:pPr>
      <w:r>
        <w:rPr>
          <w:rFonts w:ascii="Times New Roman" w:cs="Times New Roman" w:eastAsia="Times New Roman" w:hAnsi="Times New Roman"/>
          <w:sz w:val="22"/>
          <w:szCs w:val="22"/>
          <w:color w:val="auto"/>
        </w:rPr>
        <w:t>WHEREAS, Executive and the Company intend to settle and resolve any and all claims and disputes that either Party may have against the other, arising from, or in any way related to, the employment relationship between Executive and the Company or the termination of said employment relationship.</w:t>
      </w:r>
    </w:p>
    <w:p>
      <w:pPr>
        <w:spacing w:after="0" w:line="2" w:lineRule="exact"/>
        <w:rPr>
          <w:sz w:val="20"/>
          <w:szCs w:val="20"/>
          <w:color w:val="auto"/>
        </w:rPr>
      </w:pPr>
    </w:p>
    <w:p>
      <w:pPr>
        <w:jc w:val="both"/>
        <w:ind w:firstLine="648"/>
        <w:spacing w:after="0" w:line="350" w:lineRule="auto"/>
        <w:rPr>
          <w:sz w:val="20"/>
          <w:szCs w:val="20"/>
          <w:color w:val="auto"/>
        </w:rPr>
      </w:pPr>
      <w:r>
        <w:rPr>
          <w:rFonts w:ascii="Times New Roman" w:cs="Times New Roman" w:eastAsia="Times New Roman" w:hAnsi="Times New Roman"/>
          <w:sz w:val="22"/>
          <w:szCs w:val="22"/>
          <w:color w:val="auto"/>
        </w:rPr>
        <w:t>NOW, THEREFORE, in consideration for the promises, payments, and benefits described in this Agreement, Executive and the Company each execute this Agreement in favor of and for the benefit of the other as follows:</w:t>
      </w:r>
    </w:p>
    <w:p>
      <w:pPr>
        <w:spacing w:after="0" w:line="1"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Separation</w:t>
      </w:r>
      <w:r>
        <w:rPr>
          <w:rFonts w:ascii="Times New Roman" w:cs="Times New Roman" w:eastAsia="Times New Roman" w:hAnsi="Times New Roman"/>
          <w:sz w:val="22"/>
          <w:szCs w:val="22"/>
          <w:color w:val="auto"/>
        </w:rPr>
        <w:t>.</w:t>
      </w:r>
    </w:p>
    <w:p>
      <w:pPr>
        <w:spacing w:after="0" w:line="129" w:lineRule="exact"/>
        <w:rPr>
          <w:rFonts w:ascii="Times New Roman" w:cs="Times New Roman" w:eastAsia="Times New Roman" w:hAnsi="Times New Roman"/>
          <w:sz w:val="22"/>
          <w:szCs w:val="22"/>
          <w:b w:val="1"/>
          <w:bCs w:val="1"/>
          <w:color w:val="auto"/>
        </w:rPr>
      </w:pPr>
    </w:p>
    <w:p>
      <w:pPr>
        <w:jc w:val="both"/>
        <w:ind w:firstLine="656"/>
        <w:spacing w:after="0" w:line="360" w:lineRule="auto"/>
        <w:tabs>
          <w:tab w:leader="none" w:pos="1293"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Until the Separation Date, Executive shall: (i) continue to abide by all of the Company’s general policies and procedures in effect from time to time; (ii) not initiate communication with any Company employees other than Thomas E. Moran, Karen S. Haller or Sharon W. Braddy-McKoy without the Company’s consent; and (iii) not remove, delete, or copy any Company documents or information without the Company’s consent, which consent, if given, to be given by Thomas E. Moran or Karen S. Haller. Regardless of whether Executive signs this Agreement, the Company will pay Executive all Accrued Benefits within five business days of the Separation Date. For purposes of this Agreement, "Accrued Benefits" means any earned but unpaid base salary, unused vacation and all expense reimbursement payments owed to Executive for expenses incurred prior to the Separation Date.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40" w:right="339" w:bottom="1440" w:gutter="0" w:footer="0" w:header="0"/>
        </w:sectPr>
      </w:pPr>
    </w:p>
    <w:bookmarkStart w:id="55" w:name="page56"/>
    <w:bookmarkEnd w:id="55"/>
    <w:p>
      <w:pPr>
        <w:spacing w:after="0" w:line="32"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Severance Benefits</w:t>
      </w:r>
      <w:r>
        <w:rPr>
          <w:rFonts w:ascii="Times New Roman" w:cs="Times New Roman" w:eastAsia="Times New Roman" w:hAnsi="Times New Roman"/>
          <w:sz w:val="22"/>
          <w:szCs w:val="22"/>
          <w:color w:val="auto"/>
        </w:rPr>
        <w:t>.</w:t>
      </w:r>
    </w:p>
    <w:p>
      <w:pPr>
        <w:spacing w:after="0" w:line="129"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In consideration for Executive’s covenants and agreements contained in this Agreement, and provided Executive (i) signs</w:t>
      </w:r>
    </w:p>
    <w:p>
      <w:pPr>
        <w:spacing w:after="0" w:line="133" w:lineRule="exact"/>
        <w:rPr>
          <w:sz w:val="20"/>
          <w:szCs w:val="20"/>
          <w:color w:val="auto"/>
        </w:rPr>
      </w:pPr>
    </w:p>
    <w:p>
      <w:pPr>
        <w:jc w:val="both"/>
        <w:spacing w:after="0" w:line="355" w:lineRule="auto"/>
        <w:rPr>
          <w:sz w:val="20"/>
          <w:szCs w:val="20"/>
          <w:color w:val="auto"/>
        </w:rPr>
      </w:pPr>
      <w:r>
        <w:rPr>
          <w:rFonts w:ascii="Times New Roman" w:cs="Times New Roman" w:eastAsia="Times New Roman" w:hAnsi="Times New Roman"/>
          <w:sz w:val="22"/>
          <w:szCs w:val="22"/>
          <w:color w:val="auto"/>
        </w:rPr>
        <w:t xml:space="preserve">and returns this Agreement by </w:t>
      </w:r>
      <w:r>
        <w:rPr>
          <w:rFonts w:ascii="Times New Roman" w:cs="Times New Roman" w:eastAsia="Times New Roman" w:hAnsi="Times New Roman"/>
          <w:sz w:val="22"/>
          <w:szCs w:val="22"/>
          <w:b w:val="1"/>
          <w:bCs w:val="1"/>
          <w:color w:val="auto"/>
        </w:rPr>
        <w:t>June 7, 2022</w:t>
      </w:r>
      <w:r>
        <w:rPr>
          <w:rFonts w:ascii="Times New Roman" w:cs="Times New Roman" w:eastAsia="Times New Roman" w:hAnsi="Times New Roman"/>
          <w:sz w:val="22"/>
          <w:szCs w:val="22"/>
          <w:color w:val="auto"/>
        </w:rPr>
        <w:t>, at 5:00 p.m. PST (the “Deadline”), (ii) does not revoke it,; (iii) executes the Affirmation of Severance Agreement and General Release (“Affirmation”) attached as Exhibit A hereto on or within seven calendar days after the Separation Date and does not revoke it, and (iii) has complied and continues to comply with all terms and conditions herein and in the Affirmation, and his confidentiality, restrictive covenants and other obligations to the Company in this Agreement and the continuing obligations, including under Sections 4, 5, and 6, of the Amended and Restated Change In Control Agreement between Executive and the Company dated February 23, 2018 (the “CIC Agreement”), the Company will provide, in addition to the Accrued Benefits, the following benefits to Executive on the following terms and as described in this Section 2:</w:t>
      </w:r>
    </w:p>
    <w:p>
      <w:pPr>
        <w:spacing w:after="0" w:line="7" w:lineRule="exact"/>
        <w:rPr>
          <w:sz w:val="20"/>
          <w:szCs w:val="20"/>
          <w:color w:val="auto"/>
        </w:rPr>
      </w:pPr>
    </w:p>
    <w:p>
      <w:pPr>
        <w:jc w:val="both"/>
        <w:ind w:firstLine="656"/>
        <w:spacing w:after="0" w:line="356" w:lineRule="auto"/>
        <w:tabs>
          <w:tab w:leader="none" w:pos="129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pay Executive the total sum of $2,458,714, which includes (i) an amount equal to Executive’s base salary from the Separation Date to December 31, 2022, plus six (6) months’ additional salary (together, equal to $1,303,492), (ii) an amount equal to Executive’s 2022 target bonus under the Company’s Management Incentive Plan (equal to $1,129,696), and (iii) an amount equal to the total cost of continuing medical, dental and vision coverages for Executive and Executive’s dependents in accordance with the continuation requirements of the Consolidated Omnibus Budget Reconciliation Act (“COBRA”) for the eighteen (18) month period following the end of the month of the Separation Date (such amount estimated to be approximately $25,526) (collectively, the “Severance Benefits”). The Severance Benefits are subject to required payroll taxes and other withholdings and deductions, and shall be payable within five business days after the Affirmation Effective Date (as defined in the Affirmation). The Severance Benefits satisfy the short-term deferral rule of Treasury Regulation Section 1.409-1(a)(4) and, therefore are not “deferred compensation” subject to the terms of Section 409A of the Internal Revenue Code of 1986, as amended (the “Code”).</w:t>
      </w:r>
    </w:p>
    <w:p>
      <w:pPr>
        <w:spacing w:after="0" w:line="3" w:lineRule="exact"/>
        <w:rPr>
          <w:rFonts w:ascii="Times New Roman" w:cs="Times New Roman" w:eastAsia="Times New Roman" w:hAnsi="Times New Roman"/>
          <w:sz w:val="22"/>
          <w:szCs w:val="22"/>
          <w:color w:val="auto"/>
        </w:rPr>
      </w:pPr>
    </w:p>
    <w:p>
      <w:pPr>
        <w:jc w:val="both"/>
        <w:ind w:firstLine="656"/>
        <w:spacing w:after="0" w:line="367" w:lineRule="auto"/>
        <w:tabs>
          <w:tab w:leader="none" w:pos="1293"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of the Company’s common stock underlying Executive’s outstanding time-lapse restricted stock units issued under the Award Agreements of Time-Lapse Restricted Stock Units between the Company and Executive dated February 24, 2020, February 24, 2021, and February 24, 2022 (the “Time-Based RSU Agreements”), will settle in accordance with Sections 4 and 6 of the Time-Based RSU Agreements on the date that is six months following</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56" w:name="page57"/>
    <w:bookmarkEnd w:id="56"/>
    <w:p>
      <w:pPr>
        <w:spacing w:after="0" w:line="36" w:lineRule="exact"/>
        <w:rPr>
          <w:sz w:val="20"/>
          <w:szCs w:val="20"/>
          <w:color w:val="auto"/>
        </w:rPr>
      </w:pPr>
    </w:p>
    <w:p>
      <w:pPr>
        <w:jc w:val="both"/>
        <w:spacing w:after="0" w:line="355" w:lineRule="auto"/>
        <w:rPr>
          <w:sz w:val="20"/>
          <w:szCs w:val="20"/>
          <w:color w:val="auto"/>
        </w:rPr>
      </w:pPr>
      <w:r>
        <w:rPr>
          <w:rFonts w:ascii="Times New Roman" w:cs="Times New Roman" w:eastAsia="Times New Roman" w:hAnsi="Times New Roman"/>
          <w:sz w:val="22"/>
          <w:szCs w:val="22"/>
          <w:color w:val="auto"/>
        </w:rPr>
        <w:t>the Separation Date. For the sake of clarity, Executive’s retirement shall be deemed a “Retirement” on or after becoming “Retirement Eligible” (as those terms are defined in the Time-Based Award Agreements) consistent with Section 4 of the Time-Based RSU Agreements, and Executive shall be deemed to be fully vested in all Units granted under the Time-Based RSU Agreements.</w:t>
      </w:r>
    </w:p>
    <w:p>
      <w:pPr>
        <w:spacing w:after="0" w:line="2" w:lineRule="exact"/>
        <w:rPr>
          <w:sz w:val="20"/>
          <w:szCs w:val="20"/>
          <w:color w:val="auto"/>
        </w:rPr>
      </w:pPr>
    </w:p>
    <w:p>
      <w:pPr>
        <w:jc w:val="both"/>
        <w:ind w:firstLine="656"/>
        <w:spacing w:after="0" w:line="356" w:lineRule="auto"/>
        <w:tabs>
          <w:tab w:leader="none" w:pos="1291"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of the Company’s common stock underlying Executive’s outstanding performance share awards issued under the Performance Share Award Agreements between the Company and Executive dated February 24, 2020, February 24, 2021, and February 24, 2022 (the “Performance-Based RSU Agreements”) will settle in accordance with Section 7(b) of the Performance-Based RSU Agreements. For the sake of clarity, Executive’s retirement shall be deemed a “Retirement” as that term is defined in the Performance-Based RSU Agreements.</w:t>
      </w:r>
    </w:p>
    <w:p>
      <w:pPr>
        <w:jc w:val="both"/>
        <w:ind w:firstLine="656"/>
        <w:spacing w:after="0" w:line="358" w:lineRule="auto"/>
        <w:tabs>
          <w:tab w:leader="none" w:pos="1293"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distribution due to Executive under the Company’s Executive Deferred Compensation Plan (“EDP”), the Supplemental Employee Retirement Plan (“SERP”), the Retirement Plan for Employees of Southwest Gas Corporation and the Southwest Gas Corporation Employee Investment Plan shall be made in accordance with plan documents and Code Section 409A.</w:t>
      </w:r>
    </w:p>
    <w:p>
      <w:pPr>
        <w:spacing w:after="0" w:line="2" w:lineRule="exact"/>
        <w:rPr>
          <w:rFonts w:ascii="Times New Roman" w:cs="Times New Roman" w:eastAsia="Times New Roman" w:hAnsi="Times New Roman"/>
          <w:sz w:val="22"/>
          <w:szCs w:val="22"/>
          <w:color w:val="auto"/>
        </w:rPr>
      </w:pPr>
    </w:p>
    <w:p>
      <w:pPr>
        <w:jc w:val="both"/>
        <w:ind w:firstLine="656"/>
        <w:spacing w:after="0" w:line="354" w:lineRule="auto"/>
        <w:tabs>
          <w:tab w:leader="none" w:pos="1296"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Assuming this Agreement is made effective and not revoked, the Company will reimburse Executive up to $15,000 for Holland &amp; Knight LLP’s reasonable attorneys’ fees and costs actually incurred by Executive in relation to drafting and the negotiation of this Agreement, to be paid within 30 days after the Separation Date, subject to timely and sufficient substantiation per the Company’s applicable policies and practices.</w:t>
      </w:r>
    </w:p>
    <w:p>
      <w:pPr>
        <w:spacing w:after="0" w:line="1"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Releases</w:t>
      </w:r>
      <w:r>
        <w:rPr>
          <w:rFonts w:ascii="Times New Roman" w:cs="Times New Roman" w:eastAsia="Times New Roman" w:hAnsi="Times New Roman"/>
          <w:sz w:val="22"/>
          <w:szCs w:val="22"/>
          <w:b w:val="1"/>
          <w:bCs w:val="1"/>
          <w:color w:val="auto"/>
        </w:rPr>
        <w:t>.</w:t>
      </w:r>
    </w:p>
    <w:p>
      <w:pPr>
        <w:spacing w:after="0" w:line="129" w:lineRule="exact"/>
        <w:rPr>
          <w:rFonts w:ascii="Times New Roman" w:cs="Times New Roman" w:eastAsia="Times New Roman" w:hAnsi="Times New Roman"/>
          <w:sz w:val="22"/>
          <w:szCs w:val="22"/>
          <w:b w:val="1"/>
          <w:bCs w:val="1"/>
          <w:color w:val="auto"/>
        </w:rPr>
      </w:pPr>
    </w:p>
    <w:p>
      <w:pPr>
        <w:jc w:val="both"/>
        <w:ind w:firstLine="656"/>
        <w:spacing w:after="0" w:line="361" w:lineRule="auto"/>
        <w:tabs>
          <w:tab w:leader="none" w:pos="1291"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for the Company’s covenants and promises stated in this Agreement, Executive hereby forever releases and discharges the Company, its subsidiaries and affiliated entities, and each of their past, present and future officers, directors, stockholders, agents, employees, insurers, reinsurers, successors and assigns, both individually and in their business capacities, and their employee benefit plans and programs and their administrators and fiduciaries (collectively the “Released Parties”), from any and all complaints, charges, rights, claims, liabilities, demands, debts, accounts, obligations, promises, suits, actions, causes of action, and/or demands, including claims for damages, attorneys’ fees or costs, whether in law or equity, whether known or unknown, fixed or contingent, accrued or unaccrued, liquidated or</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57" w:name="page58"/>
    <w:bookmarkEnd w:id="57"/>
    <w:p>
      <w:pPr>
        <w:spacing w:after="0" w:line="36" w:lineRule="exact"/>
        <w:rPr>
          <w:sz w:val="20"/>
          <w:szCs w:val="20"/>
          <w:color w:val="auto"/>
        </w:rPr>
      </w:pPr>
    </w:p>
    <w:p>
      <w:pPr>
        <w:jc w:val="both"/>
        <w:spacing w:after="0" w:line="356" w:lineRule="auto"/>
        <w:rPr>
          <w:sz w:val="20"/>
          <w:szCs w:val="20"/>
          <w:color w:val="auto"/>
        </w:rPr>
      </w:pPr>
      <w:r>
        <w:rPr>
          <w:rFonts w:ascii="Times New Roman" w:cs="Times New Roman" w:eastAsia="Times New Roman" w:hAnsi="Times New Roman"/>
          <w:sz w:val="22"/>
          <w:szCs w:val="22"/>
          <w:color w:val="auto"/>
        </w:rPr>
        <w:t>unliquidated, which Executive now has or claims to have, or which Executive at any time may have had or claimed to have, or which Executive at any time hereafter may have, or claim to have, arising at any time in the past to and including the date of this Agreement, including, but without limiting the generality of the foregoing, any matters relating in any way to Executive’s employment relationship or the termination of that employment relationship with the Company (each, a “Claim” and, collectively, “Claims”).</w:t>
      </w:r>
    </w:p>
    <w:p>
      <w:pPr>
        <w:jc w:val="both"/>
        <w:ind w:firstLine="656"/>
        <w:spacing w:after="0" w:line="355" w:lineRule="auto"/>
        <w:tabs>
          <w:tab w:leader="none" w:pos="129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Claims, rights and obligations that Executive is releasing hereunder include, but are not limited to: (i) those for wrongful discharge, breach of contract, breach of implied contract, breach of implied covenant of good faith and fair dealing, and any other common law or statutory claims now or hereinafter recognized; and (ii) those for discrimination (including but not limited to claims for discrimination, harassment or retaliation on account of sex, age, medical condition or disability, national origin, race, color, religion, sexual orientation, or veteran status) which Executive might have or might have had under Title VII of the Civil Rights Act of 1964, the Age Discrimination in Employment Act, the Fair Labor Standards Act, the Civil Rights Act of 1991, the Equal Pay Act, the Americans With Disabilities Act, the Family and Medical Leave Act, the Nevada Equal Opportunities for Employment Law — Nev. Rev. Stat. § 613.310, et seq.; the Nevada Equal Pay Law — Nev. Rev. Stat. § 608.017, Nevada Wage Payment and Work Hour Law — Nev. Rev. Stat. § 608, et seq., and the Nevada Occupational Safety &amp; Health Act — Nev. Rev. Stat. § 618, et seq. and any other federal, state or local laws prohibiting discrimination, harassment or retaliation in employment.</w:t>
      </w:r>
    </w:p>
    <w:p>
      <w:pPr>
        <w:spacing w:after="0" w:line="10" w:lineRule="exact"/>
        <w:rPr>
          <w:rFonts w:ascii="Times New Roman" w:cs="Times New Roman" w:eastAsia="Times New Roman" w:hAnsi="Times New Roman"/>
          <w:sz w:val="22"/>
          <w:szCs w:val="22"/>
          <w:color w:val="auto"/>
        </w:rPr>
      </w:pPr>
    </w:p>
    <w:p>
      <w:pPr>
        <w:jc w:val="both"/>
        <w:ind w:firstLine="648"/>
        <w:spacing w:after="0" w:line="35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BY SIGNING THIS AGREEMENT, EXECUTIVE AGREES TO GIVE UP OR WAIVE ANY RIGHTS OR CLAIMS WHICH HE MAY HAVE UNDER THE AGE DISCRIMINATION IN EMPLOYMENT ACT OF 1967.29 U.S.C. 4621 et. seq., OR ANY OTHER STATUTE OR OTHER LAW, WHICH IS BASED ON ACTIONS OF THE RELEASED PARTIES WHICH OCCURRED UP THROUGH THE DATE THAT EXECUTIVE SIGNS THIS AGREEMENT</w:t>
      </w:r>
      <w:r>
        <w:rPr>
          <w:rFonts w:ascii="Times New Roman" w:cs="Times New Roman" w:eastAsia="Times New Roman" w:hAnsi="Times New Roman"/>
          <w:sz w:val="22"/>
          <w:szCs w:val="22"/>
          <w:color w:val="auto"/>
        </w:rPr>
        <w:t>.</w:t>
      </w:r>
    </w:p>
    <w:p>
      <w:pPr>
        <w:spacing w:after="0" w:line="4" w:lineRule="exact"/>
        <w:rPr>
          <w:rFonts w:ascii="Times New Roman" w:cs="Times New Roman" w:eastAsia="Times New Roman" w:hAnsi="Times New Roman"/>
          <w:sz w:val="22"/>
          <w:szCs w:val="22"/>
          <w:color w:val="auto"/>
        </w:rPr>
      </w:pPr>
    </w:p>
    <w:p>
      <w:pPr>
        <w:jc w:val="both"/>
        <w:ind w:firstLine="656"/>
        <w:spacing w:after="0" w:line="367" w:lineRule="auto"/>
        <w:tabs>
          <w:tab w:leader="none" w:pos="128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further acknowledges and agrees that, except as modified below in this Section 3, this Agreement and the Affirmation shall operate as a complete bar to recovery in any and all litigation, charges, Claims, complaints, grievances or demands of any kind whatsoever now pending or now contemplated by Executive, or which might at any time be filed by Executive or on Executive’s behalf, including, but without limiting the generality of the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58" w:name="page59"/>
    <w:bookmarkEnd w:id="58"/>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foregoing, any and all matters arising out of or in any manner whatsoever connected with the matters set forth in Section 3 (a) or</w:t>
      </w:r>
    </w:p>
    <w:p>
      <w:pPr>
        <w:spacing w:after="0" w:line="137"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Each and all of the said Claims are hereby fully and finally settled, compromised and released.</w:t>
      </w:r>
    </w:p>
    <w:p>
      <w:pPr>
        <w:spacing w:after="0" w:line="125" w:lineRule="exact"/>
        <w:rPr>
          <w:rFonts w:ascii="Times New Roman" w:cs="Times New Roman" w:eastAsia="Times New Roman" w:hAnsi="Times New Roman"/>
          <w:sz w:val="22"/>
          <w:szCs w:val="22"/>
          <w:color w:val="auto"/>
        </w:rPr>
      </w:pPr>
    </w:p>
    <w:p>
      <w:pPr>
        <w:jc w:val="both"/>
        <w:ind w:firstLine="656"/>
        <w:spacing w:after="0" w:line="356" w:lineRule="auto"/>
        <w:tabs>
          <w:tab w:leader="none" w:pos="1284"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Agreement or the Affirmation is intended to or shall interfere with Executive’s right to file a charge with or participate, testify, or assist in any investigation, hearing, or other proceeding with any appropriate federal, state or local government agency enforcing discrimination laws, nor shall this Agreement prohibit Executive from cooperating with agency in its investigation. Executive shall not, however, to the maximum extent permitted by law be entitled to receive any relief, recovery or monies in connection with any Claim brought against any of the Released Parties, regardless of who filed or initiated any such complaint, charge or proceeding.</w:t>
      </w:r>
    </w:p>
    <w:p>
      <w:pPr>
        <w:spacing w:after="0" w:line="2" w:lineRule="exact"/>
        <w:rPr>
          <w:rFonts w:ascii="Times New Roman" w:cs="Times New Roman" w:eastAsia="Times New Roman" w:hAnsi="Times New Roman"/>
          <w:sz w:val="22"/>
          <w:szCs w:val="22"/>
          <w:color w:val="auto"/>
        </w:rPr>
      </w:pPr>
    </w:p>
    <w:p>
      <w:pPr>
        <w:jc w:val="both"/>
        <w:ind w:firstLine="656"/>
        <w:spacing w:after="0" w:line="355" w:lineRule="auto"/>
        <w:tabs>
          <w:tab w:leader="none" w:pos="1291"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claim is not subject to release, to the extent permitted by law, Executive waives any right or ability to be a class or collective action representative or to otherwise participate in any putative or certified class, collective or multi-party action or proceeding based on such a claim in which the Company or any other Released Parties identified in this Agreement is a party.</w:t>
      </w:r>
    </w:p>
    <w:p>
      <w:pPr>
        <w:spacing w:after="0" w:line="1" w:lineRule="exact"/>
        <w:rPr>
          <w:rFonts w:ascii="Times New Roman" w:cs="Times New Roman" w:eastAsia="Times New Roman" w:hAnsi="Times New Roman"/>
          <w:sz w:val="22"/>
          <w:szCs w:val="22"/>
          <w:color w:val="auto"/>
        </w:rPr>
      </w:pPr>
    </w:p>
    <w:p>
      <w:pPr>
        <w:ind w:firstLine="656"/>
        <w:spacing w:after="0" w:line="358" w:lineRule="auto"/>
        <w:tabs>
          <w:tab w:leader="none" w:pos="1284"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Section 3 is intended to operate as a release, waiver or forfeiture of Executive’s rights, and the Company’s obligations, under:</w:t>
      </w:r>
    </w:p>
    <w:p>
      <w:pPr>
        <w:spacing w:after="0" w:line="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w:t>
      </w:r>
    </w:p>
    <w:p>
      <w:pPr>
        <w:spacing w:after="0" w:line="111" w:lineRule="exact"/>
        <w:rPr>
          <w:rFonts w:ascii="Times New Roman" w:cs="Times New Roman" w:eastAsia="Times New Roman" w:hAnsi="Times New Roman"/>
          <w:sz w:val="22"/>
          <w:szCs w:val="22"/>
          <w:color w:val="auto"/>
        </w:rPr>
      </w:pPr>
    </w:p>
    <w:p>
      <w:pPr>
        <w:jc w:val="both"/>
        <w:ind w:left="1300" w:firstLine="4"/>
        <w:spacing w:after="0" w:line="358" w:lineRule="auto"/>
        <w:tabs>
          <w:tab w:leader="none" w:pos="1943" w:val="left"/>
        </w:tabs>
        <w:numPr>
          <w:ilvl w:val="2"/>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of the Company’s employee benefits plans in which Executive has been a participant, including, but not limited to, the Retirement Plan for Employees of the Company, EDP, and SERP, if applicable, and the Company’s Employees’ Investment Plan, as to Executive’s own vested accrued employee benefits under such health, welfare, or retirement benefit plans as of the Separation Date;</w:t>
      </w:r>
    </w:p>
    <w:p>
      <w:pPr>
        <w:spacing w:after="0" w:line="2" w:lineRule="exact"/>
        <w:rPr>
          <w:rFonts w:ascii="Times New Roman" w:cs="Times New Roman" w:eastAsia="Times New Roman" w:hAnsi="Times New Roman"/>
          <w:sz w:val="22"/>
          <w:szCs w:val="22"/>
          <w:color w:val="auto"/>
        </w:rPr>
      </w:pPr>
    </w:p>
    <w:p>
      <w:pPr>
        <w:jc w:val="both"/>
        <w:ind w:left="1300" w:firstLine="4"/>
        <w:spacing w:after="0" w:line="354" w:lineRule="auto"/>
        <w:tabs>
          <w:tab w:leader="none" w:pos="1943" w:val="left"/>
        </w:tabs>
        <w:numPr>
          <w:ilvl w:val="2"/>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health and welfare benefits to which Executive may in the future be entitled under COBRA or comparable federal or state law or regulations, including Executive’s entitlement to payments for COBRA benefits as described in Section 2(a) of this Agreement;</w:t>
      </w:r>
    </w:p>
    <w:p>
      <w:pPr>
        <w:spacing w:after="0" w:line="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state workers’ compensation act or statute; and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59" w:name="page60"/>
    <w:bookmarkEnd w:id="59"/>
    <w:p>
      <w:pPr>
        <w:spacing w:after="0" w:line="32" w:lineRule="exact"/>
        <w:rPr>
          <w:sz w:val="20"/>
          <w:szCs w:val="20"/>
          <w:color w:val="auto"/>
        </w:rPr>
      </w:pPr>
    </w:p>
    <w:p>
      <w:pPr>
        <w:ind w:left="1932" w:hanging="636"/>
        <w:spacing w:after="0"/>
        <w:tabs>
          <w:tab w:leader="none" w:pos="1932" w:val="left"/>
        </w:tabs>
        <w:numPr>
          <w:ilvl w:val="2"/>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any claim which, as a matter of law or public policy, cannot be waived, released or forfeited.</w:t>
      </w:r>
    </w:p>
    <w:p>
      <w:pPr>
        <w:spacing w:after="0" w:line="129" w:lineRule="exact"/>
        <w:rPr>
          <w:rFonts w:ascii="Times New Roman" w:cs="Times New Roman" w:eastAsia="Times New Roman" w:hAnsi="Times New Roman"/>
          <w:sz w:val="22"/>
          <w:szCs w:val="22"/>
          <w:color w:val="auto"/>
        </w:rPr>
      </w:pPr>
    </w:p>
    <w:p>
      <w:pPr>
        <w:jc w:val="both"/>
        <w:ind w:left="-8" w:firstLine="656"/>
        <w:spacing w:after="0" w:line="372" w:lineRule="auto"/>
        <w:tabs>
          <w:tab w:leader="none" w:pos="1276"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constitutes, among other things, a full and complete release of any and all Claims released by Executive, and it is the intention of the Parties that this Agreement shall provide the Released Parties a complete and absolute defense to anything released hereunder, except as modified above. Executive expressly and knowingly waives his rights to assert any Claims against the Released Parties, which Claims are released hereunder. Executive further represents and warrants that no charges, claims or suits of any kind have been filed by Executive against the Released Parties as of the date of this Agreement.</w:t>
      </w:r>
    </w:p>
    <w:p>
      <w:pPr>
        <w:spacing w:after="0" w:line="5" w:lineRule="exact"/>
        <w:rPr>
          <w:rFonts w:ascii="Times New Roman" w:cs="Times New Roman" w:eastAsia="Times New Roman" w:hAnsi="Times New Roman"/>
          <w:sz w:val="21"/>
          <w:szCs w:val="21"/>
          <w:color w:val="auto"/>
        </w:rPr>
      </w:pPr>
    </w:p>
    <w:p>
      <w:pPr>
        <w:ind w:left="-8" w:firstLine="656"/>
        <w:spacing w:after="0" w:line="356" w:lineRule="auto"/>
        <w:tabs>
          <w:tab w:leader="none" w:pos="1283"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understands and agrees that he would not receive the Severance Benefits unless he executes this Agreement and fulfills the promises contained herein.</w:t>
      </w:r>
    </w:p>
    <w:p>
      <w:pPr>
        <w:spacing w:after="0" w:line="1"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Non-Disparagement and Inquiries</w:t>
      </w:r>
      <w:r>
        <w:rPr>
          <w:rFonts w:ascii="Times New Roman" w:cs="Times New Roman" w:eastAsia="Times New Roman" w:hAnsi="Times New Roman"/>
          <w:sz w:val="22"/>
          <w:szCs w:val="22"/>
          <w:color w:val="auto"/>
        </w:rPr>
        <w:t>.</w:t>
      </w:r>
    </w:p>
    <w:p>
      <w:pPr>
        <w:spacing w:after="0" w:line="115" w:lineRule="exact"/>
        <w:rPr>
          <w:rFonts w:ascii="Times New Roman" w:cs="Times New Roman" w:eastAsia="Times New Roman" w:hAnsi="Times New Roman"/>
          <w:sz w:val="22"/>
          <w:szCs w:val="22"/>
          <w:b w:val="1"/>
          <w:bCs w:val="1"/>
          <w:color w:val="auto"/>
        </w:rPr>
      </w:pPr>
    </w:p>
    <w:p>
      <w:pPr>
        <w:jc w:val="both"/>
        <w:ind w:left="-8" w:firstLine="656"/>
        <w:spacing w:after="0" w:line="376" w:lineRule="auto"/>
        <w:tabs>
          <w:tab w:leader="none" w:pos="1283"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Executive shall not (and shall not cause or encourage any other person to) make, publish, or communicate any written or oral statement to any person that defames, disparages, ridicules or criticizes the Executive, any of the Released Parties or the Released Parties’ business, products, services, or policies (“Disparaging Statements”). The Company agrees to instruct the individual members of the Board and executive level employees of the Company -- the President and Chief Executive Officer, General Counsel/Corporate Secretary, Vice President/Strategy/Investor Relations, President of Southwest Gas Corporation, Chief Human Resources Officer, Chief Financial Officer, Treasurer, and Vice President Operations -- who served during Executive’s employment (the “Board”) to refrain from making Disparaging Statements;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Executive understands and agrees that the Company’s obligations under this Section 4(a) extend only to the Company’s duty to instruct the Board and the above executive level employees of the Company and, for the avoidance of doubt, that the Company is not responsible for Disparaging Statements that are made by executive level employees of the Company or members of the Board after they leave the Company or the Board. This restriction includes, without limitation, Disparaging Statements made, whether directly or indirectly, to or on social media, podcasts, internet websites, as well as statements to the media, including writers, researchers, reporters, magazines, newspapers, book publishers, television stations, radio stations, the motion picture industry, public interest groups, and the publishing industry generally. The Company and Executive also mutually represent and warrant that neither Party</w:t>
      </w:r>
    </w:p>
    <w:p>
      <w:pPr>
        <w:spacing w:after="0" w:line="200" w:lineRule="exact"/>
        <w:rPr>
          <w:sz w:val="20"/>
          <w:szCs w:val="20"/>
          <w:color w:val="auto"/>
        </w:rPr>
      </w:pPr>
    </w:p>
    <w:p>
      <w:pPr>
        <w:spacing w:after="0" w:line="37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32"/>
          </w:cols>
          <w:pgMar w:left="328" w:top="1440" w:right="339" w:bottom="1440" w:gutter="0" w:footer="0" w:header="0"/>
        </w:sectPr>
      </w:pPr>
    </w:p>
    <w:bookmarkStart w:id="60" w:name="page61"/>
    <w:bookmarkEnd w:id="60"/>
    <w:p>
      <w:pPr>
        <w:spacing w:after="0" w:line="36" w:lineRule="exact"/>
        <w:rPr>
          <w:sz w:val="20"/>
          <w:szCs w:val="20"/>
          <w:color w:val="auto"/>
        </w:rPr>
      </w:pPr>
    </w:p>
    <w:p>
      <w:pPr>
        <w:jc w:val="both"/>
        <w:spacing w:after="0" w:line="354" w:lineRule="auto"/>
        <w:rPr>
          <w:sz w:val="20"/>
          <w:szCs w:val="20"/>
          <w:color w:val="auto"/>
        </w:rPr>
      </w:pPr>
      <w:r>
        <w:rPr>
          <w:rFonts w:ascii="Times New Roman" w:cs="Times New Roman" w:eastAsia="Times New Roman" w:hAnsi="Times New Roman"/>
          <w:sz w:val="22"/>
          <w:szCs w:val="22"/>
          <w:color w:val="auto"/>
        </w:rPr>
        <w:t>has made or published any Disparaging Statements about the other or the Released Parties as of the date the Parties sign this Agreement. The Parties agree that this Section 4 supersedes any prior agreements or understandings between the Parties regarding its subject matter, including the non-disparagement clause included in Section 7 of the CIC Agreement.</w:t>
      </w:r>
    </w:p>
    <w:p>
      <w:pPr>
        <w:spacing w:after="0" w:line="1" w:lineRule="exact"/>
        <w:rPr>
          <w:sz w:val="20"/>
          <w:szCs w:val="20"/>
          <w:color w:val="auto"/>
        </w:rPr>
      </w:pPr>
    </w:p>
    <w:p>
      <w:pPr>
        <w:jc w:val="both"/>
        <w:ind w:firstLine="656"/>
        <w:spacing w:after="0" w:line="358" w:lineRule="auto"/>
        <w:tabs>
          <w:tab w:leader="none" w:pos="1291"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shall refer all inquiries, if any, made by prospective employers concerning Executive’s employment with the Company, to the Company’s Chief Human Resources Officer and the Company will respond to such inquiries from prospective employers by confirming that Executive is no longer employed by the Company and, if requested, will confirm title and dates of employment.</w:t>
      </w:r>
    </w:p>
    <w:p>
      <w:pPr>
        <w:spacing w:after="0" w:line="2" w:lineRule="exact"/>
        <w:rPr>
          <w:rFonts w:ascii="Times New Roman" w:cs="Times New Roman" w:eastAsia="Times New Roman" w:hAnsi="Times New Roman"/>
          <w:sz w:val="22"/>
          <w:szCs w:val="22"/>
          <w:color w:val="auto"/>
        </w:rPr>
      </w:pPr>
    </w:p>
    <w:p>
      <w:pPr>
        <w:jc w:val="both"/>
        <w:ind w:firstLine="656"/>
        <w:spacing w:after="0" w:line="356" w:lineRule="auto"/>
        <w:tabs>
          <w:tab w:leader="none" w:pos="1291"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nothing in this Section 4 shall prevent (and none of the following shall be deemed a breach of this section) any person from testifying truthfully to the extent (i) necessary with respect to any litigation, arbitration or mediation including, but not limited to, the enforcement of this Agreement, or (ii) required by law or by any court, arbitrator, mediator or administrative or legislative body (including any committee thereof) with jurisdiction over such person. Further, nothing in this Agreement shall infringe upon Executive’s Section 7 rights under the National Labor Relations Act of 1935; nor shall this provision limit or effect in any way Executive’s ability to communicate with and participate in any federal, state or local government agency action.</w:t>
      </w:r>
    </w:p>
    <w:p>
      <w:pPr>
        <w:spacing w:after="0" w:line="1" w:lineRule="exact"/>
        <w:rPr>
          <w:rFonts w:ascii="Times New Roman" w:cs="Times New Roman" w:eastAsia="Times New Roman" w:hAnsi="Times New Roman"/>
          <w:sz w:val="22"/>
          <w:szCs w:val="22"/>
          <w:color w:val="auto"/>
        </w:rPr>
      </w:pPr>
    </w:p>
    <w:p>
      <w:pPr>
        <w:jc w:val="both"/>
        <w:ind w:firstLine="8"/>
        <w:spacing w:after="0" w:line="359" w:lineRule="auto"/>
        <w:tabs>
          <w:tab w:leader="none" w:pos="648"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Litigation Cooperation</w:t>
      </w:r>
      <w:r>
        <w:rPr>
          <w:rFonts w:ascii="Times New Roman" w:cs="Times New Roman" w:eastAsia="Times New Roman" w:hAnsi="Times New Roman"/>
          <w:sz w:val="22"/>
          <w:szCs w:val="22"/>
          <w:color w:val="auto"/>
        </w:rPr>
        <w:t>. Executive agrees to cooperate, as reasonably requested, with the Company or its affiliates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subsidiaries in the defense of any action brought by any third party against the Company or any of its affiliates or subsidiaries that relates to Executive’s service to any such entity for up to fifty (50) hours per year in each of the three (3) years after the Separation Date (“Litigation Cooperation”). The Company shall compensate Executive for Litigation Cooperation—except for sworn testimony in deposition or other proceedings —at an hourly rate of $525.00, except that the Company shall not compensate Executive for time spent testifying in court or in an arbitration hearing. Notwithstanding the preceding sentence, it is understood that time Executive spends providing sworn testimony in deposition or other proceedings will count against the up to fifty (50) hour yearly cap Executive is required to engage in Litigation Cooperation pursuant to this Section 5. The Company shall also reimburse Executive’s reasonable out of pocket expenses incurred in connection with Litigation Cooperation upon submission to the Company of appropriate documentation as prescribed by the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61" w:name="page62"/>
    <w:bookmarkEnd w:id="61"/>
    <w:p>
      <w:pPr>
        <w:spacing w:after="0" w:line="36" w:lineRule="exact"/>
        <w:rPr>
          <w:sz w:val="20"/>
          <w:szCs w:val="20"/>
          <w:color w:val="auto"/>
        </w:rPr>
      </w:pPr>
    </w:p>
    <w:p>
      <w:pPr>
        <w:jc w:val="both"/>
        <w:spacing w:after="0" w:line="355" w:lineRule="auto"/>
        <w:rPr>
          <w:sz w:val="20"/>
          <w:szCs w:val="20"/>
          <w:color w:val="auto"/>
        </w:rPr>
      </w:pPr>
      <w:r>
        <w:rPr>
          <w:rFonts w:ascii="Times New Roman" w:cs="Times New Roman" w:eastAsia="Times New Roman" w:hAnsi="Times New Roman"/>
          <w:sz w:val="22"/>
          <w:szCs w:val="22"/>
          <w:color w:val="auto"/>
        </w:rPr>
        <w:t>Company. Further, to the full extent permitted by law, Executive agrees that he shall not act as a consultant to or provide any information to any third party or otherwise assist any third party either directly or indirectly, including taking any action or pursuing any claim, or cause of action of any kind or nature against the Company, SWX, or their affiliates relating to any of the matters in which Executive had been working on either directly or indirectly prior to the Separation Date, whether pursued through court, arbitration, administrative, investigatory, shareholder vote, or other procedures.</w:t>
      </w:r>
    </w:p>
    <w:p>
      <w:pPr>
        <w:spacing w:after="0" w:line="2" w:lineRule="exact"/>
        <w:rPr>
          <w:sz w:val="20"/>
          <w:szCs w:val="20"/>
          <w:color w:val="auto"/>
        </w:rPr>
      </w:pPr>
    </w:p>
    <w:p>
      <w:pPr>
        <w:jc w:val="both"/>
        <w:ind w:firstLine="8"/>
        <w:spacing w:after="0" w:line="356" w:lineRule="auto"/>
        <w:tabs>
          <w:tab w:leader="none" w:pos="648"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Affirmations</w:t>
      </w:r>
      <w:r>
        <w:rPr>
          <w:rFonts w:ascii="Times New Roman" w:cs="Times New Roman" w:eastAsia="Times New Roman" w:hAnsi="Times New Roman"/>
          <w:sz w:val="22"/>
          <w:szCs w:val="22"/>
          <w:color w:val="auto"/>
        </w:rPr>
        <w:t>. Aside from the payments owed pursuant to this Agreement as discussed herein, Executive affirms that 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been paid and/or has received all compensation, wages, bonuses, commissions, and/or benefits which are due and payable as of the date Executive signs this agreement. Executive further affirms that he has no known workplace injuries or occupational diseases that have not already been reported to the Company or adjudicated. Executive further affirms that he has not been retaliated against for reporting any allegations of wrongdoing by the Company or their respective officers, including any allegations of corporate fraud. Executive affirms that all of the Company’s decisions regarding Executive’s pay and benefits through the date of Executive’s execution of this Agreement were not discriminatory based on age, disability, race, color, sex, religion, national origin or any other classification protected by law. Executive also affirms that he has not divulged any proprietary or confidential information of the Company and will continue to maintain the confidentiality of such information consistent with this Agreement.</w:t>
      </w:r>
    </w:p>
    <w:p>
      <w:pPr>
        <w:ind w:firstLine="8"/>
        <w:spacing w:after="0" w:line="358" w:lineRule="auto"/>
        <w:tabs>
          <w:tab w:leader="none" w:pos="648"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Successors and Assigns</w:t>
      </w:r>
      <w:r>
        <w:rPr>
          <w:rFonts w:ascii="Times New Roman" w:cs="Times New Roman" w:eastAsia="Times New Roman" w:hAnsi="Times New Roman"/>
          <w:sz w:val="22"/>
          <w:szCs w:val="22"/>
          <w:color w:val="auto"/>
        </w:rPr>
        <w:t>. This agreement shall be binding upon each of the Parties and each of their respective successors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permitted assigns.</w:t>
      </w:r>
    </w:p>
    <w:p>
      <w:pPr>
        <w:spacing w:after="0" w:line="1" w:lineRule="exact"/>
        <w:rPr>
          <w:rFonts w:ascii="Times New Roman" w:cs="Times New Roman" w:eastAsia="Times New Roman" w:hAnsi="Times New Roman"/>
          <w:sz w:val="22"/>
          <w:szCs w:val="22"/>
          <w:b w:val="1"/>
          <w:bCs w:val="1"/>
          <w:color w:val="auto"/>
        </w:rPr>
      </w:pPr>
    </w:p>
    <w:p>
      <w:pPr>
        <w:jc w:val="both"/>
        <w:ind w:firstLine="8"/>
        <w:spacing w:after="0" w:line="372" w:lineRule="auto"/>
        <w:tabs>
          <w:tab w:leader="none" w:pos="648" w:val="left"/>
        </w:tabs>
        <w:numPr>
          <w:ilvl w:val="0"/>
          <w:numId w:val="2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Effect of Agreement</w:t>
      </w:r>
      <w:r>
        <w:rPr>
          <w:rFonts w:ascii="Times New Roman" w:cs="Times New Roman" w:eastAsia="Times New Roman" w:hAnsi="Times New Roman"/>
          <w:sz w:val="21"/>
          <w:szCs w:val="21"/>
          <w:color w:val="auto"/>
        </w:rPr>
        <w:t>. Executive acknowledges and agrees that this agreement and the payments and covenants hereunder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not be construed as an admission or acknowledgement by either party of (a) any liability whatsoever to the other party or any other person, (b) any violation of any federal, state or local statute, ordinance or regulation, or (c) any violation of a duty or obligation the Company owes or owed to Executive. Executive acknowledges and agrees that his execution of this Agreement is a voluntary act to bring an amicable conclusion to Executive’s employment relationship with the Company.</w:t>
      </w:r>
    </w:p>
    <w:p>
      <w:pPr>
        <w:spacing w:after="0" w:line="5" w:lineRule="exact"/>
        <w:rPr>
          <w:rFonts w:ascii="Times New Roman" w:cs="Times New Roman" w:eastAsia="Times New Roman" w:hAnsi="Times New Roman"/>
          <w:sz w:val="21"/>
          <w:szCs w:val="21"/>
          <w:b w:val="1"/>
          <w:bCs w:val="1"/>
          <w:color w:val="auto"/>
        </w:rPr>
      </w:pPr>
    </w:p>
    <w:p>
      <w:pPr>
        <w:ind w:firstLine="8"/>
        <w:spacing w:after="0" w:line="390" w:lineRule="auto"/>
        <w:tabs>
          <w:tab w:leader="none" w:pos="648"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Confidentiality of Agreement</w:t>
      </w:r>
      <w:r>
        <w:rPr>
          <w:rFonts w:ascii="Times New Roman" w:cs="Times New Roman" w:eastAsia="Times New Roman" w:hAnsi="Times New Roman"/>
          <w:sz w:val="22"/>
          <w:szCs w:val="22"/>
          <w:color w:val="auto"/>
        </w:rPr>
        <w:t>. Executive expressly agrees that he shall not disclose the terms and conditions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without prior written consent from the Company (by and</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62" w:name="page63"/>
    <w:bookmarkEnd w:id="62"/>
    <w:p>
      <w:pPr>
        <w:spacing w:after="0" w:line="36" w:lineRule="exact"/>
        <w:rPr>
          <w:sz w:val="20"/>
          <w:szCs w:val="20"/>
          <w:color w:val="auto"/>
        </w:rPr>
      </w:pPr>
    </w:p>
    <w:p>
      <w:pPr>
        <w:jc w:val="both"/>
        <w:spacing w:after="0" w:line="355" w:lineRule="auto"/>
        <w:rPr>
          <w:sz w:val="20"/>
          <w:szCs w:val="20"/>
          <w:color w:val="auto"/>
        </w:rPr>
      </w:pPr>
      <w:r>
        <w:rPr>
          <w:rFonts w:ascii="Times New Roman" w:cs="Times New Roman" w:eastAsia="Times New Roman" w:hAnsi="Times New Roman"/>
          <w:sz w:val="22"/>
          <w:szCs w:val="22"/>
          <w:color w:val="auto"/>
        </w:rPr>
        <w:t>through either its General Counsel or Chief Executive Officer) to any individual, entity or organization not a party to this Agreement, other than Executive’s immediate family, legal counsel or tax advisors, and/or to any federal, state, or local government agency, unless such disclosure shall be required by law. In the event disclosure is required by law, Executive shall – to the extent possible -- provide the Company with five (5) days’ notice prior to disclosure so that the Company may, if it chooses, seek to prevent disclosure through available legal processes. Notwithstanding the foregoing, Executive may explain such non-disclosure by referring to this confidentiality obligation.</w:t>
      </w:r>
    </w:p>
    <w:p>
      <w:pPr>
        <w:spacing w:after="0" w:line="5" w:lineRule="exact"/>
        <w:rPr>
          <w:sz w:val="20"/>
          <w:szCs w:val="20"/>
          <w:color w:val="auto"/>
        </w:rPr>
      </w:pPr>
    </w:p>
    <w:p>
      <w:pPr>
        <w:jc w:val="both"/>
        <w:ind w:firstLine="8"/>
        <w:spacing w:after="0" w:line="356" w:lineRule="auto"/>
        <w:tabs>
          <w:tab w:leader="none" w:pos="648"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Confidentiality of Proprietary Information</w:t>
      </w:r>
      <w:r>
        <w:rPr>
          <w:rFonts w:ascii="Times New Roman" w:cs="Times New Roman" w:eastAsia="Times New Roman" w:hAnsi="Times New Roman"/>
          <w:sz w:val="22"/>
          <w:szCs w:val="22"/>
          <w:color w:val="auto"/>
        </w:rPr>
        <w:t>. Executive acknowledges and agrees that in the course of his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Company, and particularly in his most recent position, Executive has acquired and/or had access to highly confidential or proprietary information, including trade secrets, relating to the business of the Company. Executive agrees that all such data and information is and shall remain the sole and exclusive property of the Company, and shall be returned to the Company, as applicable, in a complete and unaltered form, on or before May 31, 2022. Executive agrees that no part or portion of any such information or data shall be used, reproduced, published or disseminated in any manner whatsoever. Executive expressly agrees that he will keep secret and safeguard all such information, and will not, at any time, in any form or manner, directly or indirectly, divulge, disclose or communicate to any person, firm, corporation or other entity any such information without the written authority of the Company by and through either its General Counsel or Chief Executive Officer. If it deems necessary, the Company shall be entitled to enforce such agreement by seeking and obtaining an injunction by any competent court to enjoin and restrain the unauthorized disclosure of such information.</w:t>
      </w:r>
    </w:p>
    <w:p>
      <w:pPr>
        <w:spacing w:after="0" w:line="3" w:lineRule="exact"/>
        <w:rPr>
          <w:rFonts w:ascii="Times New Roman" w:cs="Times New Roman" w:eastAsia="Times New Roman" w:hAnsi="Times New Roman"/>
          <w:sz w:val="22"/>
          <w:szCs w:val="22"/>
          <w:b w:val="1"/>
          <w:bCs w:val="1"/>
          <w:color w:val="auto"/>
        </w:rPr>
      </w:pPr>
    </w:p>
    <w:p>
      <w:pPr>
        <w:ind w:left="640" w:hanging="632"/>
        <w:spacing w:after="0"/>
        <w:tabs>
          <w:tab w:leader="none" w:pos="640"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Return of Company Property</w:t>
      </w:r>
      <w:r>
        <w:rPr>
          <w:rFonts w:ascii="Times New Roman" w:cs="Times New Roman" w:eastAsia="Times New Roman" w:hAnsi="Times New Roman"/>
          <w:sz w:val="22"/>
          <w:szCs w:val="22"/>
          <w:color w:val="auto"/>
        </w:rPr>
        <w:t>.</w:t>
      </w:r>
    </w:p>
    <w:p>
      <w:pPr>
        <w:spacing w:after="0" w:line="129" w:lineRule="exact"/>
        <w:rPr>
          <w:rFonts w:ascii="Times New Roman" w:cs="Times New Roman" w:eastAsia="Times New Roman" w:hAnsi="Times New Roman"/>
          <w:sz w:val="22"/>
          <w:szCs w:val="22"/>
          <w:b w:val="1"/>
          <w:bCs w:val="1"/>
          <w:color w:val="auto"/>
        </w:rPr>
      </w:pPr>
    </w:p>
    <w:p>
      <w:pPr>
        <w:jc w:val="both"/>
        <w:ind w:firstLine="656"/>
        <w:spacing w:after="0" w:line="381" w:lineRule="auto"/>
        <w:tabs>
          <w:tab w:leader="none" w:pos="1296"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before May 31, 2022, Executive shall return to the Company any and all property of the Released Parties, including, but not limited to, office, desk and file cabinet keys, Company identification/pass cards, passwords and account information for any Company systems, credit cards issued to Executive by the Company, equipment owned by the Company (including computers and printers), and any other property of the Company in the possession, custody or control of Executive or Executive’s agents. Executive shall also surrender and deliver to the Company all files, papers, data, documents, lists, charts, photographs, computer records, equipment, discs or any other records (in electronic or any other format), relating in any manner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63" w:name="page64"/>
    <w:bookmarkEnd w:id="63"/>
    <w:p>
      <w:pPr>
        <w:spacing w:after="0" w:line="36" w:lineRule="exact"/>
        <w:rPr>
          <w:sz w:val="20"/>
          <w:szCs w:val="20"/>
          <w:color w:val="auto"/>
        </w:rPr>
      </w:pPr>
    </w:p>
    <w:p>
      <w:pPr>
        <w:ind w:right="20"/>
        <w:spacing w:after="0" w:line="358" w:lineRule="auto"/>
        <w:rPr>
          <w:sz w:val="20"/>
          <w:szCs w:val="20"/>
          <w:color w:val="auto"/>
        </w:rPr>
      </w:pPr>
      <w:r>
        <w:rPr>
          <w:rFonts w:ascii="Times New Roman" w:cs="Times New Roman" w:eastAsia="Times New Roman" w:hAnsi="Times New Roman"/>
          <w:sz w:val="22"/>
          <w:szCs w:val="22"/>
          <w:color w:val="auto"/>
        </w:rPr>
        <w:t>to the business activities of the Company, which were created, produced, reproduced or utilized by the Company, or any of the Released Parties, or by Executive during the term of Executive’s employment relationship with the Company, if any.</w:t>
      </w:r>
    </w:p>
    <w:p>
      <w:pPr>
        <w:spacing w:after="0" w:line="1" w:lineRule="exact"/>
        <w:rPr>
          <w:sz w:val="20"/>
          <w:szCs w:val="20"/>
          <w:color w:val="auto"/>
        </w:rPr>
      </w:pPr>
    </w:p>
    <w:p>
      <w:pPr>
        <w:jc w:val="both"/>
        <w:ind w:firstLine="656"/>
        <w:spacing w:after="0" w:line="354" w:lineRule="auto"/>
        <w:tabs>
          <w:tab w:leader="none" w:pos="1294"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also agrees to repay any monies owed to the Company or the Released Parties, if any, including loans, advances, charges or debts incurred by Executive, or any other amounts owed to the Released Parties, on or before 5:00 p.m. PST on May 31, 2022.</w:t>
      </w:r>
    </w:p>
    <w:p>
      <w:pPr>
        <w:spacing w:after="0" w:line="1" w:lineRule="exact"/>
        <w:rPr>
          <w:rFonts w:ascii="Times New Roman" w:cs="Times New Roman" w:eastAsia="Times New Roman" w:hAnsi="Times New Roman"/>
          <w:sz w:val="22"/>
          <w:szCs w:val="22"/>
          <w:color w:val="auto"/>
        </w:rPr>
      </w:pPr>
    </w:p>
    <w:p>
      <w:pPr>
        <w:jc w:val="both"/>
        <w:ind w:firstLine="656"/>
        <w:spacing w:after="0" w:line="357" w:lineRule="auto"/>
        <w:tabs>
          <w:tab w:leader="none" w:pos="1284"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obligation to make the payments required by Section 2 shall terminate if Executive fails to either return the Released Parties’ property, if any, or repay all sums owed the Released Parties as required in subsections (a) and (b) of this Section 12.</w:t>
      </w:r>
    </w:p>
    <w:p>
      <w:pPr>
        <w:spacing w:after="0" w:line="1" w:lineRule="exact"/>
        <w:rPr>
          <w:rFonts w:ascii="Times New Roman" w:cs="Times New Roman" w:eastAsia="Times New Roman" w:hAnsi="Times New Roman"/>
          <w:sz w:val="22"/>
          <w:szCs w:val="22"/>
          <w:color w:val="auto"/>
        </w:rPr>
      </w:pPr>
    </w:p>
    <w:p>
      <w:pPr>
        <w:jc w:val="both"/>
        <w:ind w:firstLine="8"/>
        <w:spacing w:after="0" w:line="371" w:lineRule="auto"/>
        <w:tabs>
          <w:tab w:leader="none" w:pos="648" w:val="left"/>
        </w:tabs>
        <w:numPr>
          <w:ilvl w:val="0"/>
          <w:numId w:val="3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Knowing and Voluntary Agreement</w:t>
      </w:r>
      <w:r>
        <w:rPr>
          <w:rFonts w:ascii="Times New Roman" w:cs="Times New Roman" w:eastAsia="Times New Roman" w:hAnsi="Times New Roman"/>
          <w:sz w:val="21"/>
          <w:szCs w:val="21"/>
          <w:color w:val="auto"/>
        </w:rPr>
        <w:t>. Executive acknowledges, warrants, represents and agrees that, in executing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delivering this Agreement, Executive does so freely, knowingly and voluntarily and that he is fully aware of the contents and effect thereof and that such execution and delivery is not the result of any fraud, duress, mistake or undue influence whatsoever.</w:t>
      </w:r>
    </w:p>
    <w:p>
      <w:pPr>
        <w:jc w:val="both"/>
        <w:ind w:firstLine="8"/>
        <w:spacing w:after="0" w:line="356" w:lineRule="auto"/>
        <w:tabs>
          <w:tab w:leader="none" w:pos="648"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Unknown or Mistake in Facts</w:t>
      </w:r>
      <w:r>
        <w:rPr>
          <w:rFonts w:ascii="Times New Roman" w:cs="Times New Roman" w:eastAsia="Times New Roman" w:hAnsi="Times New Roman"/>
          <w:sz w:val="22"/>
          <w:szCs w:val="22"/>
          <w:color w:val="auto"/>
        </w:rPr>
        <w:t>. Executive and the Company for his or itself, understands and represents that they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entered into this Agreement solely on the basis of facts as they understand them, and not any facts, understandings or representations other than expressly stated in this Agreement. To the extent Executive or the Company did not do so, he or it, as the case may be, expressly assumes the risk of such facts, understandings or representations being different and agree that this Agreement shall be in all respects effective and not subject to termination or rescission by any such difference in facts, understandings or representations.</w:t>
      </w:r>
    </w:p>
    <w:p>
      <w:pPr>
        <w:spacing w:after="0" w:line="2" w:lineRule="exact"/>
        <w:rPr>
          <w:rFonts w:ascii="Times New Roman" w:cs="Times New Roman" w:eastAsia="Times New Roman" w:hAnsi="Times New Roman"/>
          <w:sz w:val="22"/>
          <w:szCs w:val="22"/>
          <w:b w:val="1"/>
          <w:bCs w:val="1"/>
          <w:color w:val="auto"/>
        </w:rPr>
      </w:pPr>
    </w:p>
    <w:p>
      <w:pPr>
        <w:jc w:val="both"/>
        <w:ind w:firstLine="8"/>
        <w:spacing w:after="0" w:line="355" w:lineRule="auto"/>
        <w:tabs>
          <w:tab w:leader="none" w:pos="648"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Savings Clause</w:t>
      </w:r>
      <w:r>
        <w:rPr>
          <w:rFonts w:ascii="Times New Roman" w:cs="Times New Roman" w:eastAsia="Times New Roman" w:hAnsi="Times New Roman"/>
          <w:sz w:val="22"/>
          <w:szCs w:val="22"/>
          <w:color w:val="auto"/>
        </w:rPr>
        <w:t>. It is acknowledged and agreed by Executive and the Company that should any provision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be declared or determined to be illegal or invalid by final determination of any court of competent jurisdiction, the validity of the remaining parts, terms or provisions of this Agreement shall not be affected thereby, and the illegal or invalid part, term or provision shall be deemed not to be a part of this Agreement.</w:t>
      </w:r>
    </w:p>
    <w:p>
      <w:pPr>
        <w:spacing w:after="0" w:line="1" w:lineRule="exact"/>
        <w:rPr>
          <w:rFonts w:ascii="Times New Roman" w:cs="Times New Roman" w:eastAsia="Times New Roman" w:hAnsi="Times New Roman"/>
          <w:sz w:val="22"/>
          <w:szCs w:val="22"/>
          <w:b w:val="1"/>
          <w:bCs w:val="1"/>
          <w:color w:val="auto"/>
        </w:rPr>
      </w:pPr>
    </w:p>
    <w:p>
      <w:pPr>
        <w:jc w:val="both"/>
        <w:ind w:firstLine="8"/>
        <w:spacing w:after="0" w:line="369" w:lineRule="auto"/>
        <w:tabs>
          <w:tab w:leader="none" w:pos="648"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Enforcement</w:t>
      </w:r>
      <w:r>
        <w:rPr>
          <w:rFonts w:ascii="Times New Roman" w:cs="Times New Roman" w:eastAsia="Times New Roman" w:hAnsi="Times New Roman"/>
          <w:sz w:val="22"/>
          <w:szCs w:val="22"/>
          <w:color w:val="auto"/>
        </w:rPr>
        <w:t>. Executive and the Company expressly agree that this Agreement constitutes a binding contract. 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breaches any term of this Agreement, or violates any of Executive’s obligations under this Agreement, the Company may, at its option, terminate or suspend all payments and benefits remaining to be paid by the Company under this Agreement. In addition, the Company may seek all other remedies and relief allowed by law. The Parties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64" w:name="page65"/>
    <w:bookmarkEnd w:id="64"/>
    <w:p>
      <w:pPr>
        <w:spacing w:after="0" w:line="36" w:lineRule="exact"/>
        <w:rPr>
          <w:sz w:val="20"/>
          <w:szCs w:val="20"/>
          <w:color w:val="auto"/>
        </w:rPr>
      </w:pPr>
    </w:p>
    <w:p>
      <w:pPr>
        <w:spacing w:after="0" w:line="356" w:lineRule="auto"/>
        <w:rPr>
          <w:sz w:val="20"/>
          <w:szCs w:val="20"/>
          <w:color w:val="auto"/>
        </w:rPr>
      </w:pPr>
      <w:r>
        <w:rPr>
          <w:rFonts w:ascii="Times New Roman" w:cs="Times New Roman" w:eastAsia="Times New Roman" w:hAnsi="Times New Roman"/>
          <w:sz w:val="22"/>
          <w:szCs w:val="22"/>
          <w:color w:val="auto"/>
        </w:rPr>
        <w:t>agree that any disputes regarding the compliance with or enforcement of this Agreement will be resolved in accordance with the Arbitration and Litigation procedures described in Section 5 of the CIC Agreement.</w:t>
      </w:r>
    </w:p>
    <w:p>
      <w:pPr>
        <w:spacing w:after="0" w:line="1" w:lineRule="exact"/>
        <w:rPr>
          <w:sz w:val="20"/>
          <w:szCs w:val="20"/>
          <w:color w:val="auto"/>
        </w:rPr>
      </w:pPr>
    </w:p>
    <w:p>
      <w:pPr>
        <w:jc w:val="both"/>
        <w:ind w:firstLine="8"/>
        <w:spacing w:after="0" w:line="356" w:lineRule="auto"/>
        <w:tabs>
          <w:tab w:leader="none" w:pos="648"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Entirety of Agreement: Modifications</w:t>
      </w:r>
      <w:r>
        <w:rPr>
          <w:rFonts w:ascii="Times New Roman" w:cs="Times New Roman" w:eastAsia="Times New Roman" w:hAnsi="Times New Roman"/>
          <w:sz w:val="22"/>
          <w:szCs w:val="22"/>
          <w:color w:val="auto"/>
        </w:rPr>
        <w:t>. Executive acknowledges and agrees that this Agreement, and any attachments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hereto, contains the entire agreement and understanding concerning the subject matter between Executive and the Company, and that it supersedes and replaces all prior agreements, whether written or oral, as to the subject matters addressed herein. Executive also represents that he has not executed this instrument in reliance on any promise, representation or statement not contained herein. This Agreement may not be modified except by a writing signed by both Executive and the Company, or their duly authorized representatives.</w:t>
      </w:r>
    </w:p>
    <w:p>
      <w:pPr>
        <w:spacing w:after="0" w:line="2" w:lineRule="exact"/>
        <w:rPr>
          <w:rFonts w:ascii="Times New Roman" w:cs="Times New Roman" w:eastAsia="Times New Roman" w:hAnsi="Times New Roman"/>
          <w:sz w:val="22"/>
          <w:szCs w:val="22"/>
          <w:b w:val="1"/>
          <w:bCs w:val="1"/>
          <w:color w:val="auto"/>
        </w:rPr>
      </w:pPr>
    </w:p>
    <w:p>
      <w:pPr>
        <w:jc w:val="both"/>
        <w:ind w:firstLine="8"/>
        <w:spacing w:after="0" w:line="355" w:lineRule="auto"/>
        <w:tabs>
          <w:tab w:leader="none" w:pos="648"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Applicable Laws</w:t>
      </w:r>
      <w:r>
        <w:rPr>
          <w:rFonts w:ascii="Times New Roman" w:cs="Times New Roman" w:eastAsia="Times New Roman" w:hAnsi="Times New Roman"/>
          <w:sz w:val="22"/>
          <w:szCs w:val="22"/>
          <w:color w:val="auto"/>
        </w:rPr>
        <w:t>. This Agreement shall be interpreted, enforced and governed under the laws of the state of Nevada,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regard to Nevada’s conflicts of law provisions. The parties further understand and agree that, with respect to provisional relief as described in Section 5 of CIC Agreement, venue shall be in either the United States District Court for the Southern District of Nevada or the State of Nevada, Eighth Judicial District Court in and for Clark County.</w:t>
      </w:r>
    </w:p>
    <w:p>
      <w:pPr>
        <w:spacing w:after="0" w:line="1"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Effective Date</w:t>
      </w:r>
      <w:r>
        <w:rPr>
          <w:rFonts w:ascii="Times New Roman" w:cs="Times New Roman" w:eastAsia="Times New Roman" w:hAnsi="Times New Roman"/>
          <w:sz w:val="22"/>
          <w:szCs w:val="22"/>
          <w:color w:val="auto"/>
        </w:rPr>
        <w:t>.</w:t>
      </w:r>
    </w:p>
    <w:p>
      <w:pPr>
        <w:spacing w:after="0" w:line="125" w:lineRule="exact"/>
        <w:rPr>
          <w:rFonts w:ascii="Times New Roman" w:cs="Times New Roman" w:eastAsia="Times New Roman" w:hAnsi="Times New Roman"/>
          <w:sz w:val="22"/>
          <w:szCs w:val="22"/>
          <w:b w:val="1"/>
          <w:bCs w:val="1"/>
          <w:color w:val="auto"/>
        </w:rPr>
      </w:pPr>
    </w:p>
    <w:p>
      <w:pPr>
        <w:jc w:val="both"/>
        <w:ind w:firstLine="656"/>
        <w:spacing w:after="0" w:line="356" w:lineRule="auto"/>
        <w:tabs>
          <w:tab w:leader="none" w:pos="1291"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It is acknowledged and agreed that Executive has </w:t>
      </w:r>
      <w:r>
        <w:rPr>
          <w:rFonts w:ascii="Times New Roman" w:cs="Times New Roman" w:eastAsia="Times New Roman" w:hAnsi="Times New Roman"/>
          <w:sz w:val="22"/>
          <w:szCs w:val="22"/>
          <w:b w:val="1"/>
          <w:bCs w:val="1"/>
          <w:color w:val="auto"/>
        </w:rPr>
        <w:t>21 days</w:t>
      </w:r>
      <w:r>
        <w:rPr>
          <w:rFonts w:ascii="Times New Roman" w:cs="Times New Roman" w:eastAsia="Times New Roman" w:hAnsi="Times New Roman"/>
          <w:sz w:val="22"/>
          <w:szCs w:val="22"/>
          <w:color w:val="auto"/>
        </w:rPr>
        <w:t xml:space="preserve"> from receipt of this Agreement to consider the terms and conditions before signing it. Further, Executive has the right to revoke this Agreement at any time during the </w:t>
      </w:r>
      <w:r>
        <w:rPr>
          <w:rFonts w:ascii="Times New Roman" w:cs="Times New Roman" w:eastAsia="Times New Roman" w:hAnsi="Times New Roman"/>
          <w:sz w:val="22"/>
          <w:szCs w:val="22"/>
          <w:b w:val="1"/>
          <w:bCs w:val="1"/>
          <w:color w:val="auto"/>
        </w:rPr>
        <w:t>seven day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period </w:t>
      </w:r>
      <w:r>
        <w:rPr>
          <w:rFonts w:ascii="Times New Roman" w:cs="Times New Roman" w:eastAsia="Times New Roman" w:hAnsi="Times New Roman"/>
          <w:sz w:val="22"/>
          <w:szCs w:val="22"/>
          <w:color w:val="auto"/>
        </w:rPr>
        <w:t>following the date that Executive executes this Agreement (“Revocation Period”). This Agreement shall be effective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enforceable on the day following the expiration of the Revocation Period, provided Executive has not revoked this Agreement during the Revocation Period (“Effective Date”).</w:t>
      </w:r>
    </w:p>
    <w:p>
      <w:pPr>
        <w:jc w:val="both"/>
        <w:ind w:firstLine="656"/>
        <w:spacing w:after="0" w:line="356" w:lineRule="auto"/>
        <w:tabs>
          <w:tab w:leader="none" w:pos="1291"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revoke this Agreement, Executive must submit written notice of revocation within </w:t>
      </w:r>
      <w:r>
        <w:rPr>
          <w:rFonts w:ascii="Times New Roman" w:cs="Times New Roman" w:eastAsia="Times New Roman" w:hAnsi="Times New Roman"/>
          <w:sz w:val="22"/>
          <w:szCs w:val="22"/>
          <w:b w:val="1"/>
          <w:bCs w:val="1"/>
          <w:color w:val="auto"/>
        </w:rPr>
        <w:t>seven days</w:t>
      </w:r>
      <w:r>
        <w:rPr>
          <w:rFonts w:ascii="Times New Roman" w:cs="Times New Roman" w:eastAsia="Times New Roman" w:hAnsi="Times New Roman"/>
          <w:sz w:val="22"/>
          <w:szCs w:val="22"/>
          <w:color w:val="auto"/>
        </w:rPr>
        <w:t xml:space="preserve"> of Executive signing this Agreement. The notice of revocation must be received by Sharon Braddy-McKoy at Sharon.braddymckoy@swgas.com within the Revocation Period. If Executive revokes this Agreement on a timely basis, all obligations of the Parties under this Agreement shall immediately cease, including with respect to the Company, the payment of the Severance Benefits.</w:t>
      </w:r>
    </w:p>
    <w:p>
      <w:pPr>
        <w:ind w:left="660" w:hanging="652"/>
        <w:spacing w:after="0"/>
        <w:tabs>
          <w:tab w:leader="none" w:pos="660"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Executive Rights</w:t>
      </w:r>
      <w:r>
        <w:rPr>
          <w:rFonts w:ascii="Times New Roman" w:cs="Times New Roman" w:eastAsia="Times New Roman" w:hAnsi="Times New Roman"/>
          <w:sz w:val="22"/>
          <w:szCs w:val="22"/>
          <w:color w:val="auto"/>
        </w:rPr>
        <w:t>. Executive acknowledges, represents and agrees to the following:</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65" w:name="page66"/>
    <w:bookmarkEnd w:id="65"/>
    <w:p>
      <w:pPr>
        <w:spacing w:after="0" w:line="32" w:lineRule="exact"/>
        <w:rPr>
          <w:sz w:val="20"/>
          <w:szCs w:val="20"/>
          <w:color w:val="auto"/>
        </w:rPr>
      </w:pPr>
    </w:p>
    <w:p>
      <w:pPr>
        <w:ind w:right="20" w:firstLine="656"/>
        <w:spacing w:after="0" w:line="358" w:lineRule="auto"/>
        <w:tabs>
          <w:tab w:leader="none" w:pos="1285"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EXECUTIVE HAS BEEN ADVISED TO READ THIS ENTIRE AGREEMENT CAREFULLY AND TO CONSULT WITH AN ATTORNEY OF EXECUTIVE’S CHOICE PRIOR TO SIGNING THIS AGREEMENT.</w:t>
      </w:r>
    </w:p>
    <w:p>
      <w:pPr>
        <w:spacing w:after="0" w:line="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Executive received a copy of this Agreement on </w:t>
      </w:r>
      <w:r>
        <w:rPr>
          <w:rFonts w:ascii="Times New Roman" w:cs="Times New Roman" w:eastAsia="Times New Roman" w:hAnsi="Times New Roman"/>
          <w:sz w:val="22"/>
          <w:szCs w:val="22"/>
          <w:b w:val="1"/>
          <w:bCs w:val="1"/>
          <w:color w:val="auto"/>
        </w:rPr>
        <w:t>May 17, 2022</w:t>
      </w:r>
      <w:r>
        <w:rPr>
          <w:rFonts w:ascii="Times New Roman" w:cs="Times New Roman" w:eastAsia="Times New Roman" w:hAnsi="Times New Roman"/>
          <w:sz w:val="22"/>
          <w:szCs w:val="22"/>
          <w:color w:val="auto"/>
        </w:rPr>
        <w:t>.</w:t>
      </w:r>
    </w:p>
    <w:p>
      <w:pPr>
        <w:spacing w:after="0" w:line="115" w:lineRule="exact"/>
        <w:rPr>
          <w:rFonts w:ascii="Times New Roman" w:cs="Times New Roman" w:eastAsia="Times New Roman" w:hAnsi="Times New Roman"/>
          <w:sz w:val="22"/>
          <w:szCs w:val="22"/>
          <w:color w:val="auto"/>
        </w:rPr>
      </w:pPr>
    </w:p>
    <w:p>
      <w:pPr>
        <w:jc w:val="both"/>
        <w:ind w:firstLine="656"/>
        <w:spacing w:after="0" w:line="357" w:lineRule="auto"/>
        <w:tabs>
          <w:tab w:leader="none" w:pos="129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was given at least 21 days to consider the terms and conditions of this Agreement and the Affirmation before signing. The Parties hereby agree that any modifications to the Agreement or Affirmation that were originally provided to Executive, whether considered or deemed to be material or nonmaterial, shall not restart the 21 day consideration period.</w:t>
      </w:r>
    </w:p>
    <w:p>
      <w:pPr>
        <w:spacing w:after="0" w:line="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Executive fails to sign the Agreement on or before the Deadline (</w:t>
      </w:r>
      <w:r>
        <w:rPr>
          <w:rFonts w:ascii="Times New Roman" w:cs="Times New Roman" w:eastAsia="Times New Roman" w:hAnsi="Times New Roman"/>
          <w:sz w:val="22"/>
          <w:szCs w:val="22"/>
          <w:b w:val="1"/>
          <w:bCs w:val="1"/>
          <w:color w:val="auto"/>
        </w:rPr>
        <w:t>June 7, 2022</w:t>
      </w:r>
      <w:r>
        <w:rPr>
          <w:rFonts w:ascii="Times New Roman" w:cs="Times New Roman" w:eastAsia="Times New Roman" w:hAnsi="Times New Roman"/>
          <w:sz w:val="22"/>
          <w:szCs w:val="22"/>
          <w:color w:val="auto"/>
        </w:rPr>
        <w:t>, at 5:00 p.m. PST), it shall not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become effective or enforceable, and Executive will not receive the Severance Benefits.</w:t>
      </w:r>
    </w:p>
    <w:p>
      <w:pPr>
        <w:spacing w:after="0" w:line="125" w:lineRule="exact"/>
        <w:rPr>
          <w:sz w:val="20"/>
          <w:szCs w:val="20"/>
          <w:color w:val="auto"/>
        </w:rPr>
      </w:pPr>
    </w:p>
    <w:p>
      <w:pPr>
        <w:jc w:val="both"/>
        <w:ind w:firstLine="656"/>
        <w:spacing w:after="0" w:line="371" w:lineRule="auto"/>
        <w:tabs>
          <w:tab w:leader="none" w:pos="1294"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is advised, in writing, that he has a full seven days after he signs this Agreement to revoke it, and that this Agreement will not become effective until that seven day Revocation Period has expired. If Executive notifies the Company, in writing, of his election to revoke this Agreement within the seven day Revocation Period, all obligations of the Parties under</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this Agreement shall immediately cease.</w:t>
      </w:r>
    </w:p>
    <w:p>
      <w:pPr>
        <w:spacing w:after="0" w:line="379" w:lineRule="exact"/>
        <w:rPr>
          <w:sz w:val="20"/>
          <w:szCs w:val="20"/>
          <w:color w:val="auto"/>
        </w:rPr>
      </w:pPr>
    </w:p>
    <w:p>
      <w:pPr>
        <w:jc w:val="both"/>
        <w:ind w:left="660"/>
        <w:spacing w:after="0" w:line="358" w:lineRule="auto"/>
        <w:rPr>
          <w:sz w:val="20"/>
          <w:szCs w:val="20"/>
          <w:color w:val="auto"/>
        </w:rPr>
      </w:pPr>
      <w:r>
        <w:rPr>
          <w:rFonts w:ascii="Times New Roman" w:cs="Times New Roman" w:eastAsia="Times New Roman" w:hAnsi="Times New Roman"/>
          <w:sz w:val="22"/>
          <w:szCs w:val="22"/>
          <w:color w:val="auto"/>
        </w:rPr>
        <w:t>(ab) Executive carefully read the Agreement prior to signing it, fully understands its terms, and signed it voluntarily. (ac) This Agreement does not prevent Executive from later challenging the validity of the Agreement, filing a claim to</w:t>
      </w:r>
    </w:p>
    <w:p>
      <w:pPr>
        <w:spacing w:after="0" w:line="1" w:lineRule="exact"/>
        <w:rPr>
          <w:sz w:val="20"/>
          <w:szCs w:val="20"/>
          <w:color w:val="auto"/>
        </w:rPr>
      </w:pPr>
    </w:p>
    <w:p>
      <w:pPr>
        <w:jc w:val="both"/>
        <w:ind w:right="20"/>
        <w:spacing w:after="0" w:line="352" w:lineRule="auto"/>
        <w:rPr>
          <w:sz w:val="20"/>
          <w:szCs w:val="20"/>
          <w:color w:val="auto"/>
        </w:rPr>
      </w:pPr>
      <w:r>
        <w:rPr>
          <w:rFonts w:ascii="Times New Roman" w:cs="Times New Roman" w:eastAsia="Times New Roman" w:hAnsi="Times New Roman"/>
          <w:sz w:val="22"/>
          <w:szCs w:val="22"/>
          <w:color w:val="auto"/>
        </w:rPr>
        <w:t>enforce Executive’s rights or the Company’s obligations under this Agreement, or from filing a charge with any government agency.</w:t>
      </w:r>
    </w:p>
    <w:p>
      <w:pPr>
        <w:jc w:val="both"/>
        <w:ind w:firstLine="648"/>
        <w:spacing w:after="0" w:line="333" w:lineRule="auto"/>
        <w:rPr>
          <w:sz w:val="20"/>
          <w:szCs w:val="20"/>
          <w:color w:val="auto"/>
        </w:rPr>
      </w:pPr>
      <w:r>
        <w:rPr>
          <w:rFonts w:ascii="Times New Roman" w:cs="Times New Roman" w:eastAsia="Times New Roman" w:hAnsi="Times New Roman"/>
          <w:sz w:val="21"/>
          <w:szCs w:val="21"/>
          <w:color w:val="auto"/>
        </w:rPr>
        <w:t>(ad) Executive understands and agrees that Executive will not receive the Severance Benefits if he fails or refuses to sign this Agreement or the Affirmation or if he provides the Company with timely written notice of his election to revoke either.</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2"/>
          <w:szCs w:val="22"/>
          <w:b w:val="1"/>
          <w:bCs w:val="1"/>
          <w:color w:val="auto"/>
        </w:rPr>
        <w:t>EXECUTIVE FREELY AND KNOWINGLY, AND AFTER DUE CONSIDERATION, ENTERS INTO THIS AGREEMENT INTENDING TO WAIVE, SETTLE AND RELEASE ALL CLAIMS IDENTIFIED IN SECTION 3 OF THIS AGREEMENT, INCLUDING BUT NOT LIMITED TO AGE DISCRIMINATION CLAIMS, EXECUTIVE HAS OR MIGHT HAVE AGAINST THE RELEASED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66" w:name="page67"/>
    <w:bookmarkEnd w:id="66"/>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EXECUTIVE</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John Hester</w:t>
      </w:r>
      <w:r>
        <w:rPr>
          <w:rFonts w:ascii="Times New Roman" w:cs="Times New Roman" w:eastAsia="Times New Roman" w:hAnsi="Times New Roman"/>
          <w:sz w:val="22"/>
          <w:szCs w:val="22"/>
          <w:color w:val="auto"/>
        </w:rPr>
        <w:t>____________</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John Hester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June 3, 2022</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SOUTHWEST GAS HOLDINGS, INC.</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r>
        <w:rPr>
          <w:rFonts w:ascii="Times New Roman" w:cs="Times New Roman" w:eastAsia="Times New Roman" w:hAnsi="Times New Roman"/>
          <w:sz w:val="22"/>
          <w:szCs w:val="22"/>
          <w:u w:val="single" w:color="auto"/>
          <w:color w:val="auto"/>
        </w:rPr>
        <w:t>:_/s/ Karen S. Haller</w:t>
      </w:r>
      <w:r>
        <w:rPr>
          <w:rFonts w:ascii="Times New Roman" w:cs="Times New Roman" w:eastAsia="Times New Roman" w:hAnsi="Times New Roman"/>
          <w:sz w:val="22"/>
          <w:szCs w:val="22"/>
          <w:color w:val="auto"/>
        </w:rPr>
        <w:t>__________</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Karen S. Haller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President/Chief Executive Officer</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June 6, 2022</w:t>
      </w:r>
      <w:r>
        <w:rPr>
          <w:rFonts w:ascii="Times New Roman" w:cs="Times New Roman" w:eastAsia="Times New Roman" w:hAnsi="Times New Roman"/>
          <w:sz w:val="22"/>
          <w:szCs w:val="22"/>
          <w:color w:val="auto"/>
        </w:rPr>
        <w:t>___________________</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SOUTHWEST GAS CORPORATION</w:t>
      </w:r>
    </w:p>
    <w:p>
      <w:pPr>
        <w:spacing w:after="0" w:line="200" w:lineRule="exact"/>
        <w:rPr>
          <w:sz w:val="20"/>
          <w:szCs w:val="20"/>
          <w:color w:val="auto"/>
        </w:rPr>
      </w:pPr>
    </w:p>
    <w:p>
      <w:pPr>
        <w:spacing w:after="0" w:line="3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By</w:t>
      </w:r>
      <w:r>
        <w:rPr>
          <w:rFonts w:ascii="Times New Roman" w:cs="Times New Roman" w:eastAsia="Times New Roman" w:hAnsi="Times New Roman"/>
          <w:sz w:val="22"/>
          <w:szCs w:val="22"/>
          <w:u w:val="single" w:color="auto"/>
          <w:color w:val="auto"/>
        </w:rPr>
        <w:t>:_/s/ Sharon Braddy-McKoy</w:t>
      </w:r>
      <w:r>
        <w:rPr>
          <w:rFonts w:ascii="Times New Roman" w:cs="Times New Roman" w:eastAsia="Times New Roman" w:hAnsi="Times New Roman"/>
          <w:sz w:val="22"/>
          <w:szCs w:val="22"/>
          <w:color w:val="auto"/>
        </w:rPr>
        <w:t>______</w:t>
      </w:r>
    </w:p>
    <w:p>
      <w:pPr>
        <w:spacing w:after="0" w:line="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Sharon Braddy-McKoy</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Chief Human Resources Officer</w:t>
      </w:r>
    </w:p>
    <w:p>
      <w:pPr>
        <w:spacing w:after="0" w:line="3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u w:val="single" w:color="auto"/>
          <w:color w:val="auto"/>
        </w:rPr>
        <w:t>June 6, 2022</w:t>
      </w:r>
      <w:r>
        <w:rPr>
          <w:rFonts w:ascii="Times New Roman" w:cs="Times New Roman" w:eastAsia="Times New Roman" w:hAnsi="Times New Roman"/>
          <w:sz w:val="21"/>
          <w:szCs w:val="21"/>
          <w:color w:val="auto"/>
        </w:rPr>
        <w:t>______________________</w:t>
      </w:r>
    </w:p>
    <w:p>
      <w:pPr>
        <w:spacing w:after="0" w:line="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2">
            <w:col w:w="4720" w:space="720"/>
            <w:col w:w="4619"/>
          </w:cols>
          <w:pgMar w:left="400" w:top="1440" w:right="1440" w:bottom="1440" w:gutter="0" w:footer="0" w:header="0"/>
        </w:sectPr>
      </w:pPr>
    </w:p>
    <w:bookmarkStart w:id="67" w:name="page68"/>
    <w:bookmarkEnd w:id="67"/>
    <w:p>
      <w:pPr>
        <w:spacing w:after="0" w:line="19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7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CERTIFICATE OF REAFFIRMATION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OF SEVERANCE AGREEMENT AND GENERAL RELEASE</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i w:val="1"/>
          <w:iCs w:val="1"/>
          <w:color w:val="auto"/>
        </w:rPr>
        <w:t>TO BE SIGNED ON OR AFTER THE SEPARATION DATE. NOT VALID IF SIGNED EARLIER</w:t>
      </w:r>
    </w:p>
    <w:p>
      <w:pPr>
        <w:spacing w:after="0" w:line="22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22"/>
          <w:szCs w:val="22"/>
          <w:color w:val="auto"/>
        </w:rPr>
        <w:t>As required by and as material consideration for the Severance Agreement and General Release (“Agreement”), entered into by and between John P. Hester (“Executive”) and Southwest Gas Corporation (the “Company”), Executive freely and voluntarily agrees to enter into and be bound by this Affirmation of the Severance Agreement and General Release (the “Affirmation”). This Affirmation shall be effective on the 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after it is signed, provided it is not revoked as provided below (the “Affirmation Effective Date”).</w:t>
      </w:r>
    </w:p>
    <w:p>
      <w:pPr>
        <w:spacing w:after="0" w:line="150" w:lineRule="exact"/>
        <w:rPr>
          <w:sz w:val="20"/>
          <w:szCs w:val="20"/>
          <w:color w:val="auto"/>
        </w:rPr>
      </w:pPr>
    </w:p>
    <w:p>
      <w:pPr>
        <w:ind w:right="520"/>
        <w:spacing w:after="0" w:line="335" w:lineRule="auto"/>
        <w:rPr>
          <w:sz w:val="20"/>
          <w:szCs w:val="20"/>
          <w:color w:val="auto"/>
        </w:rPr>
      </w:pPr>
      <w:r>
        <w:rPr>
          <w:rFonts w:ascii="Times New Roman" w:cs="Times New Roman" w:eastAsia="Times New Roman" w:hAnsi="Times New Roman"/>
          <w:sz w:val="21"/>
          <w:szCs w:val="21"/>
          <w:color w:val="auto"/>
        </w:rPr>
        <w:t>Executive hereby reaffirms all of Executive’s obligations and representations in the Agreement, including but not limited to Executive’s release of claims in Section 3 of the Agreement up through the date Executive signs this Affirmation below.</w:t>
      </w:r>
    </w:p>
    <w:p>
      <w:pPr>
        <w:spacing w:after="0" w:line="14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22"/>
          <w:szCs w:val="22"/>
          <w:color w:val="auto"/>
        </w:rPr>
        <w:t>Aside from the payments owed by the Company to Executive pursuant to the Agreement, Executive affirms that he has been paid and/or has received all compensation, wages, bonuses, commissions, and/or benefits which are due and payable as of the date employee signs this agreement. Executive further affirms that he has no known workplace injuries or occupational diseases that have not already been reported to the Company or adjudicated. Executive further affirms that he has not been retaliated against for reporting any allegations of wrongdoing by the Company and its affiliates or their respective officers, including any allegations of corporate fraud. Executive affirms that all of the Company’s decisions regarding Executive’s pay and benefits through the date of Executive’s execution of this Affirmation were not discriminatory based on age, disability, race, color, sex, religion, national origin or any other classification protected by law. Executive also affirms that he has not divulged any proprietary or confidential information of the Company and will continue to maintain the confidentiality of such information consistent with the Agreement.</w:t>
      </w:r>
    </w:p>
    <w:p>
      <w:pPr>
        <w:spacing w:after="0" w:line="217"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22"/>
          <w:szCs w:val="22"/>
          <w:color w:val="auto"/>
        </w:rPr>
        <w:t>Executive acknowledges that Executive had twenty-one (21) days to consider this Affirmation and has seven (7) days following Executive’s execution of the Affirmation to revoke the Affirmation; and that this Affirmation shall not be effective until the Revocation Period (as defined in the Agreement) has expired.</w:t>
      </w:r>
    </w:p>
    <w:p>
      <w:pPr>
        <w:spacing w:after="0" w:line="193" w:lineRule="exact"/>
        <w:rPr>
          <w:sz w:val="20"/>
          <w:szCs w:val="20"/>
          <w:color w:val="auto"/>
        </w:rPr>
      </w:pPr>
    </w:p>
    <w:p>
      <w:pPr>
        <w:ind w:right="40"/>
        <w:spacing w:after="0" w:line="309" w:lineRule="auto"/>
        <w:rPr>
          <w:sz w:val="20"/>
          <w:szCs w:val="20"/>
          <w:color w:val="auto"/>
        </w:rPr>
      </w:pPr>
      <w:r>
        <w:rPr>
          <w:rFonts w:ascii="Times New Roman" w:cs="Times New Roman" w:eastAsia="Times New Roman" w:hAnsi="Times New Roman"/>
          <w:sz w:val="22"/>
          <w:szCs w:val="22"/>
          <w:color w:val="auto"/>
        </w:rPr>
        <w:t>Executive understands that Executive will not be eligible for the Severance Benefits under the Agreement unless Executive signs and does not revoke this Affirmation.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00"/>
          </w:cols>
          <w:pgMar w:left="320" w:top="1440" w:right="379" w:bottom="1440" w:gutter="0" w:footer="0" w:header="0"/>
        </w:sectPr>
      </w:pPr>
    </w:p>
    <w:bookmarkStart w:id="68" w:name="page69"/>
    <w:bookmarkEnd w:id="68"/>
    <w:p>
      <w:pPr>
        <w:spacing w:after="0" w:line="289" w:lineRule="auto"/>
        <w:rPr>
          <w:sz w:val="20"/>
          <w:szCs w:val="20"/>
          <w:color w:val="auto"/>
        </w:rPr>
      </w:pPr>
      <w:r>
        <w:rPr>
          <w:rFonts w:ascii="Times New Roman" w:cs="Times New Roman" w:eastAsia="Times New Roman" w:hAnsi="Times New Roman"/>
          <w:sz w:val="22"/>
          <w:szCs w:val="22"/>
          <w:color w:val="auto"/>
        </w:rPr>
        <w:t>Executive understands that the Company, in providing Executive with Severance Benefits under the Agreement, is relying on this Affirmation, and that Executive’s eligibility and receipt of any benefits under the Agreement are conditioned on Executive’s continued compliance with the Agreement.</w:t>
      </w:r>
    </w:p>
    <w:p>
      <w:pPr>
        <w:spacing w:after="0" w:line="19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22"/>
          <w:szCs w:val="22"/>
          <w:color w:val="auto"/>
        </w:rPr>
        <w:t>Executive acknowledges, warrants, represents and agrees that, in executing and delivering this Agreement, Executive does so freely, knowingly and voluntarily and that he is fully aware of the contents and effect thereof and that such execution and delivery is not the result of any fraud, duress, mistake or undue influence whatsoever.</w:t>
      </w:r>
    </w:p>
    <w:p>
      <w:pPr>
        <w:spacing w:after="0" w:line="200" w:lineRule="exact"/>
        <w:rPr>
          <w:sz w:val="20"/>
          <w:szCs w:val="20"/>
          <w:color w:val="auto"/>
        </w:rPr>
      </w:pPr>
    </w:p>
    <w:p>
      <w:pPr>
        <w:spacing w:after="0" w:line="203" w:lineRule="exact"/>
        <w:rPr>
          <w:sz w:val="20"/>
          <w:szCs w:val="20"/>
          <w:color w:val="auto"/>
        </w:rPr>
      </w:pPr>
    </w:p>
    <w:p>
      <w:pPr>
        <w:spacing w:after="0"/>
        <w:tabs>
          <w:tab w:leader="none" w:pos="3740" w:val="left"/>
        </w:tabs>
        <w:rPr>
          <w:sz w:val="20"/>
          <w:szCs w:val="20"/>
          <w:color w:val="auto"/>
        </w:rPr>
      </w:pPr>
      <w:r>
        <w:rPr>
          <w:rFonts w:ascii="Times New Roman" w:cs="Times New Roman" w:eastAsia="Times New Roman" w:hAnsi="Times New Roman"/>
          <w:sz w:val="20"/>
          <w:szCs w:val="20"/>
          <w:color w:val="auto"/>
        </w:rPr>
        <w:t>____________________________________</w:t>
      </w:r>
      <w:r>
        <w:rPr>
          <w:sz w:val="20"/>
          <w:szCs w:val="20"/>
          <w:color w:val="auto"/>
        </w:rPr>
        <w:tab/>
      </w:r>
      <w:r>
        <w:rPr>
          <w:rFonts w:ascii="Times New Roman" w:cs="Times New Roman" w:eastAsia="Times New Roman" w:hAnsi="Times New Roman"/>
          <w:sz w:val="19"/>
          <w:szCs w:val="19"/>
          <w:color w:val="auto"/>
        </w:rPr>
        <w:t>__________________________, 2022</w:t>
      </w:r>
    </w:p>
    <w:p>
      <w:pPr>
        <w:spacing w:after="0"/>
        <w:tabs>
          <w:tab w:leader="none" w:pos="2100" w:val="left"/>
        </w:tabs>
        <w:rPr>
          <w:sz w:val="20"/>
          <w:szCs w:val="20"/>
          <w:color w:val="auto"/>
        </w:rPr>
      </w:pPr>
      <w:r>
        <w:rPr>
          <w:rFonts w:ascii="Times New Roman" w:cs="Times New Roman" w:eastAsia="Times New Roman" w:hAnsi="Times New Roman"/>
          <w:sz w:val="20"/>
          <w:szCs w:val="20"/>
          <w:color w:val="auto"/>
        </w:rPr>
        <w:t>John P. Hester</w:t>
      </w:r>
      <w:r>
        <w:rPr>
          <w:sz w:val="20"/>
          <w:szCs w:val="20"/>
          <w:color w:val="auto"/>
        </w:rPr>
        <w:tab/>
      </w:r>
      <w:r>
        <w:rPr>
          <w:rFonts w:ascii="Times New Roman" w:cs="Times New Roman" w:eastAsia="Times New Roman" w:hAnsi="Times New Roman"/>
          <w:sz w:val="19"/>
          <w:szCs w:val="19"/>
          <w:color w:val="auto"/>
        </w:rPr>
        <w:t>Date of Execution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00"/>
          </w:cols>
          <w:pgMar w:left="320" w:top="1435" w:right="379" w:bottom="1440" w:gutter="0" w:footer="0" w:header="0"/>
        </w:sectPr>
      </w:pPr>
    </w:p>
    <w:bookmarkStart w:id="69" w:name="page70"/>
    <w:bookmarkEnd w:id="69"/>
    <w:p>
      <w:pPr>
        <w:spacing w:after="0"/>
        <w:rPr>
          <w:sz w:val="20"/>
          <w:szCs w:val="20"/>
          <w:color w:val="auto"/>
        </w:rPr>
      </w:pPr>
      <w:r>
        <w:rPr>
          <w:rFonts w:ascii="Arial" w:cs="Arial" w:eastAsia="Arial" w:hAnsi="Arial"/>
          <w:sz w:val="14"/>
          <w:szCs w:val="14"/>
          <w:color w:val="auto"/>
        </w:rPr>
        <w:t>Executive LTIP Award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0"/>
          <w:szCs w:val="20"/>
          <w:b w:val="1"/>
          <w:bCs w:val="1"/>
          <w:color w:val="auto"/>
        </w:rPr>
        <w:t>AMENDED AND RESTATED CENTURI GROUP AWARD AGREEMENT</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b w:val="1"/>
          <w:bCs w:val="1"/>
          <w:color w:val="auto"/>
        </w:rPr>
        <w:t>UNDER THE SOUTHWEST GAS HOLDINGS, INC. OMNIBUS INCENTIVE PLAN, THE CENTURI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EXECUTIVE DEFERRED COMPENSATION PLAN AND THE CENTURI GROUP, INC. LONG-TERM INCENTIVE PLAN</w:t>
      </w:r>
    </w:p>
    <w:p>
      <w:pPr>
        <w:spacing w:after="0" w:line="3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Amended and Restated Award Agreement (“Award Agreement”) is dated as of __________, 2022, by and between Centuri</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Group, Inc., (the "Company" or “Centuri”), Southwest Gas Holdings, Inc., and _______________ ("Grantee"), pursuant to the Company's</w:t>
      </w:r>
    </w:p>
    <w:p>
      <w:pPr>
        <w:spacing w:after="0" w:line="27"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20"/>
          <w:szCs w:val="20"/>
          <w:color w:val="auto"/>
        </w:rPr>
        <w:t>Executive Deferred Compensation Plan (“EDCP”), Centuri Long-Term Incentive Plan, (“LTIP”) and the Southwest Gas Holdings, Inc. Omnibus Incentive Plan (collectively, the "Plans" and individually a “Plan”). Capitalized terms that are used, but not defined, in this Award Agreement shall have the meaning set forth in the Plans, and the Plans are incorporated by reference into this Award Agreement.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Overview of Your Long-Term Incentive Award Opportunity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determined by award opportunity and Beginning Stock Price</w:t>
      </w:r>
      <w:r>
        <w:rPr>
          <w:rFonts w:ascii="Times New Roman" w:cs="Times New Roman" w:eastAsia="Times New Roman" w:hAnsi="Times New Roman"/>
          <w:sz w:val="20"/>
          <w:szCs w:val="20"/>
          <w:color w:val="auto"/>
        </w:rPr>
        <w:t>]</w:t>
      </w:r>
    </w:p>
    <w:p>
      <w:pPr>
        <w:spacing w:after="0" w:line="40" w:lineRule="exact"/>
        <w:rPr>
          <w:sz w:val="20"/>
          <w:szCs w:val="20"/>
          <w:color w:val="auto"/>
        </w:rPr>
      </w:pPr>
    </w:p>
    <w:p>
      <w:pPr>
        <w:spacing w:after="0"/>
        <w:tabs>
          <w:tab w:leader="none" w:pos="3520" w:val="left"/>
        </w:tabs>
        <w:rPr>
          <w:sz w:val="20"/>
          <w:szCs w:val="20"/>
          <w:color w:val="auto"/>
        </w:rPr>
      </w:pPr>
      <w:r>
        <w:rPr>
          <w:rFonts w:ascii="Times New Roman" w:cs="Times New Roman" w:eastAsia="Times New Roman" w:hAnsi="Times New Roman"/>
          <w:sz w:val="20"/>
          <w:szCs w:val="20"/>
          <w:b w:val="1"/>
          <w:bCs w:val="1"/>
          <w:color w:val="auto"/>
        </w:rPr>
        <w:t>Total Long-Term Incentive Amount:</w:t>
      </w:r>
      <w:r>
        <w:rPr>
          <w:sz w:val="20"/>
          <w:szCs w:val="20"/>
          <w:color w:val="auto"/>
        </w:rPr>
        <w:tab/>
      </w:r>
      <w:r>
        <w:rPr>
          <w:rFonts w:ascii="Times New Roman" w:cs="Times New Roman" w:eastAsia="Times New Roman" w:hAnsi="Times New Roman"/>
          <w:sz w:val="19"/>
          <w:szCs w:val="19"/>
          <w:color w:val="auto"/>
        </w:rPr>
        <w:t>$[______]</w:t>
      </w:r>
    </w:p>
    <w:p>
      <w:pPr>
        <w:spacing w:after="0" w:line="54" w:lineRule="exact"/>
        <w:rPr>
          <w:sz w:val="20"/>
          <w:szCs w:val="20"/>
          <w:color w:val="auto"/>
        </w:rPr>
      </w:pPr>
    </w:p>
    <w:p>
      <w:pPr>
        <w:spacing w:after="0"/>
        <w:tabs>
          <w:tab w:leader="none" w:pos="2940" w:val="left"/>
        </w:tabs>
        <w:rPr>
          <w:sz w:val="20"/>
          <w:szCs w:val="20"/>
          <w:color w:val="auto"/>
        </w:rPr>
      </w:pPr>
      <w:r>
        <w:rPr>
          <w:rFonts w:ascii="Times New Roman" w:cs="Times New Roman" w:eastAsia="Times New Roman" w:hAnsi="Times New Roman"/>
          <w:sz w:val="20"/>
          <w:szCs w:val="20"/>
          <w:b w:val="1"/>
          <w:bCs w:val="1"/>
          <w:color w:val="auto"/>
        </w:rPr>
        <w:t>SWX Stock Price at Award:</w:t>
      </w:r>
      <w:r>
        <w:rPr>
          <w:sz w:val="20"/>
          <w:szCs w:val="20"/>
          <w:color w:val="auto"/>
        </w:rPr>
        <w:tab/>
      </w:r>
      <w:r>
        <w:rPr>
          <w:rFonts w:ascii="Times New Roman" w:cs="Times New Roman" w:eastAsia="Times New Roman" w:hAnsi="Times New Roman"/>
          <w:sz w:val="19"/>
          <w:szCs w:val="19"/>
          <w:color w:val="auto"/>
        </w:rPr>
        <w:t>$[______]</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Aggregate Time Based Shares: </w:t>
      </w:r>
      <w:r>
        <w:rPr>
          <w:rFonts w:ascii="Times New Roman" w:cs="Times New Roman" w:eastAsia="Times New Roman" w:hAnsi="Times New Roman"/>
          <w:sz w:val="20"/>
          <w:szCs w:val="20"/>
          <w:color w:val="auto"/>
        </w:rPr>
        <w:t>[______] Shares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Period</w:t>
      </w:r>
      <w:r>
        <w:rPr>
          <w:rFonts w:ascii="Times New Roman" w:cs="Times New Roman" w:eastAsia="Times New Roman" w:hAnsi="Times New Roman"/>
          <w:sz w:val="20"/>
          <w:szCs w:val="20"/>
          <w:color w:val="auto"/>
        </w:rPr>
        <w:t>: January 1, 2022 to December 31, 2024</w:t>
      </w:r>
    </w:p>
    <w:p>
      <w:pPr>
        <w:spacing w:after="0" w:line="44" w:lineRule="exact"/>
        <w:rPr>
          <w:sz w:val="20"/>
          <w:szCs w:val="20"/>
          <w:color w:val="auto"/>
        </w:rPr>
      </w:pPr>
    </w:p>
    <w:p>
      <w:pPr>
        <w:ind w:firstLine="8"/>
        <w:spacing w:after="0" w:line="275" w:lineRule="auto"/>
        <w:tabs>
          <w:tab w:leader="none" w:pos="19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Target Long-Term Incentive Award Opportunity.</w:t>
      </w:r>
      <w:r>
        <w:rPr>
          <w:rFonts w:ascii="Times New Roman" w:cs="Times New Roman" w:eastAsia="Times New Roman" w:hAnsi="Times New Roman"/>
          <w:sz w:val="20"/>
          <w:szCs w:val="20"/>
          <w:color w:val="auto"/>
        </w:rPr>
        <w:t xml:space="preserve"> Grantee’s target long-term incentive amount is [__]% of base salary. An amount equal to [__]% of base salary is the award opportunity payable in the form of Southwest Gas Holdings Inc. stock and will vest pursuant to the terms of this Award Agreement and the LTIP.</w:t>
      </w:r>
    </w:p>
    <w:p>
      <w:pPr>
        <w:spacing w:after="0" w:line="86" w:lineRule="exact"/>
        <w:rPr>
          <w:rFonts w:ascii="Times New Roman" w:cs="Times New Roman" w:eastAsia="Times New Roman" w:hAnsi="Times New Roman"/>
          <w:sz w:val="20"/>
          <w:szCs w:val="20"/>
          <w:color w:val="auto"/>
        </w:rPr>
      </w:pPr>
    </w:p>
    <w:p>
      <w:pPr>
        <w:ind w:right="60" w:firstLine="8"/>
        <w:spacing w:after="0" w:line="265" w:lineRule="auto"/>
        <w:tabs>
          <w:tab w:leader="none" w:pos="19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Southwest Gas Holdings Shares</w:t>
      </w:r>
      <w:r>
        <w:rPr>
          <w:rFonts w:ascii="Times New Roman" w:cs="Times New Roman" w:eastAsia="Times New Roman" w:hAnsi="Times New Roman"/>
          <w:sz w:val="20"/>
          <w:szCs w:val="20"/>
          <w:color w:val="auto"/>
        </w:rPr>
        <w:t>. The Company and Southwest Gas Holdings, Inc. ("SWX") hereby grant to the Grantee Time-Based Shares of SWX common stock (“Share”), subject to the terms and conditions of this Award Agreement and the applicable terms of the Plans. Each Share represents a share of SWX Common Stock. Until the Shares have vested, the Grantee shall not have any of the rights of a shareholder of SWX with respect to the Shares, except for the crediting of dividend equivalents as provided for in Section 8 below. Share Price for the award is determined by the closing price on the applicable stock exchange of one share of SWX Common Stock on the last trading day immediately prior to the first day of the Performance Period.</w:t>
      </w:r>
    </w:p>
    <w:p>
      <w:pPr>
        <w:spacing w:after="0" w:line="110"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20"/>
          <w:szCs w:val="20"/>
          <w:color w:val="auto"/>
        </w:rPr>
        <w:t>The Company and SWX currently anticipate a spin-off, sale or other transaction to occur during the Performance Period whereby Centuri would no longer be a subsidiary of SWX. Such anticipated transaction could result in the Shares being converted into Centuri stock, but the dollar value of the award would remain consistent. In the event the anticipated transaction is a public spin-off, it shall not be considered a “Change in Control” as that term is defined in the LTIP.</w:t>
      </w:r>
    </w:p>
    <w:p>
      <w:pPr>
        <w:spacing w:after="0" w:line="107" w:lineRule="exact"/>
        <w:rPr>
          <w:sz w:val="20"/>
          <w:szCs w:val="20"/>
          <w:color w:val="auto"/>
        </w:rPr>
      </w:pPr>
    </w:p>
    <w:p>
      <w:pPr>
        <w:ind w:right="100" w:firstLine="8"/>
        <w:spacing w:after="0" w:line="283" w:lineRule="auto"/>
        <w:tabs>
          <w:tab w:leader="none" w:pos="19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Restrictions on Alienation</w:t>
      </w:r>
      <w:r>
        <w:rPr>
          <w:rFonts w:ascii="Times New Roman" w:cs="Times New Roman" w:eastAsia="Times New Roman" w:hAnsi="Times New Roman"/>
          <w:sz w:val="20"/>
          <w:szCs w:val="20"/>
          <w:color w:val="auto"/>
        </w:rPr>
        <w:t>. Shares subject to this Agreement may not be sold, transferred, pledged, assigned, or otherwise alienated in any manner, whether voluntarily, by operation of law,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14"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color w:val="auto"/>
        </w:rPr>
        <w:t>Executive LTIP Award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until the restrictions on the Shares are removed and the Shares are delivered to the Grantee in the form of shares of Common Stock.</w:t>
      </w:r>
    </w:p>
    <w:p>
      <w:pPr>
        <w:spacing w:after="0" w:line="162" w:lineRule="exact"/>
        <w:rPr>
          <w:sz w:val="20"/>
          <w:szCs w:val="20"/>
          <w:color w:val="auto"/>
        </w:rPr>
      </w:pPr>
    </w:p>
    <w:p>
      <w:pPr>
        <w:ind w:right="20" w:firstLine="8"/>
        <w:spacing w:after="0" w:line="283" w:lineRule="auto"/>
        <w:tabs>
          <w:tab w:leader="none" w:pos="19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Time-Based Shares</w:t>
      </w:r>
      <w:r>
        <w:rPr>
          <w:rFonts w:ascii="Times New Roman" w:cs="Times New Roman" w:eastAsia="Times New Roman" w:hAnsi="Times New Roman"/>
          <w:sz w:val="20"/>
          <w:szCs w:val="20"/>
          <w:color w:val="auto"/>
        </w:rPr>
        <w:t>. Vesting of Time-based Shares takes place on the SWX Board approved, LTIP specified, Share delivery date following the end of the Performance Period.</w:t>
      </w:r>
    </w:p>
    <w:p>
      <w:pPr>
        <w:spacing w:after="0" w:line="92" w:lineRule="exact"/>
        <w:rPr>
          <w:rFonts w:ascii="Times New Roman" w:cs="Times New Roman" w:eastAsia="Times New Roman" w:hAnsi="Times New Roman"/>
          <w:sz w:val="20"/>
          <w:szCs w:val="20"/>
          <w:color w:val="auto"/>
        </w:rPr>
      </w:pPr>
    </w:p>
    <w:p>
      <w:pPr>
        <w:ind w:right="20" w:firstLine="8"/>
        <w:spacing w:after="0" w:line="268" w:lineRule="auto"/>
        <w:tabs>
          <w:tab w:leader="none" w:pos="19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Holding Requirements</w:t>
      </w:r>
      <w:r>
        <w:rPr>
          <w:rFonts w:ascii="Times New Roman" w:cs="Times New Roman" w:eastAsia="Times New Roman" w:hAnsi="Times New Roman"/>
          <w:sz w:val="20"/>
          <w:szCs w:val="20"/>
          <w:color w:val="auto"/>
        </w:rPr>
        <w:t>. Grantee shall accumulate Southwest Gas Holdings, Inc. stock with a target value of a multiple of [______] times base salary. Until Grantee reaches the target ownership requirement, Grantee must retain [______]% of the net after-tax Shares granted under this Award Agreement. Grantee shall also defer a target value of [______] times base salary in the Long-Term Capital Investment Fund pursuant to a timely deferral election in the EDCP and such election shall be made and administered to the maximum extent possible to comply with Section 409A of the Internal Revenue Code of 1986 as amended (“Code”).</w:t>
      </w:r>
    </w:p>
    <w:p>
      <w:pPr>
        <w:spacing w:after="0" w:line="160" w:lineRule="exact"/>
        <w:rPr>
          <w:rFonts w:ascii="Times New Roman" w:cs="Times New Roman" w:eastAsia="Times New Roman" w:hAnsi="Times New Roman"/>
          <w:sz w:val="20"/>
          <w:szCs w:val="20"/>
          <w:color w:val="auto"/>
        </w:rPr>
      </w:pPr>
    </w:p>
    <w:p>
      <w:pPr>
        <w:ind w:left="360" w:hanging="334"/>
        <w:spacing w:after="0"/>
        <w:tabs>
          <w:tab w:leader="none" w:pos="360"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Forfeiture of Shares</w:t>
      </w:r>
      <w:r>
        <w:rPr>
          <w:rFonts w:ascii="Times New Roman" w:cs="Times New Roman" w:eastAsia="Times New Roman" w:hAnsi="Times New Roman"/>
          <w:sz w:val="20"/>
          <w:szCs w:val="20"/>
          <w:color w:val="auto"/>
        </w:rPr>
        <w:t>.</w:t>
      </w:r>
    </w:p>
    <w:p>
      <w:pPr>
        <w:spacing w:after="0" w:line="27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color w:val="auto"/>
        </w:rPr>
        <w:t>As provided in the LTIP, stock awards shall be forfeited if, prior to the removal of restrictions on the stock awards, the Grantee has experienced a Termination for any reason other than as described below in Section 7. The Grantee shall execute any documents reasonably requested by the Company in connection with such forfeiture. Upon any forfeiture, all rights of the Grantee with respect to the forfeited stock awards shall cease and terminate, without any further obligation on the part of the Company or SWX.</w:t>
      </w:r>
    </w:p>
    <w:p>
      <w:pPr>
        <w:spacing w:after="0" w:line="161" w:lineRule="exact"/>
        <w:rPr>
          <w:sz w:val="20"/>
          <w:szCs w:val="20"/>
          <w:color w:val="auto"/>
        </w:rPr>
      </w:pPr>
    </w:p>
    <w:p>
      <w:pPr>
        <w:ind w:left="360" w:hanging="334"/>
        <w:spacing w:after="0"/>
        <w:tabs>
          <w:tab w:leader="none" w:pos="3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Removal of Restrictions</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0"/>
          <w:szCs w:val="20"/>
          <w:color w:val="auto"/>
        </w:rPr>
        <w:t>In the event of Grantee's death or Termination due to Disability or Retirement, accelerated vesting and proration of the LTIP stock awards shall be as described in the LTIP. Notwithstanding LTIP provisions to the contrary, in the event of an employer-initiated involuntary Separation from Service following a Change in Control, the LTIP stock awards shall be subject to accelerated vesting and shall not be subject to proration based on actual months of service; provided that the Change in Control benefit provided under this Award Agreement will be in effect for the longer of six months following a Change in Control or the period of time Change in Control Benefits are provided in the Participant’s Employment Agreement, if any. In the event of an employer-initiated involuntary Separation from Service Without Cause occurring after the end of the Change in Control benefit provided in this Award Agreement or the Participant’s Employment Agreement, and before the end of the Performance Period, the LTIP stock awards shall be subject to accelerated pro-rata vesting based on actual full months of service.</w:t>
      </w:r>
    </w:p>
    <w:p>
      <w:pPr>
        <w:spacing w:after="0" w:line="11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For purposes of this Agreement and except for a public spin-off transaction not being a Change in Control, the term “Termination” shall have the same meaning as the term “Separation From Service” in the LTIP and the terms “Disability,” “Retirement” and “Change in Control” shall have the meaning given to such terms in the LTIP. “Separation from Service Without Cause” shall mean termination of employment for any reason other than death, disability, retirement or for “Cause”, as defined in the Participant’s Employment Agreement, if any. If the Participant does not have an employment agreement, “Cause” means any one or more of the following: (a) the Participant’s negligence in the performance of, intentional nonperformance of, or inattention to the Participant’s material duties and responsibilities, any of which continue for five (5) business days after receipt of written notice of need to cure the same; (b) the Participant’s willful dishonesty, fraud or material misconduct with respect to the business or affairs of the Company; (c) the violation by the Participant of any of the Company policies or procedures, which violation is not cured by the Participant within five (5) business days after the Participant has been given written notice thereof; (d) a conviction of, a plea of nolo contendere, a guilty plea, or confession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00"/>
          </w:cols>
          <w:pgMar w:left="320" w:top="114" w:right="379" w:bottom="1440" w:gutter="0" w:footer="0" w:header="0"/>
        </w:sectPr>
      </w:pPr>
    </w:p>
    <w:bookmarkStart w:id="71" w:name="page72"/>
    <w:bookmarkEnd w:id="71"/>
    <w:p>
      <w:pPr>
        <w:spacing w:after="0"/>
        <w:rPr>
          <w:sz w:val="20"/>
          <w:szCs w:val="20"/>
          <w:color w:val="auto"/>
        </w:rPr>
      </w:pPr>
      <w:r>
        <w:rPr>
          <w:rFonts w:ascii="Arial" w:cs="Arial" w:eastAsia="Arial" w:hAnsi="Arial"/>
          <w:sz w:val="14"/>
          <w:szCs w:val="14"/>
          <w:color w:val="auto"/>
        </w:rPr>
        <w:t>Executive LTIP Award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20"/>
          <w:szCs w:val="20"/>
          <w:color w:val="auto"/>
        </w:rPr>
        <w:t>Participant to, an act of fraud, misappropriation or embezzlement or any crime punishable as a felony or any other crime that involves moral turpitude; (e) the Participant’s use of illegal substances or habitual drunkenness; (f) the breach by the Participant of the Participant’s employment or other service agreement if the Participant does not cure such breach within five (5) business days after the Participant has been given written notice thereof; or (g) a breach by the Participant of the non-solicitation, non-compete, and confidentiality requirements set forth in Section 3.12 of the LTIP.</w:t>
      </w:r>
    </w:p>
    <w:p>
      <w:pPr>
        <w:spacing w:after="0" w:line="166" w:lineRule="exact"/>
        <w:rPr>
          <w:sz w:val="20"/>
          <w:szCs w:val="20"/>
          <w:color w:val="auto"/>
        </w:rPr>
      </w:pPr>
    </w:p>
    <w:p>
      <w:pPr>
        <w:ind w:left="360" w:hanging="334"/>
        <w:spacing w:after="0"/>
        <w:tabs>
          <w:tab w:leader="none" w:pos="3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Credit of Dividend Equivalents</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20"/>
          <w:szCs w:val="20"/>
          <w:color w:val="auto"/>
        </w:rPr>
        <w:t>The Grantee’s account shall be credited with a number of Shares based on the amount of dividends that were declared and paid on shares of Common Stock during each fiscal quarter of the Performance Period. The number of Shares upon which dividend equivalents shall be credited for the benefit of the Grantee is the total number of Shares finally determined to have been earned by the Grantee at the end of the Performance Period in accordance with Sections 4 and/or 7, as appropriate. The total amount of each quarterly dividend equivalent shall be converted to the number of Shares attributable to that quarterly dividend equivalent, by dividing such dividend equivalent amount by the average of the closing price of the Common Stock on the dividend payment date during the appropriate Performance Period. Incremental Shares credited for dividends may also earn dividend equivalents. Company or SWX shall maintain a bookkeeping account for Grantee that shall be credited with Shares as described in this Section 8. The Grantee’s account shall be debited by the number of Shares that Grantee forfeits or is paid according to Sections 6 and 9 of this Agreement.</w:t>
      </w:r>
    </w:p>
    <w:p>
      <w:pPr>
        <w:spacing w:after="0" w:line="116" w:lineRule="exact"/>
        <w:rPr>
          <w:sz w:val="20"/>
          <w:szCs w:val="20"/>
          <w:color w:val="auto"/>
        </w:rPr>
      </w:pPr>
    </w:p>
    <w:p>
      <w:pPr>
        <w:ind w:left="200" w:hanging="192"/>
        <w:spacing w:after="0"/>
        <w:tabs>
          <w:tab w:leader="none" w:pos="2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Distribution of Common Stock</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9"/>
          <w:szCs w:val="19"/>
          <w:color w:val="auto"/>
        </w:rPr>
        <w:t>The Grantee shall receive a distribution of whole shares of Common Stock equal to the number of vested Shares plus dividend equivalents, as applicable, provided the Grantee has remained in continuous service with the Company during the entire term of the Performance Period (except in the event of death, Termination due to Disability, or Retirement, or certain Change in Control events, which is governed by the LTIP, as modified by this Award Agreement). Distribution of shares of Common Stock shall occur as soon as administratively possible following the SWX Board approved LTIP specified Share delivery date that follows the end of the Performance Period (the “Distribution Date”), but in no event later than 180 days following the last trading day of the Performance Period. Notwithstanding the immediately preceding sentence, in the case of a distribution of vested shares of Common Stock (on account of any Termination pursuant to Section 7, other than death), plus any Shares attributable to dividends payable with respect to such number of Shares, on behalf of the Grantee (if the Grantee is a "specified employee," as defined in §1.409A-1(i) of the Final Regulations for Code Section 409A) shall, to the extent required by Code Section 409A, not occur until the date which is six (6) months following the date of the Grantee’s Termination (or, if earlier, upon the death of the Grantee). Upon a distribution of shares of Common Stock as provided herein, the Company and Southwest Gas Holdings, Inc. shall cause the Common Stock then being distributed to be registered in the Grantee’s name, but shall not issue certificates for the Common Stock unless the Grantee requests delivery of the certificates for the Common Stock, in writing in accordance with the procedures established by the Company and Southwest Gas Holdings, Inc. The Company and Southwest Gas Holdings, Inc. shall deliver certificates to the Grantee as soon as administratively practicable following the Company’s receipt of a written request from the Grantee for delivery of the certificates. From and after the date of receipt of such distribution, the Grantee or the Grantee's legal representatives, beneficiaries or heirs, as the case may be, shall have full rights of transfer or resale with respect to such shares subject to applicable state and federal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14"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color w:val="auto"/>
        </w:rPr>
        <w:t>Executive LTIP Award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00" w:hanging="292"/>
        <w:spacing w:after="0"/>
        <w:tabs>
          <w:tab w:leader="none" w:pos="3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Administration</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20"/>
          <w:szCs w:val="20"/>
          <w:color w:val="auto"/>
        </w:rPr>
        <w:t>This Award Agreement and the rights of the Grantee hereunder are subject to all the terms and conditions of the Plans. Any inconsistency between this Award Agreement and the Plans shall be resolved in favor of the Plans, except with regard to the Change in Control provisions that have been modified by this Award Agreement and therefore are controlled by this Award Agreement.</w:t>
      </w:r>
    </w:p>
    <w:p>
      <w:pPr>
        <w:spacing w:after="0" w:line="107" w:lineRule="exact"/>
        <w:rPr>
          <w:sz w:val="20"/>
          <w:szCs w:val="20"/>
          <w:color w:val="auto"/>
        </w:rPr>
      </w:pPr>
    </w:p>
    <w:p>
      <w:pPr>
        <w:ind w:left="300" w:hanging="292"/>
        <w:spacing w:after="0"/>
        <w:tabs>
          <w:tab w:leader="none" w:pos="3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134" w:lineRule="exact"/>
        <w:rPr>
          <w:rFonts w:ascii="Times New Roman" w:cs="Times New Roman" w:eastAsia="Times New Roman" w:hAnsi="Times New Roman"/>
          <w:sz w:val="20"/>
          <w:szCs w:val="20"/>
          <w:color w:val="auto"/>
        </w:rPr>
      </w:pPr>
    </w:p>
    <w:p>
      <w:pPr>
        <w:ind w:right="140" w:firstLine="656"/>
        <w:spacing w:after="0"/>
        <w:tabs>
          <w:tab w:leader="none" w:pos="1286"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in this Award Agreement or the Plans shall interfere with or limit in any way the right of the Company to terminate the Grantee’s employment, nor confer upon the Grantee any right to continued employment with the Company.</w:t>
      </w:r>
    </w:p>
    <w:p>
      <w:pPr>
        <w:spacing w:after="0" w:line="184" w:lineRule="exact"/>
        <w:rPr>
          <w:rFonts w:ascii="Times New Roman" w:cs="Times New Roman" w:eastAsia="Times New Roman" w:hAnsi="Times New Roman"/>
          <w:sz w:val="20"/>
          <w:szCs w:val="20"/>
          <w:color w:val="auto"/>
        </w:rPr>
      </w:pPr>
    </w:p>
    <w:p>
      <w:pPr>
        <w:ind w:right="160" w:firstLine="656"/>
        <w:spacing w:after="0" w:line="229" w:lineRule="auto"/>
        <w:tabs>
          <w:tab w:leader="none" w:pos="1284" w:val="left"/>
        </w:tabs>
        <w:numPr>
          <w:ilvl w:val="1"/>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applicable law, each of the Plans may be terminated, amended, or modified as prescribed in such Plan;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no such termination, amendment, or modification of the Plans may in any way adversely affect the Grantee’s rights under this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Award Agreement without the Grantee’s written consent. The terms of this Agreement shall be administered and interpreted by the Company’s Compensation Committee (“Committee”) pursuant to the administrative powers given to it by the LTIP; accordingly, the Committee may interpret, administer, reconcile any inconsistency in, correct any defect in and/or supply any omission in this Agreement.</w:t>
      </w:r>
    </w:p>
    <w:p>
      <w:pPr>
        <w:spacing w:after="0" w:line="190" w:lineRule="exact"/>
        <w:rPr>
          <w:rFonts w:ascii="Times New Roman" w:cs="Times New Roman" w:eastAsia="Times New Roman" w:hAnsi="Times New Roman"/>
          <w:sz w:val="19"/>
          <w:szCs w:val="19"/>
          <w:color w:val="auto"/>
        </w:rPr>
      </w:pPr>
    </w:p>
    <w:p>
      <w:pPr>
        <w:ind w:right="700" w:firstLine="656"/>
        <w:spacing w:after="0"/>
        <w:tabs>
          <w:tab w:leader="none" w:pos="1286"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Grantee shall not have voting rights with respect to the Shares until the Shares are settled, vested, and have been distributed as shares of Common Stock.</w:t>
      </w:r>
    </w:p>
    <w:p>
      <w:pPr>
        <w:spacing w:after="0" w:line="174" w:lineRule="exact"/>
        <w:rPr>
          <w:rFonts w:ascii="Times New Roman" w:cs="Times New Roman" w:eastAsia="Times New Roman" w:hAnsi="Times New Roman"/>
          <w:sz w:val="20"/>
          <w:szCs w:val="20"/>
          <w:color w:val="auto"/>
        </w:rPr>
      </w:pPr>
    </w:p>
    <w:p>
      <w:pPr>
        <w:ind w:right="900" w:firstLine="656"/>
        <w:spacing w:after="0"/>
        <w:tabs>
          <w:tab w:leader="none" w:pos="1284"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Award Agreement shall be subject to all applicable laws, rules, and regulations, and to such approvals by any governmental agencies or national securities exchanges as may be required.</w:t>
      </w:r>
    </w:p>
    <w:p>
      <w:pPr>
        <w:spacing w:after="0" w:line="174" w:lineRule="exact"/>
        <w:rPr>
          <w:rFonts w:ascii="Times New Roman" w:cs="Times New Roman" w:eastAsia="Times New Roman" w:hAnsi="Times New Roman"/>
          <w:sz w:val="20"/>
          <w:szCs w:val="20"/>
          <w:color w:val="auto"/>
        </w:rPr>
      </w:pPr>
    </w:p>
    <w:p>
      <w:pPr>
        <w:jc w:val="both"/>
        <w:ind w:firstLine="656"/>
        <w:spacing w:after="0" w:line="230" w:lineRule="auto"/>
        <w:tabs>
          <w:tab w:leader="none" w:pos="1286"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Award Agreement shall be governed by the corporate laws of the State of Nevada, without giving effect to any choice of law provisions that might otherwise refer construction or interpretation of the Award Agreement or the Plans to the substantive law of another jurisdiction.</w:t>
      </w:r>
    </w:p>
    <w:p>
      <w:pPr>
        <w:spacing w:after="0" w:line="361"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20"/>
          <w:szCs w:val="20"/>
          <w:b w:val="1"/>
          <w:bCs w:val="1"/>
          <w:color w:val="auto"/>
        </w:rPr>
        <w:t>Grantee acknowledges that this Award Agreement and the Plans set forth the entire understanding between Grantee and the Company regarding the acquisition of the Shares granted pursuant to this Award Agreement. Grantee has reviewed and fully understands all provisions of this Award Agreement and the Plans in their entirety. Grantee acknowledges that Shares awarded hereunder may not be sold, transferred, pledged, assigned, or otherwise alienated until the Shares are vested and delivered to the Grantee in the form of shares of Common Stock.</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SOUTHWEST GAS HOLDINGS, INC.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By:_________________________________</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Karen S. Haller, President and Chief Executive Officer</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CENTURI GROUP, INC.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_________________________________</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Paul M. Daily,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14" w:right="339" w:bottom="1440" w:gutter="0" w:footer="0" w:header="0"/>
        </w:sectPr>
      </w:pPr>
    </w:p>
    <w:bookmarkStart w:id="73" w:name="page74"/>
    <w:bookmarkEnd w:id="73"/>
    <w:p>
      <w:pPr>
        <w:spacing w:after="0"/>
        <w:rPr>
          <w:sz w:val="20"/>
          <w:szCs w:val="20"/>
          <w:color w:val="auto"/>
        </w:rPr>
      </w:pPr>
      <w:r>
        <w:rPr>
          <w:rFonts w:ascii="Arial" w:cs="Arial" w:eastAsia="Arial" w:hAnsi="Arial"/>
          <w:sz w:val="14"/>
          <w:szCs w:val="14"/>
          <w:color w:val="auto"/>
        </w:rPr>
        <w:t>Executive LTIP Award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GRANTEE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_______________________</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ind w:right="445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139"/>
          </w:cols>
          <w:pgMar w:left="320" w:top="114" w:right="1440"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Karen S. Haller, certify that:</w:t>
      </w:r>
    </w:p>
    <w:p>
      <w:pPr>
        <w:spacing w:after="0" w:line="225" w:lineRule="exact"/>
        <w:rPr>
          <w:sz w:val="20"/>
          <w:szCs w:val="20"/>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Southwest Gas Holdings,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Dated: August 9, 2022</w:t>
      </w:r>
    </w:p>
    <w:p>
      <w:pPr>
        <w:spacing w:after="0" w:line="5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Karen S. Haller</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Southwest Gas Holdings, Inc.</w:t>
      </w:r>
    </w:p>
    <w:p>
      <w:pPr>
        <w:sectPr>
          <w:pgSz w:w="11900" w:h="16838" w:orient="portrait"/>
          <w:cols w:equalWidth="0" w:num="1">
            <w:col w:w="11240"/>
          </w:cols>
          <w:pgMar w:left="320" w:top="887"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Gregory J. Peterson, certify that:</w:t>
      </w:r>
    </w:p>
    <w:p>
      <w:pPr>
        <w:spacing w:after="0" w:line="225" w:lineRule="exact"/>
        <w:rPr>
          <w:sz w:val="20"/>
          <w:szCs w:val="20"/>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Southwest Gas Holdings,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Dated: August 9, 2022</w:t>
      </w:r>
    </w:p>
    <w:p>
      <w:pPr>
        <w:spacing w:after="0" w:line="5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Gregory J. Peterson</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Senior Vice President/Chief Financial Officer</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Southwest Gas Holdings, Inc.</w:t>
      </w:r>
    </w:p>
    <w:p>
      <w:pPr>
        <w:sectPr>
          <w:pgSz w:w="11900" w:h="16838" w:orient="portrait"/>
          <w:cols w:equalWidth="0" w:num="1">
            <w:col w:w="11240"/>
          </w:cols>
          <w:pgMar w:left="320" w:top="887"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Karen S. Haller, certify that:</w:t>
      </w:r>
    </w:p>
    <w:p>
      <w:pPr>
        <w:spacing w:after="0" w:line="225" w:lineRule="exact"/>
        <w:rPr>
          <w:sz w:val="20"/>
          <w:szCs w:val="20"/>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Southwest Gas Corporation;</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9, 2022</w:t>
      </w:r>
    </w:p>
    <w:p>
      <w:pPr>
        <w:spacing w:after="0" w:line="200" w:lineRule="exact"/>
        <w:rPr>
          <w:sz w:val="20"/>
          <w:szCs w:val="20"/>
          <w:color w:val="auto"/>
        </w:rPr>
      </w:pPr>
    </w:p>
    <w:p>
      <w:pPr>
        <w:spacing w:after="0" w:line="20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Karen S. Haller</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Southwest Gas Corporation</w:t>
      </w:r>
    </w:p>
    <w:p>
      <w:pPr>
        <w:sectPr>
          <w:pgSz w:w="11900" w:h="16838" w:orient="portrait"/>
          <w:cols w:equalWidth="0" w:num="1">
            <w:col w:w="11240"/>
          </w:cols>
          <w:pgMar w:left="320" w:top="887"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Gregory J. Peterson, certify that:</w:t>
      </w:r>
    </w:p>
    <w:p>
      <w:pPr>
        <w:spacing w:after="0" w:line="225" w:lineRule="exact"/>
        <w:rPr>
          <w:sz w:val="20"/>
          <w:szCs w:val="20"/>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Southwest Gas Corporation;</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9, 2022</w:t>
      </w:r>
    </w:p>
    <w:p>
      <w:pPr>
        <w:spacing w:after="0" w:line="5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Gregory J. Peterson</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Senior Vice President/Chief Financial Officer</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Southwest Gas Corporation</w:t>
      </w:r>
    </w:p>
    <w:p>
      <w:pPr>
        <w:sectPr>
          <w:pgSz w:w="11900" w:h="16838" w:orient="portrait"/>
          <w:cols w:equalWidth="0" w:num="1">
            <w:col w:w="11240"/>
          </w:cols>
          <w:pgMar w:left="320" w:top="887"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color w:val="auto"/>
        </w:rPr>
        <w:t>Exhibit 32.01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periodic report of Southwest Gas Holdings, Inc. (the “Company”) on Form 10-Q for the period ended June 30, 2022 as filed with the Securities and Exchange Commission (the “Report”), I, Karen S. Haller, the President and Chief Executive Officer of the Company, hereby certify as of the date hereof, solely for purposes of Title 18, Chapter 63, Section 1350 of the United States Code, that to the best of my knowledge:</w:t>
      </w:r>
    </w:p>
    <w:p>
      <w:pPr>
        <w:spacing w:after="0" w:line="95" w:lineRule="exact"/>
        <w:rPr>
          <w:sz w:val="20"/>
          <w:szCs w:val="20"/>
          <w:color w:val="auto"/>
        </w:rPr>
      </w:pPr>
    </w:p>
    <w:p>
      <w:pPr>
        <w:ind w:left="560" w:hanging="309"/>
        <w:spacing w:after="0"/>
        <w:tabs>
          <w:tab w:leader="none" w:pos="5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2" w:lineRule="exact"/>
        <w:rPr>
          <w:rFonts w:ascii="Times New Roman" w:cs="Times New Roman" w:eastAsia="Times New Roman" w:hAnsi="Times New Roman"/>
          <w:sz w:val="18"/>
          <w:szCs w:val="18"/>
          <w:color w:val="auto"/>
        </w:rPr>
      </w:pPr>
    </w:p>
    <w:p>
      <w:pPr>
        <w:ind w:left="580" w:hanging="329"/>
        <w:spacing w:after="0" w:line="282" w:lineRule="auto"/>
        <w:tabs>
          <w:tab w:leader="none" w:pos="57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9, 2022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Karen S. Haller</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periodic report of Southwest Gas Holdings, Inc. (the “Company”) on Form 10-Q for the period ended June 30, 2022 as filed with the Securities and Exchange Commission (the “Report”), I, Gregory J. Peterson, Senior Vice President/Chief Financial Officer of the Company, hereby certify as of the date hereof, solely for purposes of Title 18, Chapter 63, Section 1350 of the United States Code, that to the best of my knowledge:</w:t>
      </w:r>
    </w:p>
    <w:p>
      <w:pPr>
        <w:spacing w:after="0" w:line="95" w:lineRule="exact"/>
        <w:rPr>
          <w:sz w:val="20"/>
          <w:szCs w:val="20"/>
          <w:color w:val="auto"/>
        </w:rPr>
      </w:pPr>
    </w:p>
    <w:p>
      <w:pPr>
        <w:ind w:left="560" w:hanging="309"/>
        <w:spacing w:after="0"/>
        <w:tabs>
          <w:tab w:leader="none" w:pos="5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2" w:lineRule="exact"/>
        <w:rPr>
          <w:rFonts w:ascii="Times New Roman" w:cs="Times New Roman" w:eastAsia="Times New Roman" w:hAnsi="Times New Roman"/>
          <w:sz w:val="18"/>
          <w:szCs w:val="18"/>
          <w:color w:val="auto"/>
        </w:rPr>
      </w:pPr>
    </w:p>
    <w:p>
      <w:pPr>
        <w:ind w:left="580" w:hanging="329"/>
        <w:spacing w:after="0" w:line="282" w:lineRule="auto"/>
        <w:tabs>
          <w:tab w:leader="none" w:pos="57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9, 2022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Gregory J. Peterson</w:t>
      </w:r>
    </w:p>
    <w:p>
      <w:pPr>
        <w:ind w:left="6780"/>
        <w:spacing w:after="0"/>
        <w:rPr>
          <w:sz w:val="20"/>
          <w:szCs w:val="20"/>
          <w:color w:val="auto"/>
        </w:rPr>
      </w:pPr>
      <w:r>
        <w:rPr>
          <w:rFonts w:ascii="Times New Roman" w:cs="Times New Roman" w:eastAsia="Times New Roman" w:hAnsi="Times New Roman"/>
          <w:sz w:val="18"/>
          <w:szCs w:val="18"/>
          <w:color w:val="auto"/>
        </w:rPr>
        <w:t>Senior Vice President/Chief Financial Officer</w:t>
      </w:r>
    </w:p>
    <w:p>
      <w:pPr>
        <w:sectPr>
          <w:pgSz w:w="11900" w:h="16838" w:orient="portrait"/>
          <w:cols w:equalWidth="0" w:num="1">
            <w:col w:w="11240"/>
          </w:cols>
          <w:pgMar w:left="320" w:top="891"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color w:val="auto"/>
        </w:rPr>
        <w:t>Exhibit 32.02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periodic report of Southwest Gas Corporation on Form 10-Q for the period ended June 30, 2022 as filed with the Securities and Exchange Commission (the “Report”), I, Karen S. Haller, the Chief Executive Officer of Southwest Gas Corporation, hereby certify as of the date hereof, solely for purposes of Title 18, Chapter 63, Section 1350 of the United States Code, that to the best of my knowledge:</w:t>
      </w:r>
    </w:p>
    <w:p>
      <w:pPr>
        <w:spacing w:after="0" w:line="95" w:lineRule="exact"/>
        <w:rPr>
          <w:sz w:val="20"/>
          <w:szCs w:val="20"/>
          <w:color w:val="auto"/>
        </w:rPr>
      </w:pPr>
    </w:p>
    <w:p>
      <w:pPr>
        <w:ind w:left="560" w:hanging="309"/>
        <w:spacing w:after="0"/>
        <w:tabs>
          <w:tab w:leader="none" w:pos="5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2" w:lineRule="exact"/>
        <w:rPr>
          <w:rFonts w:ascii="Times New Roman" w:cs="Times New Roman" w:eastAsia="Times New Roman" w:hAnsi="Times New Roman"/>
          <w:sz w:val="18"/>
          <w:szCs w:val="18"/>
          <w:color w:val="auto"/>
        </w:rPr>
      </w:pPr>
    </w:p>
    <w:p>
      <w:pPr>
        <w:ind w:left="580" w:right="20" w:hanging="329"/>
        <w:spacing w:after="0" w:line="282" w:lineRule="auto"/>
        <w:tabs>
          <w:tab w:leader="none" w:pos="57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9, 2022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Karen S. Haller</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periodic report of Southwest Gas Corporation on Form 10-Q for the period ended June 30, 2022 as filed with the Securities and Exchange Commission (the “Report”), I, Gregory J. Peterson, Senior Vice President/Chief Financial Officer of Southwest Gas Corporation, hereby certify as of the date hereof, solely for purposes of Title 18, Chapter 63, Section 1350 of the United States Code, that to the best of my knowledge:</w:t>
      </w:r>
    </w:p>
    <w:p>
      <w:pPr>
        <w:spacing w:after="0" w:line="95" w:lineRule="exact"/>
        <w:rPr>
          <w:sz w:val="20"/>
          <w:szCs w:val="20"/>
          <w:color w:val="auto"/>
        </w:rPr>
      </w:pPr>
    </w:p>
    <w:p>
      <w:pPr>
        <w:ind w:left="560" w:hanging="309"/>
        <w:spacing w:after="0"/>
        <w:tabs>
          <w:tab w:leader="none" w:pos="5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2" w:lineRule="exact"/>
        <w:rPr>
          <w:rFonts w:ascii="Times New Roman" w:cs="Times New Roman" w:eastAsia="Times New Roman" w:hAnsi="Times New Roman"/>
          <w:sz w:val="18"/>
          <w:szCs w:val="18"/>
          <w:color w:val="auto"/>
        </w:rPr>
      </w:pPr>
    </w:p>
    <w:p>
      <w:pPr>
        <w:ind w:left="580" w:right="20" w:hanging="329"/>
        <w:spacing w:after="0" w:line="282" w:lineRule="auto"/>
        <w:tabs>
          <w:tab w:leader="none" w:pos="57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9, 2022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Gregory J. Peterson</w:t>
      </w:r>
    </w:p>
    <w:p>
      <w:pPr>
        <w:ind w:left="6780"/>
        <w:spacing w:after="0"/>
        <w:rPr>
          <w:sz w:val="20"/>
          <w:szCs w:val="20"/>
          <w:color w:val="auto"/>
        </w:rPr>
      </w:pPr>
      <w:r>
        <w:rPr>
          <w:rFonts w:ascii="Times New Roman" w:cs="Times New Roman" w:eastAsia="Times New Roman" w:hAnsi="Times New Roman"/>
          <w:sz w:val="18"/>
          <w:szCs w:val="18"/>
          <w:color w:val="auto"/>
        </w:rPr>
        <w:t>Senior Vice President/Chief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lowerLetter"/>
      <w:start w:val="1"/>
    </w:lvl>
  </w:abstractNum>
  <w:abstractNum w:abstractNumId="3">
    <w:nsid w:val="54E49EB4"/>
    <w:multiLevelType w:val="hybridMultilevel"/>
    <w:lvl w:ilvl="0">
      <w:lvlJc w:val="left"/>
      <w:lvlText w:val="(%1)"/>
      <w:numFmt w:val="decimal"/>
      <w:start w:val="1"/>
    </w:lvl>
  </w:abstractNum>
  <w:abstractNum w:abstractNumId="4">
    <w:nsid w:val="71F32454"/>
    <w:multiLevelType w:val="hybridMultilevel"/>
    <w:lvl w:ilvl="0">
      <w:lvlJc w:val="left"/>
      <w:lvlText w:val="(%1)"/>
      <w:numFmt w:val="decimal"/>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1)"/>
      <w:numFmt w:val="decimal"/>
      <w:start w:val="1"/>
    </w:lvl>
  </w:abstractNum>
  <w:abstractNum w:abstractNumId="7">
    <w:nsid w:val="2901D82"/>
    <w:multiLevelType w:val="hybridMultilevel"/>
    <w:lvl w:ilvl="0">
      <w:lvlJc w:val="left"/>
      <w:lvlText w:val="(%1)"/>
      <w:numFmt w:val="decimal"/>
      <w:start w:val="1"/>
    </w:lvl>
  </w:abstractNum>
  <w:abstractNum w:abstractNumId="8">
    <w:nsid w:val="3A95F874"/>
    <w:multiLevelType w:val="hybridMultilevel"/>
    <w:lvl w:ilvl="0">
      <w:lvlJc w:val="left"/>
      <w:lvlText w:val="(%1)"/>
      <w:numFmt w:val="decimal"/>
      <w:start w:val="5"/>
    </w:lvl>
  </w:abstractNum>
  <w:abstractNum w:abstractNumId="9">
    <w:nsid w:val="8138641"/>
    <w:multiLevelType w:val="hybridMultilevel"/>
    <w:lvl w:ilvl="0">
      <w:lvlJc w:val="left"/>
      <w:lvlText w:val="(%1)"/>
      <w:numFmt w:val="lowerRoman"/>
      <w:start w:val="2"/>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1)"/>
      <w:numFmt w:val="decimal"/>
      <w:start w:val="1"/>
    </w:lvl>
  </w:abstractNum>
  <w:abstractNum w:abstractNumId="15">
    <w:nsid w:val="4516DDE9"/>
    <w:multiLevelType w:val="hybridMultilevel"/>
    <w:lvl w:ilvl="0">
      <w:lvlJc w:val="left"/>
      <w:lvlText w:val="%1."/>
      <w:numFmt w:val="decimal"/>
      <w:start w:val="1"/>
    </w:lvl>
    <w:lvl w:ilvl="1">
      <w:lvlJc w:val="left"/>
      <w:lvlText w:val="(%2)"/>
      <w:numFmt w:val="lowerLetter"/>
      <w:start w:val="1"/>
    </w:lvl>
  </w:abstractNum>
  <w:abstractNum w:abstractNumId="16">
    <w:nsid w:val="3006C83E"/>
    <w:multiLevelType w:val="hybridMultilevel"/>
    <w:lvl w:ilvl="0">
      <w:lvlJc w:val="left"/>
      <w:lvlText w:val="%1."/>
      <w:numFmt w:val="decimal"/>
      <w:start w:val="2"/>
    </w:lvl>
  </w:abstractNum>
  <w:abstractNum w:abstractNumId="17">
    <w:nsid w:val="614FD4A1"/>
    <w:multiLevelType w:val="hybridMultilevel"/>
    <w:lvl w:ilvl="0">
      <w:lvlJc w:val="left"/>
      <w:lvlText w:val="(%1)"/>
      <w:numFmt w:val="lowerLetter"/>
      <w:start w:val="2"/>
    </w:lvl>
  </w:abstractNum>
  <w:abstractNum w:abstractNumId="18">
    <w:nsid w:val="419AC241"/>
    <w:multiLevelType w:val="hybridMultilevel"/>
    <w:lvl w:ilvl="0">
      <w:lvlJc w:val="left"/>
      <w:lvlText w:val="%1"/>
      <w:numFmt w:val="decimal"/>
      <w:start w:val="1"/>
    </w:lvl>
    <w:lvl w:ilvl="1">
      <w:lvlJc w:val="left"/>
      <w:lvlText w:val="(%2)"/>
      <w:numFmt w:val="lowerLetter"/>
      <w:start w:val="4"/>
    </w:lvl>
  </w:abstractNum>
  <w:abstractNum w:abstractNumId="19">
    <w:nsid w:val="5577F8E1"/>
    <w:multiLevelType w:val="hybridMultilevel"/>
    <w:lvl w:ilvl="0">
      <w:lvlJc w:val="left"/>
      <w:lvlText w:val="%1."/>
      <w:numFmt w:val="decimal"/>
      <w:start w:val="3"/>
    </w:lvl>
    <w:lvl w:ilvl="1">
      <w:lvlJc w:val="left"/>
      <w:lvlText w:val="(%2)"/>
      <w:numFmt w:val="lowerLetter"/>
      <w:start w:val="7"/>
    </w:lvl>
  </w:abstractNum>
  <w:abstractNum w:abstractNumId="20">
    <w:nsid w:val="440BADFC"/>
    <w:multiLevelType w:val="hybridMultilevel"/>
    <w:lvl w:ilvl="0">
      <w:lvlJc w:val="left"/>
      <w:lvlText w:val="(%1)"/>
      <w:numFmt w:val="lowerLetter"/>
      <w:start w:val="8"/>
    </w:lvl>
  </w:abstractNum>
  <w:abstractNum w:abstractNumId="21">
    <w:nsid w:val="5072367"/>
    <w:multiLevelType w:val="hybridMultilevel"/>
    <w:lvl w:ilvl="0">
      <w:lvlJc w:val="left"/>
      <w:lvlText w:val="(%1)"/>
      <w:numFmt w:val="lowerLetter"/>
      <w:start w:val="2"/>
    </w:lvl>
    <w:lvl w:ilvl="1">
      <w:lvlJc w:val="left"/>
      <w:lvlText w:val="(%2)"/>
      <w:numFmt w:val="lowerLetter"/>
      <w:start w:val="10"/>
    </w:lvl>
    <w:lvl w:ilvl="2">
      <w:lvlJc w:val="left"/>
      <w:lvlText w:val="(%3)"/>
      <w:numFmt w:val="decimal"/>
      <w:start w:val="1"/>
    </w:lvl>
  </w:abstractNum>
  <w:abstractNum w:abstractNumId="22">
    <w:nsid w:val="3804823E"/>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23">
    <w:nsid w:val="77465F01"/>
    <w:multiLevelType w:val="hybridMultilevel"/>
    <w:lvl w:ilvl="0">
      <w:lvlJc w:val="left"/>
      <w:lvlText w:val="%1"/>
      <w:numFmt w:val="decimal"/>
      <w:start w:val="1"/>
    </w:lvl>
    <w:lvl w:ilvl="1">
      <w:lvlJc w:val="left"/>
      <w:lvlText w:val="(%2)"/>
      <w:numFmt w:val="lowerLetter"/>
      <w:start w:val="13"/>
    </w:lvl>
    <w:lvl w:ilvl="2">
      <w:lvlJc w:val="left"/>
      <w:lvlText w:val="%3"/>
      <w:numFmt w:val="decimal"/>
      <w:start w:val="1"/>
    </w:lvl>
  </w:abstractNum>
  <w:abstractNum w:abstractNumId="24">
    <w:nsid w:val="7724C67E"/>
    <w:multiLevelType w:val="hybridMultilevel"/>
    <w:lvl w:ilvl="0">
      <w:lvlJc w:val="left"/>
      <w:lvlText w:val="%1."/>
      <w:numFmt w:val="decimal"/>
      <w:start w:val="4"/>
    </w:lvl>
    <w:lvl w:ilvl="1">
      <w:lvlJc w:val="left"/>
      <w:lvlText w:val="(%2)"/>
      <w:numFmt w:val="lowerLetter"/>
      <w:start w:val="15"/>
    </w:lvl>
    <w:lvl w:ilvl="2">
      <w:lvlJc w:val="left"/>
      <w:lvlText w:val="%3"/>
      <w:numFmt w:val="decimal"/>
      <w:start w:val="1"/>
    </w:lvl>
  </w:abstractNum>
  <w:abstractNum w:abstractNumId="25">
    <w:nsid w:val="5C482A97"/>
    <w:multiLevelType w:val="hybridMultilevel"/>
    <w:lvl w:ilvl="0">
      <w:lvlJc w:val="left"/>
      <w:lvlText w:val="%1"/>
      <w:numFmt w:val="decimal"/>
      <w:start w:val="1"/>
    </w:lvl>
    <w:lvl w:ilvl="1">
      <w:lvlJc w:val="left"/>
      <w:lvlText w:val="(%2)"/>
      <w:numFmt w:val="lowerLetter"/>
      <w:start w:val="16"/>
    </w:lvl>
  </w:abstractNum>
  <w:abstractNum w:abstractNumId="26">
    <w:nsid w:val="2463B9EA"/>
    <w:multiLevelType w:val="hybridMultilevel"/>
    <w:lvl w:ilvl="0">
      <w:lvlJc w:val="left"/>
      <w:lvlText w:val="%1."/>
      <w:numFmt w:val="decimal"/>
      <w:start w:val="5"/>
    </w:lvl>
    <w:lvl w:ilvl="1">
      <w:lvlJc w:val="left"/>
      <w:lvlText w:val="%2"/>
      <w:numFmt w:val="lowerLetter"/>
      <w:start w:val="1"/>
    </w:lvl>
  </w:abstractNum>
  <w:abstractNum w:abstractNumId="27">
    <w:nsid w:val="5E884ADC"/>
    <w:multiLevelType w:val="hybridMultilevel"/>
    <w:lvl w:ilvl="0">
      <w:lvlJc w:val="left"/>
      <w:lvlText w:val="%1."/>
      <w:numFmt w:val="decimal"/>
      <w:start w:val="6"/>
    </w:lvl>
  </w:abstractNum>
  <w:abstractNum w:abstractNumId="28">
    <w:nsid w:val="51EAD36B"/>
    <w:multiLevelType w:val="hybridMultilevel"/>
    <w:lvl w:ilvl="0">
      <w:lvlJc w:val="left"/>
      <w:lvlText w:val="%1."/>
      <w:numFmt w:val="decimal"/>
      <w:start w:val="10"/>
    </w:lvl>
    <w:lvl w:ilvl="1">
      <w:lvlJc w:val="left"/>
      <w:lvlText w:val="(%2)"/>
      <w:numFmt w:val="lowerLetter"/>
      <w:start w:val="18"/>
    </w:lvl>
  </w:abstractNum>
  <w:abstractNum w:abstractNumId="29">
    <w:nsid w:val="2D517796"/>
    <w:multiLevelType w:val="hybridMultilevel"/>
    <w:lvl w:ilvl="0">
      <w:lvlJc w:val="left"/>
      <w:lvlText w:val="%1"/>
      <w:numFmt w:val="decimal"/>
      <w:start w:val="1"/>
    </w:lvl>
    <w:lvl w:ilvl="1">
      <w:lvlJc w:val="left"/>
      <w:lvlText w:val="(%2)"/>
      <w:numFmt w:val="lowerLetter"/>
      <w:start w:val="19"/>
    </w:lvl>
  </w:abstractNum>
  <w:abstractNum w:abstractNumId="30">
    <w:nsid w:val="580BD78F"/>
    <w:multiLevelType w:val="hybridMultilevel"/>
    <w:lvl w:ilvl="0">
      <w:lvlJc w:val="left"/>
      <w:lvlText w:val="%1."/>
      <w:numFmt w:val="decimal"/>
      <w:start w:val="12"/>
    </w:lvl>
    <w:lvl w:ilvl="1">
      <w:lvlJc w:val="left"/>
      <w:lvlText w:val="%2"/>
      <w:numFmt w:val="lowerLetter"/>
      <w:start w:val="1"/>
    </w:lvl>
  </w:abstractNum>
  <w:abstractNum w:abstractNumId="31">
    <w:nsid w:val="153EA438"/>
    <w:multiLevelType w:val="hybridMultilevel"/>
    <w:lvl w:ilvl="0">
      <w:lvlJc w:val="left"/>
      <w:lvlText w:val="%1."/>
      <w:numFmt w:val="decimal"/>
      <w:start w:val="16"/>
    </w:lvl>
    <w:lvl w:ilvl="1">
      <w:lvlJc w:val="left"/>
      <w:lvlText w:val="(%2)"/>
      <w:numFmt w:val="lowerLetter"/>
      <w:start w:val="21"/>
    </w:lvl>
  </w:abstractNum>
  <w:abstractNum w:abstractNumId="32">
    <w:nsid w:val="3855585C"/>
    <w:multiLevelType w:val="hybridMultilevel"/>
    <w:lvl w:ilvl="0">
      <w:lvlJc w:val="left"/>
      <w:lvlText w:val="(%1)"/>
      <w:numFmt w:val="lowerLetter"/>
      <w:start w:val="23"/>
    </w:lvl>
  </w:abstractNum>
  <w:abstractNum w:abstractNumId="33">
    <w:nsid w:val="70A64E2A"/>
    <w:multiLevelType w:val="hybridMultilevel"/>
    <w:lvl w:ilvl="0">
      <w:lvlJc w:val="left"/>
      <w:lvlText w:val="(%1)"/>
      <w:numFmt w:val="lowerLetter"/>
      <w:start w:val="27"/>
    </w:lvl>
  </w:abstractNum>
  <w:abstractNum w:abstractNumId="34">
    <w:nsid w:val="6A2342EC"/>
    <w:multiLevelType w:val="hybridMultilevel"/>
    <w:lvl w:ilvl="0">
      <w:lvlJc w:val="left"/>
      <w:lvlText w:val="%1."/>
      <w:numFmt w:val="decimal"/>
      <w:start w:val="1"/>
    </w:lvl>
  </w:abstractNum>
  <w:abstractNum w:abstractNumId="35">
    <w:nsid w:val="2A487CB0"/>
    <w:multiLevelType w:val="hybridMultilevel"/>
    <w:lvl w:ilvl="0">
      <w:lvlJc w:val="left"/>
      <w:lvlText w:val="%1."/>
      <w:numFmt w:val="decimal"/>
      <w:start w:val="3"/>
    </w:lvl>
  </w:abstractNum>
  <w:abstractNum w:abstractNumId="36">
    <w:nsid w:val="1D4ED43B"/>
    <w:multiLevelType w:val="hybridMultilevel"/>
    <w:lvl w:ilvl="0">
      <w:lvlJc w:val="left"/>
      <w:lvlText w:val="%1."/>
      <w:numFmt w:val="decimal"/>
      <w:start w:val="4"/>
    </w:lvl>
    <w:lvl w:ilvl="1">
      <w:lvlJc w:val="left"/>
      <w:lvlText w:val="%2."/>
      <w:numFmt w:val="decimal"/>
      <w:start w:val="6"/>
    </w:lvl>
  </w:abstractNum>
  <w:abstractNum w:abstractNumId="37">
    <w:nsid w:val="725A06FB"/>
    <w:multiLevelType w:val="hybridMultilevel"/>
    <w:lvl w:ilvl="0">
      <w:lvlJc w:val="left"/>
      <w:lvlText w:val="%1."/>
      <w:numFmt w:val="decimal"/>
      <w:start w:val="7"/>
    </w:lvl>
  </w:abstractNum>
  <w:abstractNum w:abstractNumId="38">
    <w:nsid w:val="2CD89A32"/>
    <w:multiLevelType w:val="hybridMultilevel"/>
    <w:lvl w:ilvl="0">
      <w:lvlJc w:val="left"/>
      <w:lvlText w:val="%1."/>
      <w:numFmt w:val="decimal"/>
      <w:start w:val="8"/>
    </w:lvl>
  </w:abstractNum>
  <w:abstractNum w:abstractNumId="39">
    <w:nsid w:val="57E4CCAF"/>
    <w:multiLevelType w:val="hybridMultilevel"/>
    <w:lvl w:ilvl="0">
      <w:lvlJc w:val="left"/>
      <w:lvlText w:val="%1."/>
      <w:numFmt w:val="decimal"/>
      <w:start w:val="9"/>
    </w:lvl>
  </w:abstractNum>
  <w:abstractNum w:abstractNumId="40">
    <w:nsid w:val="7A6D8D3C"/>
    <w:multiLevelType w:val="hybridMultilevel"/>
    <w:lvl w:ilvl="0">
      <w:lvlJc w:val="left"/>
      <w:lvlText w:val="%1."/>
      <w:numFmt w:val="decimal"/>
      <w:start w:val="10"/>
    </w:lvl>
  </w:abstractNum>
  <w:abstractNum w:abstractNumId="41">
    <w:nsid w:val="4B588F54"/>
    <w:multiLevelType w:val="hybridMultilevel"/>
    <w:lvl w:ilvl="0">
      <w:lvlJc w:val="left"/>
      <w:lvlText w:val="%1."/>
      <w:numFmt w:val="decimal"/>
      <w:start w:val="12"/>
    </w:lvl>
    <w:lvl w:ilvl="1">
      <w:lvlJc w:val="left"/>
      <w:lvlText w:val="(%2)"/>
      <w:numFmt w:val="lowerLetter"/>
      <w:start w:val="1"/>
    </w:lvl>
  </w:abstractNum>
  <w:abstractNum w:abstractNumId="42">
    <w:nsid w:val="542289EC"/>
    <w:multiLevelType w:val="hybridMultilevel"/>
    <w:lvl w:ilvl="0">
      <w:lvlJc w:val="left"/>
      <w:lvlText w:val="%1."/>
      <w:numFmt w:val="decimal"/>
      <w:start w:val="1"/>
    </w:lvl>
    <w:lvl w:ilvl="1">
      <w:lvlJc w:val="left"/>
      <w:lvlText w:val="(%2)"/>
      <w:numFmt w:val="lowerLetter"/>
      <w:start w:val="1"/>
    </w:lvl>
  </w:abstractNum>
  <w:abstractNum w:abstractNumId="43">
    <w:nsid w:val="6DE91B18"/>
    <w:multiLevelType w:val="hybridMultilevel"/>
    <w:lvl w:ilvl="0">
      <w:lvlJc w:val="left"/>
      <w:lvlText w:val="%1."/>
      <w:numFmt w:val="decimal"/>
      <w:start w:val="1"/>
    </w:lvl>
    <w:lvl w:ilvl="1">
      <w:lvlJc w:val="left"/>
      <w:lvlText w:val="(%2)"/>
      <w:numFmt w:val="lowerLetter"/>
      <w:start w:val="1"/>
    </w:lvl>
  </w:abstractNum>
  <w:abstractNum w:abstractNumId="44">
    <w:nsid w:val="38437FDB"/>
    <w:multiLevelType w:val="hybridMultilevel"/>
    <w:lvl w:ilvl="0">
      <w:lvlJc w:val="left"/>
      <w:lvlText w:val="%1."/>
      <w:numFmt w:val="decimal"/>
      <w:start w:val="1"/>
    </w:lvl>
    <w:lvl w:ilvl="1">
      <w:lvlJc w:val="left"/>
      <w:lvlText w:val="(%2)"/>
      <w:numFmt w:val="lowerLetter"/>
      <w:start w:val="1"/>
    </w:lvl>
  </w:abstractNum>
  <w:abstractNum w:abstractNumId="45">
    <w:nsid w:val="7644A45C"/>
    <w:multiLevelType w:val="hybridMultilevel"/>
    <w:lvl w:ilvl="0">
      <w:lvlJc w:val="left"/>
      <w:lvlText w:val="%1."/>
      <w:numFmt w:val="decimal"/>
      <w:start w:val="1"/>
    </w:lvl>
    <w:lvl w:ilvl="1">
      <w:lvlJc w:val="left"/>
      <w:lvlText w:val="(%2)"/>
      <w:numFmt w:val="lowerLetter"/>
      <w:start w:val="1"/>
    </w:lvl>
  </w:abstractNum>
  <w:abstractNum w:abstractNumId="46">
    <w:nsid w:val="32FFF902"/>
    <w:multiLevelType w:val="hybridMultilevel"/>
    <w:lvl w:ilvl="0">
      <w:lvlJc w:val="left"/>
      <w:lvlText w:val="(%1)"/>
      <w:numFmt w:val="decimal"/>
      <w:start w:val="1"/>
    </w:lvl>
  </w:abstractNum>
  <w:abstractNum w:abstractNumId="47">
    <w:nsid w:val="684A481A"/>
    <w:multiLevelType w:val="hybridMultilevel"/>
    <w:lvl w:ilvl="0">
      <w:lvlJc w:val="left"/>
      <w:lvlText w:val="(%1)"/>
      <w:numFmt w:val="decimal"/>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63" Type="http://schemas.openxmlformats.org/officeDocument/2006/relationships/hyperlink" Target="http://www.sec.gov/Archives/edgar/data/92416/000119312522146427/d285884dex41.htm" TargetMode="External"/><Relationship Id="rId64" Type="http://schemas.openxmlformats.org/officeDocument/2006/relationships/hyperlink" Target="http://www.sec.gov/Archives/edgar/data/92416/000119312522146427/d28588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2022-08-09T19:31:06Z</dcterms:created>
  <dcterms:modified xsi:type="dcterms:W3CDTF">2022-08-09T19:31:06Z</dcterms:modified>
</cp:coreProperties>
</file>