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2"/>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b w:val="1"/>
                <w:bCs w:val="1"/>
                <w:color w:val="auto"/>
                <w:w w:val="88"/>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center"/>
              <w:ind w:left="545"/>
              <w:spacing w:after="0"/>
              <w:rPr>
                <w:sz w:val="20"/>
                <w:szCs w:val="20"/>
                <w:color w:val="auto"/>
              </w:rPr>
            </w:pPr>
            <w:r>
              <w:rPr>
                <w:rFonts w:ascii="Arial" w:cs="Arial" w:eastAsia="Arial" w:hAnsi="Arial"/>
                <w:sz w:val="16"/>
                <w:szCs w:val="16"/>
                <w:color w:val="auto"/>
                <w:w w:val="91"/>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Arial" w:cs="Arial" w:eastAsia="Arial" w:hAnsi="Arial"/>
                <w:sz w:val="16"/>
                <w:szCs w:val="16"/>
                <w:color w:val="auto"/>
                <w:w w:val="90"/>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64"/>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0"/>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Southwest Gas Holdings, Inc. Common Stock, $1 Par Value, 66,852,050 shares as of April 29, 2022.</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April 29, 2022.</w:t>
      </w:r>
    </w:p>
    <w:p>
      <w:pPr>
        <w:sectPr>
          <w:pgSz w:w="11900" w:h="16838" w:orient="portrait"/>
          <w:cols w:equalWidth="0" w:num="1">
            <w:col w:w="11240"/>
          </w:cols>
          <w:pgMar w:left="320" w:top="467" w:right="339" w:bottom="1440" w:gutter="0" w:footer="0" w:header="0"/>
        </w:sectPr>
      </w:pP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2021</w:t>
            </w:r>
          </w:p>
        </w:tc>
        <w:tc>
          <w:tcPr>
            <w:tcW w:w="0" w:type="dxa"/>
            <w:vAlign w:val="bottom"/>
          </w:tcPr>
          <w:p>
            <w:pPr>
              <w:spacing w:after="0"/>
              <w:rPr>
                <w:sz w:val="1"/>
                <w:szCs w:val="1"/>
                <w:color w:val="auto"/>
              </w:rPr>
            </w:pPr>
          </w:p>
        </w:tc>
      </w:tr>
      <w:tr>
        <w:trPr>
          <w:trHeight w:val="17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Regulated operations plant:</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10,891,910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10,789,690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(3,443,053)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(3,397,736)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216,262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202,068</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regulated operations plant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7,665,119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7,594,022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 net</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1,313,291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1,316,479</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624,666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222,697</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755,947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707,127</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16,937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16,816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367,954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291,145</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229,072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292,082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2,046,576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1,614,767</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Noncurrent assets: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1,773,671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1,781,332</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450,786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458,536</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noncurrent assets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2,224,501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2,239,989</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13,249,487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12,765,257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- 66,849,225 and 60,422,081 shares)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68,479</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62,052</w:t>
            </w: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2,273,837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1,824,216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(46,761)</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1,190,738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1,114,313</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3,489,082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2,953,820</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noncontrolling interests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135,984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196,717</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4,559,758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4,115,684</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8,184,824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7,266,221</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291,069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297,324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1,474,000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1,909,000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256,606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353,365</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57,620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59,327</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 net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Accrued general taxes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83,897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53,473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42,421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5,736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413,872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396,126</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2,630,198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3,112,049</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803,771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768,868</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488,908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480,583</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1,141,786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1,137,536</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2,434,465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2,386,987</w:t>
            </w:r>
          </w:p>
        </w:tc>
        <w:tc>
          <w:tcPr>
            <w:tcW w:w="0" w:type="dxa"/>
            <w:vAlign w:val="bottom"/>
          </w:tcPr>
          <w:p>
            <w:pPr>
              <w:spacing w:after="0"/>
              <w:rPr>
                <w:sz w:val="1"/>
                <w:szCs w:val="1"/>
                <w:color w:val="auto"/>
              </w:rPr>
            </w:pP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13,249,487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12,765,257</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gridSpan w:val="5"/>
          </w:tcPr>
          <w:p>
            <w:pPr>
              <w:jc w:val="center"/>
              <w:ind w:right="208"/>
              <w:spacing w:after="0"/>
              <w:rPr>
                <w:sz w:val="20"/>
                <w:szCs w:val="20"/>
                <w:color w:val="auto"/>
              </w:rPr>
            </w:pPr>
            <w:r>
              <w:rPr>
                <w:rFonts w:ascii="Arial" w:cs="Arial" w:eastAsia="Arial" w:hAnsi="Arial"/>
                <w:sz w:val="18"/>
                <w:szCs w:val="18"/>
                <w:color w:val="auto"/>
                <w:w w:val="96"/>
              </w:rPr>
              <w:t>SOUTHWEST GAS HOLDINGS, INC. AND SUBSIDIARIES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6"/>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2"/>
          </w:tcPr>
          <w:p>
            <w:pPr>
              <w:jc w:val="center"/>
              <w:ind w:left="755"/>
              <w:spacing w:after="0"/>
              <w:rPr>
                <w:sz w:val="20"/>
                <w:szCs w:val="20"/>
                <w:color w:val="auto"/>
              </w:rPr>
            </w:pPr>
            <w:r>
              <w:rPr>
                <w:rFonts w:ascii="Arial" w:cs="Arial" w:eastAsia="Arial" w:hAnsi="Arial"/>
                <w:sz w:val="18"/>
                <w:szCs w:val="18"/>
                <w:color w:val="auto"/>
                <w:w w:val="88"/>
              </w:rPr>
              <w:t>(In thousands, except per share amounts)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gridSpan w:val="2"/>
          </w:tcPr>
          <w:p>
            <w:pPr>
              <w:jc w:val="center"/>
              <w:ind w:left="735"/>
              <w:spacing w:after="0"/>
              <w:rPr>
                <w:sz w:val="20"/>
                <w:szCs w:val="20"/>
                <w:color w:val="auto"/>
              </w:rPr>
            </w:pPr>
            <w:r>
              <w:rPr>
                <w:rFonts w:ascii="Arial" w:cs="Arial" w:eastAsia="Arial" w:hAnsi="Arial"/>
                <w:sz w:val="18"/>
                <w:szCs w:val="18"/>
                <w:color w:val="auto"/>
                <w:w w:val="93"/>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gridSpan w:val="5"/>
          </w:tcPr>
          <w:p>
            <w:pPr>
              <w:ind w:left="1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83"/>
        </w:trPr>
        <w:tc>
          <w:tcPr>
            <w:tcW w:w="6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Regulated operations revenues</w:t>
            </w:r>
          </w:p>
        </w:tc>
        <w:tc>
          <w:tcPr>
            <w:tcW w:w="3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743,532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521,932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1,743,390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1,369,690</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523,877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363,975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2,318,563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1,978,770</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1,267,409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885,907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4,061,953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3,348,460</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298,918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573,804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338,037</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515,759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411,025</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122,646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93,442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400,245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337,816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84,472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67,769</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503,232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335,614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2,123,085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1,745,729</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operating expenses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1,098,915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712,454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3,697,365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2,900,376</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168,494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173,453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364,588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448,084</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interest deductions</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(48,363)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(143,597)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(107,061)</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income (deductions)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14,429</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other income and (expenses)</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(92,632)</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121,375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218,288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355,452</w:t>
            </w: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32,681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70,627</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185,607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284,825</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w w:val="94"/>
              </w:rPr>
              <w:t>Net income attributable to noncontrolling interests</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5,943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7,750</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93"/>
              </w:rPr>
              <w:t>Net income attributable to Southwest Gas Holdings, Inc.</w:t>
            </w:r>
          </w:p>
        </w:tc>
        <w:tc>
          <w:tcPr>
            <w:tcW w:w="3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96,178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117,293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179,664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277,075</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per share:</w:t>
            </w:r>
          </w:p>
        </w:tc>
        <w:tc>
          <w:tcPr>
            <w:tcW w:w="3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300" w:type="dxa"/>
            <w:vAlign w:val="bottom"/>
            <w:gridSpan w:val="4"/>
            <w:vMerge w:val="continue"/>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346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w:t>
            </w:r>
          </w:p>
        </w:tc>
        <w:tc>
          <w:tcPr>
            <w:tcW w:w="3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60,737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57,600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59,919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56,564</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60,044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color w:val="auto"/>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5"/>
          </w:tcPr>
          <w:p>
            <w:pPr>
              <w:jc w:val="center"/>
              <w:ind w:right="4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60" w:type="dxa"/>
            <w:vAlign w:val="bottom"/>
            <w:gridSpan w:val="10"/>
          </w:tcPr>
          <w:p>
            <w:pPr>
              <w:jc w:val="center"/>
              <w:ind w:left="188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180" w:type="dxa"/>
            <w:vAlign w:val="bottom"/>
            <w:gridSpan w:val="2"/>
          </w:tcPr>
          <w:p>
            <w:pPr>
              <w:jc w:val="center"/>
              <w:ind w:right="668"/>
              <w:spacing w:after="0"/>
              <w:rPr>
                <w:sz w:val="20"/>
                <w:szCs w:val="20"/>
                <w:color w:val="auto"/>
              </w:rPr>
            </w:pPr>
            <w:r>
              <w:rPr>
                <w:rFonts w:ascii="Arial" w:cs="Arial" w:eastAsia="Arial" w:hAnsi="Arial"/>
                <w:sz w:val="18"/>
                <w:szCs w:val="18"/>
                <w:color w:val="auto"/>
                <w:w w:val="91"/>
              </w:rPr>
              <w:t>(Thousands of dollars)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80" w:type="dxa"/>
            <w:vAlign w:val="bottom"/>
            <w:gridSpan w:val="2"/>
          </w:tcPr>
          <w:p>
            <w:pPr>
              <w:jc w:val="center"/>
              <w:ind w:right="668"/>
              <w:spacing w:after="0"/>
              <w:rPr>
                <w:sz w:val="20"/>
                <w:szCs w:val="20"/>
                <w:color w:val="auto"/>
              </w:rPr>
            </w:pPr>
            <w:r>
              <w:rPr>
                <w:rFonts w:ascii="Arial" w:cs="Arial" w:eastAsia="Arial" w:hAnsi="Arial"/>
                <w:sz w:val="18"/>
                <w:szCs w:val="18"/>
                <w:color w:val="auto"/>
                <w:w w:val="93"/>
              </w:rPr>
              <w:t>(Unaudited)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color w:val="auto"/>
                <w:w w:val="97"/>
              </w:rPr>
              <w:t>Three Months Ended</w:t>
            </w:r>
          </w:p>
        </w:tc>
        <w:tc>
          <w:tcPr>
            <w:tcW w:w="200" w:type="dxa"/>
            <w:vAlign w:val="bottom"/>
          </w:tcPr>
          <w:p>
            <w:pPr>
              <w:spacing w:after="0"/>
              <w:rPr>
                <w:sz w:val="22"/>
                <w:szCs w:val="22"/>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30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89"/>
              </w:rPr>
              <w:t>2021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4"/>
                <w:szCs w:val="14"/>
                <w:color w:val="auto"/>
              </w:rPr>
              <w:t>2022</w:t>
            </w: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6"/>
                <w:szCs w:val="16"/>
                <w:color w:val="auto"/>
              </w:rPr>
            </w:pPr>
          </w:p>
        </w:tc>
      </w:tr>
      <w:tr>
        <w:trPr>
          <w:trHeight w:val="179"/>
        </w:trPr>
        <w:tc>
          <w:tcPr>
            <w:tcW w:w="44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3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97,250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118,845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185,607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284,825</w:t>
            </w:r>
          </w:p>
        </w:tc>
        <w:tc>
          <w:tcPr>
            <w:tcW w:w="40" w:type="dxa"/>
            <w:vAlign w:val="bottom"/>
          </w:tcPr>
          <w:p>
            <w:pPr>
              <w:spacing w:after="0"/>
              <w:rPr>
                <w:sz w:val="15"/>
                <w:szCs w:val="15"/>
                <w:color w:val="auto"/>
              </w:rPr>
            </w:pPr>
          </w:p>
        </w:tc>
      </w:tr>
      <w:tr>
        <w:trPr>
          <w:trHeight w:val="172"/>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gain (loss)</w:t>
            </w:r>
          </w:p>
        </w:tc>
        <w:tc>
          <w:tcPr>
            <w:tcW w:w="3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40" w:type="dxa"/>
            <w:vAlign w:val="bottom"/>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840</w:t>
            </w:r>
          </w:p>
        </w:tc>
        <w:tc>
          <w:tcPr>
            <w:tcW w:w="4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3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30,037</w:t>
            </w:r>
          </w:p>
        </w:tc>
        <w:tc>
          <w:tcPr>
            <w:tcW w:w="40" w:type="dxa"/>
            <w:vAlign w:val="bottom"/>
          </w:tcPr>
          <w:p>
            <w:pPr>
              <w:spacing w:after="0"/>
              <w:rPr>
                <w:sz w:val="16"/>
                <w:szCs w:val="16"/>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Regulatory adjustment</w:t>
            </w:r>
          </w:p>
        </w:tc>
        <w:tc>
          <w:tcPr>
            <w:tcW w:w="3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(65,273)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w:t>
            </w:r>
          </w:p>
        </w:tc>
        <w:tc>
          <w:tcPr>
            <w:tcW w:w="40" w:type="dxa"/>
            <w:vAlign w:val="bottom"/>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30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40" w:type="dxa"/>
            <w:vAlign w:val="bottom"/>
          </w:tcPr>
          <w:p>
            <w:pPr>
              <w:spacing w:after="0"/>
              <w:rPr>
                <w:sz w:val="16"/>
                <w:szCs w:val="16"/>
                <w:color w:val="auto"/>
              </w:rPr>
            </w:pPr>
          </w:p>
        </w:tc>
      </w:tr>
      <w:tr>
        <w:trPr>
          <w:trHeight w:val="166"/>
        </w:trPr>
        <w:tc>
          <w:tcPr>
            <w:tcW w:w="60" w:type="dxa"/>
            <w:vAlign w:val="bottom"/>
          </w:tcPr>
          <w:p>
            <w:pPr>
              <w:spacing w:after="0"/>
              <w:rPr>
                <w:sz w:val="14"/>
                <w:szCs w:val="14"/>
                <w:color w:val="auto"/>
              </w:rPr>
            </w:pPr>
          </w:p>
        </w:tc>
        <w:tc>
          <w:tcPr>
            <w:tcW w:w="4340" w:type="dxa"/>
            <w:vAlign w:val="bottom"/>
            <w:gridSpan w:val="3"/>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w:t>
            </w:r>
          </w:p>
        </w:tc>
        <w:tc>
          <w:tcPr>
            <w:tcW w:w="30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40" w:type="dxa"/>
            <w:vAlign w:val="bottom"/>
          </w:tcPr>
          <w:p>
            <w:pPr>
              <w:spacing w:after="0"/>
              <w:rPr>
                <w:sz w:val="16"/>
                <w:szCs w:val="16"/>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3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40" w:type="dxa"/>
            <w:vAlign w:val="bottom"/>
          </w:tcPr>
          <w:p>
            <w:pPr>
              <w:spacing w:after="0"/>
              <w:rPr>
                <w:sz w:val="15"/>
                <w:szCs w:val="15"/>
                <w:color w:val="auto"/>
              </w:rPr>
            </w:pPr>
          </w:p>
        </w:tc>
      </w:tr>
      <w:tr>
        <w:trPr>
          <w:trHeight w:val="186"/>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30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6,541</w:t>
            </w:r>
          </w:p>
        </w:tc>
        <w:tc>
          <w:tcPr>
            <w:tcW w:w="40" w:type="dxa"/>
            <w:vAlign w:val="bottom"/>
          </w:tcPr>
          <w:p>
            <w:pPr>
              <w:spacing w:after="0"/>
              <w:rPr>
                <w:sz w:val="16"/>
                <w:szCs w:val="16"/>
                <w:color w:val="auto"/>
              </w:rPr>
            </w:pPr>
          </w:p>
        </w:tc>
      </w:tr>
      <w:tr>
        <w:trPr>
          <w:trHeight w:val="179"/>
        </w:trPr>
        <w:tc>
          <w:tcPr>
            <w:tcW w:w="44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Total other comprehensive income, net of tax</w:t>
            </w:r>
          </w:p>
        </w:tc>
        <w:tc>
          <w:tcPr>
            <w:tcW w:w="30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40" w:type="dxa"/>
            <w:vAlign w:val="bottom"/>
          </w:tcPr>
          <w:p>
            <w:pPr>
              <w:spacing w:after="0"/>
              <w:rPr>
                <w:sz w:val="15"/>
                <w:szCs w:val="15"/>
                <w:color w:val="auto"/>
              </w:rPr>
            </w:pPr>
          </w:p>
        </w:tc>
      </w:tr>
      <w:tr>
        <w:trPr>
          <w:trHeight w:val="186"/>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3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121,460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285,510</w:t>
            </w:r>
          </w:p>
        </w:tc>
        <w:tc>
          <w:tcPr>
            <w:tcW w:w="40" w:type="dxa"/>
            <w:vAlign w:val="bottom"/>
          </w:tcPr>
          <w:p>
            <w:pPr>
              <w:spacing w:after="0"/>
              <w:rPr>
                <w:sz w:val="16"/>
                <w:szCs w:val="16"/>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Comprehensive income attributable to noncontrolling interests</w:t>
            </w:r>
          </w:p>
        </w:tc>
        <w:tc>
          <w:tcPr>
            <w:tcW w:w="3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7,750</w:t>
            </w:r>
          </w:p>
        </w:tc>
        <w:tc>
          <w:tcPr>
            <w:tcW w:w="40" w:type="dxa"/>
            <w:vAlign w:val="bottom"/>
          </w:tcPr>
          <w:p>
            <w:pPr>
              <w:spacing w:after="0"/>
              <w:rPr>
                <w:sz w:val="16"/>
                <w:szCs w:val="16"/>
                <w:color w:val="auto"/>
              </w:rPr>
            </w:pPr>
          </w:p>
        </w:tc>
      </w:tr>
      <w:tr>
        <w:trPr>
          <w:trHeight w:val="211"/>
        </w:trPr>
        <w:tc>
          <w:tcPr>
            <w:tcW w:w="4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Southwest Gas Holdings, Inc.</w:t>
            </w:r>
          </w:p>
        </w:tc>
        <w:tc>
          <w:tcPr>
            <w:tcW w:w="3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119,908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194,080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277,760</w:t>
            </w:r>
          </w:p>
        </w:tc>
        <w:tc>
          <w:tcPr>
            <w:tcW w:w="40" w:type="dxa"/>
            <w:vAlign w:val="bottom"/>
          </w:tcPr>
          <w:p>
            <w:pPr>
              <w:spacing w:after="0"/>
              <w:rPr>
                <w:sz w:val="17"/>
                <w:szCs w:val="17"/>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5"/>
          </w:tcPr>
          <w:p>
            <w:pPr>
              <w:jc w:val="right"/>
              <w:spacing w:after="0"/>
              <w:rPr>
                <w:sz w:val="20"/>
                <w:szCs w:val="20"/>
                <w:color w:val="auto"/>
              </w:rPr>
            </w:pPr>
            <w:r>
              <w:rPr>
                <w:rFonts w:ascii="Arial" w:cs="Arial" w:eastAsia="Arial" w:hAnsi="Arial"/>
                <w:sz w:val="18"/>
                <w:szCs w:val="18"/>
                <w:color w:val="auto"/>
              </w:rPr>
              <w:t>SOUTHWEST GAS HOLDINGS,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2"/>
                <w:szCs w:val="22"/>
                <w:color w:val="auto"/>
              </w:rPr>
            </w:pPr>
          </w:p>
        </w:tc>
        <w:tc>
          <w:tcPr>
            <w:tcW w:w="194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185,607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284,825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400,245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337,816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32,346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70,232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48,734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42,892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(139,417)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(51,717)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110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(291,469)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(265,385)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11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110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33,964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34,636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19,430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110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25,719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Arial" w:cs="Arial" w:eastAsia="Arial" w:hAnsi="Arial"/>
                <w:sz w:val="14"/>
                <w:szCs w:val="14"/>
                <w:color w:val="auto"/>
              </w:rPr>
              <w:t>Gains on sale of property and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40"/>
              <w:spacing w:after="0"/>
              <w:rPr>
                <w:sz w:val="20"/>
                <w:szCs w:val="20"/>
                <w:color w:val="auto"/>
              </w:rPr>
            </w:pPr>
            <w:r>
              <w:rPr>
                <w:rFonts w:ascii="Arial" w:cs="Arial" w:eastAsia="Arial" w:hAnsi="Arial"/>
                <w:sz w:val="14"/>
                <w:szCs w:val="14"/>
                <w:color w:val="auto"/>
              </w:rPr>
              <w:t>Equity AFUDC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(4,644)</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64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(57,365)</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186,620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(52,457)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350,460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302,057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(162,796)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(725,713)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(767,159)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(2,354,260)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8,136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(154,210)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(144,860)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(3,045,006)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common stock,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453,495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618,146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185,087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Centuri distribution to redeemable noncontrolling interest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(39,649)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(128,117)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Issuance of long-term debt, net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709,927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2,359,964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573,058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Retirement of long-term debt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(302,466)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Change in credit facility and commercial paper</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short-term debt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Issuance of short-term debt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1,850,000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(4,505)</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369,474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206,207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3,226,725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474,815</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Effects of currency translation on cash and cash equivalents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401,969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532,321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31,380</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222,697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83,352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92,345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60,965</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624,666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624,666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SUPPLEMENTAL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131,311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100,412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bottom w:val="single" w:sz="8" w:color="CCEEFF"/>
            </w:tcBorders>
            <w:gridSpan w:val="3"/>
            <w:vMerge w:val="restart"/>
          </w:tcPr>
          <w:p>
            <w:pPr>
              <w:ind w:left="32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780" w:type="dxa"/>
            <w:vAlign w:val="bottom"/>
            <w:gridSpan w:val="3"/>
            <w:vMerge w:val="continue"/>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3,965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10,764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8"/>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w w:val="91"/>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5"/>
              </w:rPr>
              <w:t>CONDENSED CONSOLIDATED STATEMENTS OF 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30"/>
              <w:spacing w:after="0"/>
              <w:rPr>
                <w:sz w:val="20"/>
                <w:szCs w:val="20"/>
                <w:color w:val="auto"/>
              </w:rPr>
            </w:pPr>
            <w:r>
              <w:rPr>
                <w:rFonts w:ascii="Arial" w:cs="Arial" w:eastAsia="Arial" w:hAnsi="Arial"/>
                <w:sz w:val="18"/>
                <w:szCs w:val="18"/>
                <w:color w:val="auto"/>
                <w:w w:val="88"/>
              </w:rPr>
              <w:t>(In thousands, except per share amounts)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9"/>
              <w:spacing w:after="0"/>
              <w:rPr>
                <w:sz w:val="20"/>
                <w:szCs w:val="20"/>
                <w:color w:val="auto"/>
              </w:rPr>
            </w:pPr>
            <w:r>
              <w:rPr>
                <w:rFonts w:ascii="Arial" w:cs="Arial" w:eastAsia="Arial" w:hAnsi="Arial"/>
                <w:sz w:val="16"/>
                <w:szCs w:val="16"/>
                <w:color w:val="auto"/>
              </w:rPr>
              <w:t>Three Months Ended</w:t>
            </w: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57,193</w:t>
            </w:r>
          </w:p>
        </w:tc>
      </w:tr>
      <w:tr>
        <w:trPr>
          <w:trHeight w:val="216"/>
        </w:trPr>
        <w:tc>
          <w:tcPr>
            <w:tcW w:w="60" w:type="dxa"/>
            <w:vAlign w:val="bottom"/>
            <w:shd w:val="clear" w:color="auto" w:fill="CCEEFF"/>
          </w:tcPr>
          <w:p>
            <w:pPr>
              <w:spacing w:after="0"/>
              <w:rPr>
                <w:sz w:val="18"/>
                <w:szCs w:val="18"/>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66,849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57,995</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62,052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58,823</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59,625</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1,824,216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1,609,155</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449,621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50,953</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2,273,837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1,660,108</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(61,003)</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Foreign currency exchange translation adjustment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920"/>
              <w:spacing w:after="0"/>
              <w:rPr>
                <w:sz w:val="20"/>
                <w:szCs w:val="20"/>
                <w:color w:val="auto"/>
              </w:rPr>
            </w:pPr>
            <w:r>
              <w:rPr>
                <w:rFonts w:ascii="Arial" w:cs="Arial" w:eastAsia="Arial" w:hAnsi="Arial"/>
                <w:sz w:val="16"/>
                <w:szCs w:val="16"/>
                <w:color w:val="auto"/>
              </w:rPr>
              <w:t>Net actuarial gain arising during period, less amortization of unamortized benefit plan cost, net of tax</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1,379</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06"/>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(43,972)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(58,388)</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1,114,313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1,067,978</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117,293</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920"/>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(34,876)</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Redemption value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(38,018)</w:t>
            </w:r>
          </w:p>
        </w:tc>
      </w:tr>
      <w:tr>
        <w:trPr>
          <w:trHeight w:val="206"/>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1,190,738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1,112,377</w:t>
            </w:r>
          </w:p>
        </w:tc>
      </w:tr>
      <w:tr>
        <w:trPr>
          <w:trHeight w:val="233"/>
        </w:trPr>
        <w:tc>
          <w:tcPr>
            <w:tcW w:w="89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3,489,082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2,773,722</w:t>
            </w:r>
          </w:p>
        </w:tc>
      </w:tr>
      <w:tr>
        <w:trPr>
          <w:trHeight w:val="20"/>
        </w:trPr>
        <w:tc>
          <w:tcPr>
            <w:tcW w:w="8920" w:type="dxa"/>
            <w:vAlign w:val="bottom"/>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0"/>
        </w:trPr>
        <w:tc>
          <w:tcPr>
            <w:tcW w:w="8920" w:type="dxa"/>
            <w:vAlign w:val="bottom"/>
            <w:gridSpan w:val="4"/>
          </w:tcPr>
          <w:p>
            <w:pPr>
              <w:ind w:left="2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0.595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31, 2022</w:t>
            </w:r>
          </w:p>
        </w:tc>
        <w:tc>
          <w:tcPr>
            <w:tcW w:w="0" w:type="dxa"/>
            <w:vAlign w:val="bottom"/>
          </w:tcPr>
          <w:p>
            <w:pPr>
              <w:spacing w:after="0"/>
              <w:rPr>
                <w:sz w:val="1"/>
                <w:szCs w:val="1"/>
                <w:color w:val="auto"/>
              </w:rPr>
            </w:pP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SOUTHWEST GAS CORPORATION AND SUBSIDIARIES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March 31, 2022</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2021</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Regulated operations plant:</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8,997,234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8,901,575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(2,572,184)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(2,538,508)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183,485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regulated operations plant</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6,621,624</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6,546,552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 net</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151,168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153,093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475,876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receivable, net of allowance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224,885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169,666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Income taxes receivable, net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367,954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Receivable from parent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1,306,977</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835,502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charges and other assets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394,454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404,549</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5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8,484,318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7,950,263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CAPITALIZATION AND LIABILITIES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74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Capitalization:</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Common stock</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1,620,616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1,618,911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(45,371)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(46,913)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987,177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906,827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gridSpan w:val="3"/>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2,611,534</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2,527,937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2,903,556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2,440,603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5,515,090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4,968,540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Short-term debt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148,486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234,070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Accrued general taxes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81,423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53,064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34,676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169,781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146,422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987,460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1,037,609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673,874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638,828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Accumulated removal costs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432,000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424,000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875,894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1,981,768</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1,944,114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5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8,484,318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7,950,263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4"/>
          </w:tcPr>
          <w:p>
            <w:pPr>
              <w:jc w:val="center"/>
              <w:ind w:left="150"/>
              <w:spacing w:after="0"/>
              <w:rPr>
                <w:sz w:val="20"/>
                <w:szCs w:val="20"/>
                <w:color w:val="auto"/>
              </w:rPr>
            </w:pPr>
            <w:r>
              <w:rPr>
                <w:rFonts w:ascii="Arial" w:cs="Arial" w:eastAsia="Arial" w:hAnsi="Arial"/>
                <w:sz w:val="18"/>
                <w:szCs w:val="18"/>
                <w:color w:val="auto"/>
                <w:w w:val="95"/>
              </w:rPr>
              <w:t>SOUTHWEST GAS CORPORATION AND SUBSIDIARIES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gridSpan w:val="5"/>
          </w:tcPr>
          <w:p>
            <w:pPr>
              <w:jc w:val="center"/>
              <w:ind w:right="28"/>
              <w:spacing w:after="0"/>
              <w:rPr>
                <w:sz w:val="20"/>
                <w:szCs w:val="20"/>
                <w:color w:val="auto"/>
              </w:rPr>
            </w:pPr>
            <w:r>
              <w:rPr>
                <w:rFonts w:ascii="Arial" w:cs="Arial" w:eastAsia="Arial" w:hAnsi="Arial"/>
                <w:sz w:val="18"/>
                <w:szCs w:val="18"/>
                <w:color w:val="auto"/>
                <w:w w:val="95"/>
              </w:rPr>
              <w:t>CONDENSED CONSOLIDATED STATEMENTS OF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2"/>
          </w:tcPr>
          <w:p>
            <w:pPr>
              <w:jc w:val="center"/>
              <w:ind w:left="1030"/>
              <w:spacing w:after="0"/>
              <w:rPr>
                <w:sz w:val="20"/>
                <w:szCs w:val="20"/>
                <w:color w:val="auto"/>
              </w:rPr>
            </w:pPr>
            <w:r>
              <w:rPr>
                <w:rFonts w:ascii="Arial" w:cs="Arial" w:eastAsia="Arial" w:hAnsi="Arial"/>
                <w:sz w:val="18"/>
                <w:szCs w:val="18"/>
                <w:color w:val="auto"/>
                <w:w w:val="91"/>
              </w:rPr>
              <w:t>(Thousands of dollars)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2"/>
          </w:tcPr>
          <w:p>
            <w:pPr>
              <w:jc w:val="center"/>
              <w:ind w:left="1030"/>
              <w:spacing w:after="0"/>
              <w:rPr>
                <w:sz w:val="20"/>
                <w:szCs w:val="20"/>
                <w:color w:val="auto"/>
              </w:rPr>
            </w:pPr>
            <w:r>
              <w:rPr>
                <w:rFonts w:ascii="Arial" w:cs="Arial" w:eastAsia="Arial" w:hAnsi="Arial"/>
                <w:sz w:val="18"/>
                <w:szCs w:val="18"/>
                <w:color w:val="auto"/>
                <w:w w:val="93"/>
              </w:rPr>
              <w:t>(Unaudited)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2021</w:t>
            </w:r>
          </w:p>
        </w:tc>
      </w:tr>
      <w:tr>
        <w:trPr>
          <w:trHeight w:val="179"/>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Regulated operations revenues</w:t>
            </w:r>
          </w:p>
        </w:tc>
        <w:tc>
          <w:tcPr>
            <w:tcW w:w="3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676,539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521,932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1,676,397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1,369,690</w:t>
            </w:r>
          </w:p>
        </w:tc>
      </w:tr>
      <w:tr>
        <w:trPr>
          <w:trHeight w:val="17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297,121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572,007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338,037</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3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452,051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409,429</w:t>
            </w: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68,698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256,814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239,268</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81,308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67,769</w:t>
            </w:r>
          </w:p>
        </w:tc>
      </w:tr>
      <w:tr>
        <w:trPr>
          <w:trHeight w:val="179"/>
        </w:trPr>
        <w:tc>
          <w:tcPr>
            <w:tcW w:w="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3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351,541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1,362,180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1,054,503</w:t>
            </w:r>
          </w:p>
        </w:tc>
      </w:tr>
      <w:tr>
        <w:trPr>
          <w:trHeight w:val="186"/>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170,391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314,217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315,187</w:t>
            </w:r>
          </w:p>
        </w:tc>
      </w:tr>
      <w:tr>
        <w:trPr>
          <w:trHeight w:val="16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3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(98,256)</w:t>
            </w:r>
          </w:p>
        </w:tc>
      </w:tr>
      <w:tr>
        <w:trPr>
          <w:trHeight w:val="186"/>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3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14,496</w:t>
            </w:r>
          </w:p>
        </w:tc>
      </w:tr>
      <w:tr>
        <w:trPr>
          <w:trHeight w:val="186"/>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(25,295)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(105,798)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(83,760)</w:t>
            </w:r>
          </w:p>
        </w:tc>
      </w:tr>
      <w:tr>
        <w:trPr>
          <w:trHeight w:val="17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before income taxes</w:t>
            </w: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140,721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148,775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208,419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231,427</w:t>
            </w:r>
          </w:p>
        </w:tc>
      </w:tr>
      <w:tr>
        <w:trPr>
          <w:trHeight w:val="19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30,060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28,204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37,193</w:t>
            </w:r>
          </w:p>
        </w:tc>
      </w:t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36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111,795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180,215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194,234</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SOUTHWEST GAS HOLDINGS, INC.</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80" w:type="dxa"/>
            <w:vAlign w:val="bottom"/>
            <w:gridSpan w:val="10"/>
          </w:tcPr>
          <w:p>
            <w:pPr>
              <w:jc w:val="center"/>
              <w:ind w:left="18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(Thousands of dollars)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2"/>
          </w:tcPr>
          <w:p>
            <w:pPr>
              <w:jc w:val="center"/>
              <w:ind w:left="630"/>
              <w:spacing w:after="0"/>
              <w:rPr>
                <w:sz w:val="20"/>
                <w:szCs w:val="20"/>
                <w:color w:val="auto"/>
              </w:rPr>
            </w:pPr>
            <w:r>
              <w:rPr>
                <w:rFonts w:ascii="Arial" w:cs="Arial" w:eastAsia="Arial" w:hAnsi="Arial"/>
                <w:sz w:val="18"/>
                <w:szCs w:val="18"/>
                <w:color w:val="auto"/>
                <w:w w:val="93"/>
              </w:rPr>
              <w:t>(Unaudited)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780" w:type="dxa"/>
            <w:vAlign w:val="bottom"/>
            <w:gridSpan w:val="4"/>
          </w:tcPr>
          <w:p>
            <w:pPr>
              <w:jc w:val="right"/>
              <w:ind w:right="2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3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111,795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180,215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194,234</w:t>
            </w:r>
          </w:p>
        </w:tc>
      </w:tr>
      <w:tr>
        <w:trPr>
          <w:trHeight w:val="17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gain (loss)</w:t>
            </w: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32,036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30,037</w:t>
            </w:r>
          </w:p>
        </w:tc>
      </w:tr>
      <w:tr>
        <w:trPr>
          <w:trHeight w:val="186"/>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Regulatory adjustment</w:t>
            </w:r>
          </w:p>
        </w:tc>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(65,273)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w:t>
            </w:r>
          </w:p>
        </w:tc>
      </w:tr>
      <w:tr>
        <w:trPr>
          <w:trHeight w:val="186"/>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12,317</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(8,100)</w:t>
            </w:r>
          </w:p>
        </w:tc>
      </w:tr>
      <w:tr>
        <w:trPr>
          <w:trHeight w:val="166"/>
        </w:trPr>
        <w:tc>
          <w:tcPr>
            <w:tcW w:w="60" w:type="dxa"/>
            <w:vAlign w:val="bottom"/>
          </w:tcPr>
          <w:p>
            <w:pPr>
              <w:spacing w:after="0"/>
              <w:rPr>
                <w:sz w:val="14"/>
                <w:szCs w:val="14"/>
                <w:color w:val="auto"/>
              </w:rPr>
            </w:pPr>
          </w:p>
        </w:tc>
        <w:tc>
          <w:tcPr>
            <w:tcW w:w="312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Forward-starting interest rate swaps (“FSIRS”):</w:t>
            </w: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w:t>
            </w: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r>
      <w:tr>
        <w:trPr>
          <w:trHeight w:val="179"/>
        </w:trPr>
        <w:tc>
          <w:tcPr>
            <w:tcW w:w="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gridSpan w:val="3"/>
          </w:tcPr>
          <w:p>
            <w:pPr>
              <w:jc w:val="center"/>
              <w:ind w:right="260"/>
              <w:spacing w:after="0"/>
              <w:rPr>
                <w:sz w:val="20"/>
                <w:szCs w:val="20"/>
                <w:color w:val="auto"/>
              </w:rPr>
            </w:pPr>
            <w:r>
              <w:rPr>
                <w:rFonts w:ascii="Arial" w:cs="Arial" w:eastAsia="Arial" w:hAnsi="Arial"/>
                <w:sz w:val="14"/>
                <w:szCs w:val="14"/>
                <w:color w:val="auto"/>
                <w:w w:val="92"/>
              </w:rPr>
              <w:t>Net forward-starting interest rate swaps</w:t>
            </w:r>
          </w:p>
        </w:tc>
        <w:tc>
          <w:tcPr>
            <w:tcW w:w="3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r>
      <w:tr>
        <w:trPr>
          <w:trHeight w:val="186"/>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13,972</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(5,856)</w:t>
            </w:r>
          </w:p>
        </w:tc>
      </w:tr>
      <w:tr>
        <w:trPr>
          <w:trHeight w:val="183"/>
        </w:trPr>
        <w:tc>
          <w:tcPr>
            <w:tcW w:w="3180" w:type="dxa"/>
            <w:vAlign w:val="bottom"/>
            <w:gridSpan w:val="4"/>
          </w:tcPr>
          <w:p>
            <w:pPr>
              <w:ind w:left="20"/>
              <w:spacing w:after="0"/>
              <w:rPr>
                <w:sz w:val="20"/>
                <w:szCs w:val="20"/>
                <w:color w:val="auto"/>
              </w:rPr>
            </w:pPr>
            <w:r>
              <w:rPr>
                <w:rFonts w:ascii="Arial" w:cs="Arial" w:eastAsia="Arial" w:hAnsi="Arial"/>
                <w:sz w:val="14"/>
                <w:szCs w:val="14"/>
                <w:color w:val="auto"/>
              </w:rPr>
              <w:t>Comprehensive income</w:t>
            </w:r>
          </w:p>
        </w:tc>
        <w:tc>
          <w:tcPr>
            <w:tcW w:w="39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113,337</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194,187</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188,378</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6"/>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89"/>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00" w:type="dxa"/>
            <w:vAlign w:val="bottom"/>
            <w:gridSpan w:val="5"/>
          </w:tcPr>
          <w:p>
            <w:pPr>
              <w:jc w:val="right"/>
              <w:ind w:right="348"/>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111,795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194,234</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68,698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256,814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239,268</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72,845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52,242</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(55,219)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(27,631)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(50,394)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(25,673)</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(76,809)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(291,469)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(129,068)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(265,385)</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18,441</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(13,011)</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(9,694)</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Gain on sale of property</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5,706</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Equity AFUDC</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(4,644)</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(61,484)</w:t>
            </w:r>
          </w:p>
        </w:tc>
      </w:tr>
      <w:tr>
        <w:trPr>
          <w:trHeight w:val="186"/>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(48,782)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(58,008)</w:t>
            </w:r>
          </w:p>
        </w:tc>
      </w:tr>
      <w:tr>
        <w:trPr>
          <w:trHeight w:val="186"/>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164,338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(95,432)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285,015</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69,592</w:t>
            </w: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(614,562)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(647,407)</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12,885</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r>
      <w:tr>
        <w:trPr>
          <w:trHeight w:val="179"/>
        </w:trPr>
        <w:tc>
          <w:tcPr>
            <w:tcW w:w="6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(134,348)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(124,380)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(596,010)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(633,841)</w:t>
            </w:r>
          </w:p>
        </w:tc>
      </w:tr>
      <w:tr>
        <w:trPr>
          <w:trHeight w:val="172"/>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Contributions from parent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45,984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156,599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173,906</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593,862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891,180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446,508</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 in credit facility and commercial paper</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short-term debt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(1,242)</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r>
      <w:tr>
        <w:trPr>
          <w:trHeight w:val="179"/>
        </w:trPr>
        <w:tc>
          <w:tcPr>
            <w:tcW w:w="6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407,195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228,537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737,076</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557,520</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437,185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426,081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(6,729)</w:t>
            </w:r>
          </w:p>
        </w:tc>
      </w:tr>
      <w:tr>
        <w:trPr>
          <w:trHeight w:val="192"/>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38,691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49,795</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56,524</w:t>
            </w:r>
          </w:p>
        </w:tc>
      </w:tr>
      <w:tr>
        <w:trPr>
          <w:trHeight w:val="179"/>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475,876</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475,876</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49,795</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9"/>
        </w:trPr>
        <w:tc>
          <w:tcPr>
            <w:tcW w:w="682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SUPPLEMENTAL INFORMATION:</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15,757</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6,952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99,045</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93,474</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6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March 31, 2022</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jc w:val="center"/>
              <w:ind w:right="670"/>
              <w:spacing w:after="0"/>
              <w:rPr>
                <w:sz w:val="20"/>
                <w:szCs w:val="20"/>
                <w:color w:val="auto"/>
              </w:rPr>
            </w:pPr>
            <w:r>
              <w:rPr>
                <w:rFonts w:ascii="Arial" w:cs="Arial" w:eastAsia="Arial" w:hAnsi="Arial"/>
                <w:sz w:val="18"/>
                <w:szCs w:val="18"/>
                <w:color w:val="auto"/>
                <w:w w:val="95"/>
              </w:rPr>
              <w:t>SOUTHWEST GAS CORPORATION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5"/>
              </w:rPr>
              <w:t>CONDENSED CONSOLIDATED STATEMENTS OF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19"/>
              <w:spacing w:after="0"/>
              <w:rPr>
                <w:sz w:val="20"/>
                <w:szCs w:val="20"/>
                <w:color w:val="auto"/>
              </w:rPr>
            </w:pPr>
            <w:r>
              <w:rPr>
                <w:rFonts w:ascii="Arial" w:cs="Arial" w:eastAsia="Arial" w:hAnsi="Arial"/>
                <w:sz w:val="16"/>
                <w:szCs w:val="16"/>
                <w:color w:val="auto"/>
              </w:rPr>
              <w:t>Three Months Ended</w:t>
            </w: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r>
      <w:tr>
        <w:trPr>
          <w:trHeight w:val="196"/>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r>
      <w:tr>
        <w:trPr>
          <w:trHeight w:val="199"/>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1,618,911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1,410,345</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r>
      <w:tr>
        <w:trPr>
          <w:trHeight w:val="213"/>
        </w:trPr>
        <w:tc>
          <w:tcPr>
            <w:tcW w:w="60" w:type="dxa"/>
            <w:vAlign w:val="bottom"/>
          </w:tcPr>
          <w:p>
            <w:pPr>
              <w:spacing w:after="0"/>
              <w:rPr>
                <w:sz w:val="18"/>
                <w:szCs w:val="18"/>
                <w:color w:val="auto"/>
              </w:rPr>
            </w:pPr>
          </w:p>
        </w:tc>
        <w:tc>
          <w:tcPr>
            <w:tcW w:w="9000" w:type="dxa"/>
            <w:vAlign w:val="bottom"/>
            <w:gridSpan w:val="3"/>
          </w:tcPr>
          <w:p>
            <w:pPr>
              <w:ind w:left="640"/>
              <w:spacing w:after="0"/>
              <w:rPr>
                <w:sz w:val="20"/>
                <w:szCs w:val="20"/>
                <w:color w:val="auto"/>
              </w:rPr>
            </w:pPr>
            <w:r>
              <w:rPr>
                <w:rFonts w:ascii="Arial" w:cs="Arial" w:eastAsia="Arial" w:hAnsi="Arial"/>
                <w:sz w:val="16"/>
                <w:szCs w:val="16"/>
                <w:color w:val="auto"/>
              </w:rPr>
              <w:t>Contributions from Southwest Gas Holdings, Inc.</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45,984</w:t>
            </w:r>
          </w:p>
        </w:tc>
      </w:tr>
      <w:tr>
        <w:trPr>
          <w:trHeight w:val="213"/>
        </w:trPr>
        <w:tc>
          <w:tcPr>
            <w:tcW w:w="60" w:type="dxa"/>
            <w:vAlign w:val="bottom"/>
            <w:tcBorders>
              <w:top w:val="single" w:sz="8" w:color="CCEEFF"/>
            </w:tcBorders>
            <w:shd w:val="clear" w:color="auto" w:fill="CCEEFF"/>
          </w:tcPr>
          <w:p>
            <w:pPr>
              <w:spacing w:after="0"/>
              <w:rPr>
                <w:sz w:val="18"/>
                <w:szCs w:val="18"/>
                <w:color w:val="auto"/>
              </w:rPr>
            </w:pPr>
          </w:p>
        </w:tc>
        <w:tc>
          <w:tcPr>
            <w:tcW w:w="9000" w:type="dxa"/>
            <w:vAlign w:val="bottom"/>
            <w:tcBorders>
              <w:top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1,620,616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1,458,344</w:t>
            </w:r>
          </w:p>
        </w:tc>
      </w:tr>
      <w:tr>
        <w:trPr>
          <w:trHeight w:val="193"/>
        </w:trPr>
        <w:tc>
          <w:tcPr>
            <w:tcW w:w="906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r>
      <w:tr>
        <w:trPr>
          <w:trHeight w:val="213"/>
        </w:trPr>
        <w:tc>
          <w:tcPr>
            <w:tcW w:w="60" w:type="dxa"/>
            <w:vAlign w:val="bottom"/>
          </w:tcPr>
          <w:p>
            <w:pPr>
              <w:spacing w:after="0"/>
              <w:rPr>
                <w:sz w:val="18"/>
                <w:szCs w:val="18"/>
                <w:color w:val="auto"/>
              </w:rPr>
            </w:pPr>
          </w:p>
        </w:tc>
        <w:tc>
          <w:tcPr>
            <w:tcW w:w="9000" w:type="dxa"/>
            <w:vAlign w:val="bottom"/>
            <w:gridSpan w:val="3"/>
          </w:tcPr>
          <w:p>
            <w:pPr>
              <w:ind w:left="640"/>
              <w:spacing w:after="0"/>
              <w:rPr>
                <w:sz w:val="20"/>
                <w:szCs w:val="20"/>
                <w:color w:val="auto"/>
              </w:rPr>
            </w:pPr>
            <w:r>
              <w:rPr>
                <w:rFonts w:ascii="Arial" w:cs="Arial" w:eastAsia="Arial" w:hAnsi="Arial"/>
                <w:sz w:val="16"/>
                <w:szCs w:val="16"/>
                <w:color w:val="auto"/>
              </w:rPr>
              <w:t>Net actuarial gain arising during period, less amortization of unamortized benefit plan cost, net of tax</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FSIRS amounts reclassified to net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(59,343)</w:t>
            </w:r>
          </w:p>
        </w:tc>
      </w:tr>
      <w:tr>
        <w:trPr>
          <w:trHeight w:val="199"/>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906,827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835,146</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118,715</w:t>
            </w:r>
          </w:p>
        </w:tc>
      </w:tr>
      <w:tr>
        <w:trPr>
          <w:trHeight w:val="213"/>
        </w:trPr>
        <w:tc>
          <w:tcPr>
            <w:tcW w:w="60" w:type="dxa"/>
            <w:vAlign w:val="bottom"/>
          </w:tcPr>
          <w:p>
            <w:pPr>
              <w:spacing w:after="0"/>
              <w:rPr>
                <w:sz w:val="18"/>
                <w:szCs w:val="18"/>
                <w:color w:val="auto"/>
              </w:rPr>
            </w:pPr>
          </w:p>
        </w:tc>
        <w:tc>
          <w:tcPr>
            <w:tcW w:w="9000" w:type="dxa"/>
            <w:vAlign w:val="bottom"/>
            <w:gridSpan w:val="3"/>
          </w:tcPr>
          <w:p>
            <w:pPr>
              <w:ind w:left="64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Dividends declared to Southwest Gas Holdings, Inc.</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(27,500)</w:t>
            </w: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987,177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926,011</w:t>
            </w:r>
          </w:p>
        </w:tc>
      </w:tr>
      <w:tr>
        <w:trPr>
          <w:trHeight w:val="238"/>
        </w:trPr>
        <w:tc>
          <w:tcPr>
            <w:tcW w:w="90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2,611,534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2,374,124</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(together with its subsidiaries, the “Company”) is a holding company, owning all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Southwest Gas Corporation (“Southwest” or the “natural gas distribution” segment), all of the shares of common stock of Centuri Group, Inc. (“Centuri,” or the “utility infrastructure services” segment), and all of the shares of common stock of MountainWest Pipelines Holding Company (“MountainWest,” or the “pipeline and storage” segment).</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completed the acquisition of Dominion Energy Questar Pipeline, LLC and related entities (“Questar Pipelines”) in December 2021. Following the completion of the acquisition, the Company formed MountainWest which owns all of the membership interests in Questar Pipelines. In April 2022, the Company completed a general rebranding of the Questar Pipelines entities under the MountainWest name. The acquired operations further diversify the Company’s business in the midstream sector, with an expansion of interstate natural gas pipelines and underground storage services, primarily composed of regulated operations under the jurisdiction of the Federal Energy Regulatory Commission (the “FERC”), thereby expanding natural gas transportation services into Utah, Wyoming, and Colorado. See </w:t>
      </w:r>
      <w:r>
        <w:rPr>
          <w:rFonts w:ascii="Arial" w:cs="Arial" w:eastAsia="Arial" w:hAnsi="Arial"/>
          <w:sz w:val="17"/>
          <w:szCs w:val="17"/>
          <w:b w:val="1"/>
          <w:bCs w:val="1"/>
          <w:color w:val="auto"/>
        </w:rPr>
        <w:t>Note 8 - Business Acquisitions</w:t>
      </w:r>
      <w:r>
        <w:rPr>
          <w:rFonts w:ascii="Arial" w:cs="Arial" w:eastAsia="Arial" w:hAnsi="Arial"/>
          <w:sz w:val="17"/>
          <w:szCs w:val="17"/>
          <w:color w:val="auto"/>
        </w:rPr>
        <w:t xml:space="preserve"> for more information.</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Centuri completed the acquisition of Drum Parent LLC (“Drum”), including Drum’s most significant operating subsidiary, Riggs Distler, in August 2021, thereby expanding Centuri’s electric infrastructure services footprint in the northeast and mid-Atlantic regions of the U.S. See </w:t>
      </w:r>
      <w:r>
        <w:rPr>
          <w:rFonts w:ascii="Arial" w:cs="Arial" w:eastAsia="Arial" w:hAnsi="Arial"/>
          <w:sz w:val="18"/>
          <w:szCs w:val="18"/>
          <w:b w:val="1"/>
          <w:bCs w:val="1"/>
          <w:color w:val="auto"/>
        </w:rPr>
        <w:t>Note 8 - Business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for more information.</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2022, the Company announced that its Board of Directors (the “Board”) had determined to separate Centuri from the Company and authorized management to complete the separation within nine to twelve months. Management evaluated various alternatives to determine the optimal structure to maximize stockholder value and announced the separation structure was expected to be a tax-free spin-off in which stockholders of the Company would receive a prorated dividend of Centuri shares in association with the completion. Then, in April 2022, as a result of interest in the Company well in excess of a tender offer by an activist stockholder (Carl Icahn) to other stockholders, the Board authorized the review of a full range of strategic alternatives to maximize stockholder value. As part of this process, a strategic transactions committee of the Board (the “Strategic Transactions Committee”), consisting entirely of independent directors, will evaluate a sale of the Company, as well as a range of alternatives, including, but not limited to, a separate sale of its business units and/or pursuing the spin-off of Centuri.</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of Southwest Gas Holdings, Inc. and subsidiaries and Southwest included herein</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included in the 2021 Annual Report to Stockholders, which is incorporated by reference into the 2021 Form 10-K.</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Property and Investments. </w:t>
      </w:r>
      <w:r>
        <w:rPr>
          <w:rFonts w:ascii="Arial" w:cs="Arial" w:eastAsia="Arial" w:hAnsi="Arial"/>
          <w:sz w:val="16"/>
          <w:szCs w:val="16"/>
          <w:color w:val="auto"/>
        </w:rPr>
        <w:t>Other property and investments on Southwest’s and the Company’s Condensed Consolidated Balance Sheets includes: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149,947</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r>
      <w:tr>
        <w:trPr>
          <w:trHeight w:val="223"/>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Southwest Gas Corporation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153,093</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Non-regulated property, equipment, and intangibles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1,645,159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1,616,392</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Non-regulated accumulated provision for depreciation and amortization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(512,343)</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 and investments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Southwest Gas Holdings,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1,316,479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The term non-regulated in regard to assets and related balances in the table above is in reference to the non-rate regulated operations of Centuri, and to a more limited extent, certain assets of MountainWest.</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include money market fund investments totaling approximately $169 million and $231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Southwest and the Company, respectively, at March 31, 2022, and $20 million for the Company as of December 31, 2021. The balance for Southwest as of December 31, 2021 was insignificant. These investments fall within Level 2 of the fair value hierarchy, due to the asset valuation methods used by money market funds. The Company had $7 million in restricted cash included in Cash and cash equivalents at March 31, 2022, related to residual proceeds received from its March 2022 common stock offering to be applied against its 364-day Term Loan Facility, which occurred in April 2022. The restricted cash balance is included in Cash and cash equivalents within the Company’s Condensed Consolidated Statement of Cash Flows as of March 31, 2022.</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Non-cash investing activities for the Company and Southwest include capital expenditures that were not yet paid totaling approximately $26.1 million at March 31, 2022, and $19.4 million at December 31, 2021.</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Accounts Receivable, net of allowances. </w:t>
      </w:r>
      <w:r>
        <w:rPr>
          <w:rFonts w:ascii="Arial" w:cs="Arial" w:eastAsia="Arial" w:hAnsi="Arial"/>
          <w:sz w:val="16"/>
          <w:szCs w:val="16"/>
          <w:color w:val="auto"/>
        </w:rPr>
        <w:t>Southwest lifted the moratorium on disconnection of natural gas service for non-payment in Arizona and Nevada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September 2021, which was initiated (at the same time as a moratorium on late fees) in March 2020 in response to the COVID-19 pandemic. The moratorium on disconnection in California ended in November 2021. </w:t>
      </w:r>
      <w:r>
        <w:rPr>
          <w:rFonts w:ascii="Arial" w:cs="Arial" w:eastAsia="Arial" w:hAnsi="Arial"/>
          <w:sz w:val="16"/>
          <w:szCs w:val="16"/>
          <w:color w:val="212529"/>
        </w:rPr>
        <w:t>Southwest recommenced assessing late fees on past-due balances in Arizona and</w:t>
      </w:r>
      <w:r>
        <w:rPr>
          <w:rFonts w:ascii="Arial" w:cs="Arial" w:eastAsia="Arial" w:hAnsi="Arial"/>
          <w:sz w:val="16"/>
          <w:szCs w:val="16"/>
          <w:color w:val="auto"/>
        </w:rPr>
        <w:t xml:space="preserve"> </w:t>
      </w:r>
      <w:r>
        <w:rPr>
          <w:rFonts w:ascii="Arial" w:cs="Arial" w:eastAsia="Arial" w:hAnsi="Arial"/>
          <w:sz w:val="16"/>
          <w:szCs w:val="16"/>
          <w:color w:val="212529"/>
        </w:rPr>
        <w:t>Nevada in April 2021, and in California in August 2021. Southwest continues to actively work with customers experiencing financial hardship by means of flexible payment options, partnering with assistance agencies and participating in state-funded arrearage payment assistance programs.</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The various regulatory commissions have established procedures to enable the rate-regulated companies to adjust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rates for changes 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mid-February 2021, the central U.S. experienced extreme cold temperatures, which increased natural gas demand and caused supply issues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term loan executed in March 2021. The incremental gas costs were included, for collection from customers, as part of the purchased gas adjustment (“PGA”) mechanisms. The term loan was amended in March 2022 to extend the maturity date to March 2023 due to gas prices that, while not at levels incurred during the 2021 freeze, continue to be elevated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for Southwest include, among other things, materials and operating supplies of</w:t>
      </w:r>
      <w:r>
        <w:rPr>
          <w:rFonts w:ascii="Arial" w:cs="Arial" w:eastAsia="Arial" w:hAnsi="Arial"/>
          <w:sz w:val="18"/>
          <w:szCs w:val="18"/>
          <w:i w:val="1"/>
          <w:iCs w:val="1"/>
          <w:color w:val="auto"/>
        </w:rPr>
        <w:t xml:space="preserve"> </w:t>
      </w:r>
      <w:r>
        <w:rPr>
          <w:rFonts w:ascii="Arial" w:cs="Arial" w:eastAsia="Arial" w:hAnsi="Arial"/>
          <w:sz w:val="18"/>
          <w:szCs w:val="18"/>
          <w:color w:val="auto"/>
        </w:rPr>
        <w:t>$60 million at March 31, 2022 and $62.9 million at December 31, 2021 (carried at weighted average cost). For the Company, there were materials and operating supplies of $64.6 million and $67.4 million at March 31, 2022 and December 31, 2021, which included amounts for MountainWest. Also included in the balance for both Southwest and the Company was $52 million as of December 31, 2021 in accrued purchased gas cost, with no corresponding asset balance as of March 31, 2022 for either entity.</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assessed as of October 1</w:t>
      </w:r>
      <w:r>
        <w:rPr>
          <w:rFonts w:ascii="Arial" w:cs="Arial" w:eastAsia="Arial" w:hAnsi="Arial"/>
          <w:sz w:val="15"/>
          <w:szCs w:val="15"/>
          <w:color w:val="auto"/>
        </w:rPr>
        <w:t>st</w:t>
      </w:r>
      <w:r>
        <w:rPr>
          <w:rFonts w:ascii="Arial" w:cs="Arial" w:eastAsia="Arial" w:hAnsi="Arial"/>
          <w:sz w:val="17"/>
          <w:szCs w:val="17"/>
          <w:i w:val="1"/>
          <w:iCs w:val="1"/>
          <w:color w:val="auto"/>
        </w:rPr>
        <w:t xml:space="preserve"> </w:t>
      </w:r>
      <w:r>
        <w:rPr>
          <w:rFonts w:ascii="Arial" w:cs="Arial" w:eastAsia="Arial" w:hAnsi="Arial"/>
          <w:sz w:val="17"/>
          <w:szCs w:val="17"/>
          <w:color w:val="auto"/>
        </w:rPr>
        <w:t>each year for impairment, or more frequently, if circumstances indicate an impairment to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may have occurred. Management of the Company and Southwest considered its reporting units and segments, determining that they remained consistent between periods presented below, and that no change was necessary with regard to the level at which goodwill is assessed for impairment. The acquisition of MountainWest resulted in a new reportable segment which is assessed for impairment beginning in 2022. Since December 31, 2021, management qualitatively assessed whether events during the first three months of 2022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Goodwill in Southwest’s and the Company’s Condensed Consolidated Balance Sheets is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Utility</w:t>
            </w:r>
          </w:p>
        </w:tc>
        <w:tc>
          <w:tcPr>
            <w:tcW w:w="160" w:type="dxa"/>
            <w:vAlign w:val="bottom"/>
          </w:tcPr>
          <w:p>
            <w:pPr>
              <w:spacing w:after="0"/>
              <w:rPr>
                <w:sz w:val="17"/>
                <w:szCs w:val="17"/>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Pipeline and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8"/>
              </w:rPr>
              <w:t>Total Company</w:t>
            </w:r>
          </w:p>
        </w:tc>
        <w:tc>
          <w:tcPr>
            <w:tcW w:w="0" w:type="dxa"/>
            <w:vAlign w:val="bottom"/>
          </w:tcPr>
          <w:p>
            <w:pPr>
              <w:spacing w:after="0"/>
              <w:rPr>
                <w:sz w:val="1"/>
                <w:szCs w:val="1"/>
                <w:color w:val="auto"/>
              </w:rPr>
            </w:pPr>
          </w:p>
        </w:tc>
      </w:tr>
      <w:tr>
        <w:trPr>
          <w:trHeight w:val="229"/>
        </w:trPr>
        <w:tc>
          <w:tcPr>
            <w:tcW w:w="5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19"/>
                <w:szCs w:val="19"/>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16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Storage</w:t>
            </w: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986,179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1,781,332</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Measurement-period adjustments from Riggs Distler acquisition (a)</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Measurement-period adjustments from MountainWest acquisition (a)</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4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1,773,671</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 See </w:t>
      </w:r>
      <w:r>
        <w:rPr>
          <w:rFonts w:ascii="Arial" w:cs="Arial" w:eastAsia="Arial" w:hAnsi="Arial"/>
          <w:sz w:val="16"/>
          <w:szCs w:val="16"/>
          <w:b w:val="1"/>
          <w:bCs w:val="1"/>
          <w:color w:val="auto"/>
        </w:rPr>
        <w:t>Note 8 - Business Acquisitions</w:t>
      </w:r>
      <w:r>
        <w:rPr>
          <w:rFonts w:ascii="Arial" w:cs="Arial" w:eastAsia="Arial" w:hAnsi="Arial"/>
          <w:sz w:val="16"/>
          <w:szCs w:val="16"/>
          <w:color w:val="auto"/>
        </w:rPr>
        <w:t xml:space="preserve"> for details regarding measurement-period adjustments.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 $41.4 million and $36 million of dividends declared as of March 31, 2022 and December 31, 2021, respectively.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Southwest’s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Condensed 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5"/>
          </w:tcPr>
          <w:p>
            <w:pPr>
              <w:ind w:left="80"/>
              <w:spacing w:after="0"/>
              <w:rPr>
                <w:sz w:val="20"/>
                <w:szCs w:val="20"/>
                <w:color w:val="auto"/>
              </w:rPr>
            </w:pPr>
            <w:r>
              <w:rPr>
                <w:rFonts w:ascii="Arial" w:cs="Arial" w:eastAsia="Arial" w:hAnsi="Arial"/>
                <w:sz w:val="16"/>
                <w:szCs w:val="16"/>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358"/>
              <w:spacing w:after="0"/>
              <w:rPr>
                <w:sz w:val="20"/>
                <w:szCs w:val="20"/>
                <w:color w:val="auto"/>
              </w:rPr>
            </w:pPr>
            <w:r>
              <w:rPr>
                <w:rFonts w:ascii="Arial" w:cs="Arial" w:eastAsia="Arial" w:hAnsi="Arial"/>
                <w:sz w:val="16"/>
                <w:szCs w:val="16"/>
                <w:color w:val="auto"/>
              </w:rPr>
              <w:t>Twelve Months Ended</w:t>
            </w:r>
          </w:p>
        </w:tc>
      </w:tr>
      <w:tr>
        <w:trPr>
          <w:trHeight w:val="209"/>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80" w:type="dxa"/>
            <w:vAlign w:val="bottom"/>
            <w:tcBorders>
              <w:bottom w:val="single" w:sz="8" w:color="auto"/>
            </w:tcBorders>
          </w:tcPr>
          <w:p>
            <w:pPr>
              <w:spacing w:after="0"/>
              <w:rPr>
                <w:sz w:val="18"/>
                <w:szCs w:val="18"/>
                <w:color w:val="auto"/>
              </w:rPr>
            </w:pPr>
          </w:p>
        </w:tc>
      </w:tr>
      <w:tr>
        <w:trPr>
          <w:trHeight w:val="304"/>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r>
      <w:tr>
        <w:trPr>
          <w:trHeight w:val="19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27,400</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4,644</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r>
      <w:tr>
        <w:trPr>
          <w:trHeight w:val="213"/>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14,496</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Centuri, MountainWest, and Southwest Gas Holdings, Inc.: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686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unconsolidated investments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3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 Gas Holdings, Inc. - total other income (deductions)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also to the discussion of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to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Redeemable Noncontrolling Interests. </w:t>
      </w:r>
      <w:r>
        <w:rPr>
          <w:rFonts w:ascii="Arial" w:cs="Arial" w:eastAsia="Arial" w:hAnsi="Arial"/>
          <w:sz w:val="18"/>
          <w:szCs w:val="18"/>
          <w:color w:val="auto"/>
        </w:rPr>
        <w:t>In connection with the acquisition of Linetec in November 2018, the previous owner retained a 20% equity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that entity, the reduction of which being subject to certain rights based on the passage of time or upon the occurrence of certain triggering events. Effective January 2022, the Company, through Centuri, had the right, but</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 the obligation, to purchase at fair value (subject to a floor) a portion of the interest held by the previous owner, and in incremental amounts each year thereafter. In March 2022, the parties agreed to a partial redemption based on these provisions, and as a result, Centuri paid $39.6 million to the previous owner of Linetec for a 5.0% equity interest in Linetec, thereby reducing the balance continuing to be redeemable to 15% under the terms of the original agreement. In order to fund the redemption, Southwest Gas Holdings, Inc. contributed capital to Centuri.</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members of Riggs Distler management have a 1.42% interest in Drum, which is redeemable, subject to certain rights based on the passage of time or upon the occurrence of certain triggering events.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decreased by approximately $22 million during the three months ended March 31, 2022. Adjustment to the redemption value also impacts retained earnings, as reflected in the Company’s Condensed Consolidated Statement of Equity, but does not impact net income. The following depicts changes to the balances of the redeemable noncontrolling interests: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196,717</w:t>
            </w: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Redemption of equity interest from noncontrolling party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(39,649)</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135,984</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90"/>
              </w:rPr>
              <w:t>Twelve Months Ended</w:t>
            </w:r>
          </w:p>
        </w:tc>
      </w:tr>
      <w:tr>
        <w:trPr>
          <w:trHeight w:val="230"/>
        </w:trPr>
        <w:tc>
          <w:tcPr>
            <w:tcW w:w="6480" w:type="dxa"/>
            <w:vAlign w:val="bottom"/>
          </w:tcPr>
          <w:p>
            <w:pPr>
              <w:spacing w:after="0"/>
              <w:rPr>
                <w:sz w:val="19"/>
                <w:szCs w:val="19"/>
                <w:color w:val="auto"/>
              </w:rPr>
            </w:pPr>
          </w:p>
        </w:tc>
        <w:tc>
          <w:tcPr>
            <w:tcW w:w="15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19"/>
                <w:szCs w:val="19"/>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2021</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56,564</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 (1)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56,649</w:t>
            </w:r>
          </w:p>
        </w:tc>
      </w:tr>
      <w:tr>
        <w:trPr>
          <w:trHeight w:val="20"/>
        </w:trPr>
        <w:tc>
          <w:tcPr>
            <w:tcW w:w="6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4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securities included 112,000 and 75,000 performance shares during the three months ending March 31, 2022 and 2021, and 114,000 and 76,000 performance shares during the twelve months ending March 31, 2022 and 2021, respectively, the total of which was derived by assuming that target performance will be achieved during the relevant performance period.</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Southwest maintains liability insurance for various risks associated with the operation of its natural gas pipelines and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liability insurance policies, Southwest is responsible for an initial deductible or self-insured retention amount per incident, after which the insurance carriers would be responsible for amounts up to the policy limits. For the policy year August 2021 to July 2022, these liability insurance policies require Southwest to be responsible for the first $1 million (self-insured retention) of each incident plus the first $4 million in aggregate claims above its self-insured retention in the policy year. In August 2021, a natural gas pipe operated by Southwest was involved in an explosion that injured four individuals and damaged property. The explosion was caused by a leak in the pipe, and is under investigation. Individuals that were injured have each brought legal claims against Southwest and other parties. If Southwest is deemed fully or partially responsible, Southwest estimates its net exposure could be equal to the self-insured retention of $5 million (the maximum noted above). In 2021, pursuant to Accounting Standards Codification 450, Contingencies, Southwest recorded a $5 million liability related to this incident reflecting the maximum noted above; an estimate of actual loss greater than this exposure (to be covered by insurance) cannot be estimated as of the date these financial statements are issued.</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29, 2021, Icahn Partners LP and Icahn Master Fund LP (collectively, “Icahn”) commenced an action in the Court of Chancery for the State of Delaware. The action is captioned Icahn Partners LP, et al. v. John P. Hester, et al., C.A. No.</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2021-1031-KSJM (Del. Ch.). The complaint names the Company and the individual members of the Board as defendants. The complaint seeks to allege breach of fiduciary duty claims and, among other things, seeks declaratory and injunctive relief to (1) limit the scope and manner of certain equity issuances by the Company; (2) allow Icahn to proceed with a Special Meeting proposal at the Company’s 2022 Annual Meeting; and (3) require the Board to approve Icahn’s slate of nominees as “continuing directors” under certain of the Company’s debt instruments. After filing the complaint, Icahn sought a temporary restraining order to prohibit defendants from making certain equity issuances. On December 21, 2021, the Court denied Icahn’s request. On January 19, 2022, the defendants filed a motion to dismiss the claims that were subject to Icahn’s motion for a temporary restraining order. The same day, the defendants filed an answer, denying the remaining claims in Icahn’s complaint. On February 11, 2022, defendants filed a motion for summary judgement on Icahn’s claims regarding a proposal for a special meeting. On April 5, 2022, following a hearing, the court granted defendants’ motion for summary judgment, finding that the Company properly rejected Icahn’s special meeting proposal. On April 27, 2022, the court entered an order dismissing Icahn’s special meeting proposal claims with prejudice and Icahn’s “continuing directors” claims without prejudice. In accordance with the Cooperation Agreement described in </w:t>
      </w:r>
      <w:r>
        <w:rPr>
          <w:rFonts w:ascii="Arial" w:cs="Arial" w:eastAsia="Arial" w:hAnsi="Arial"/>
          <w:sz w:val="17"/>
          <w:szCs w:val="17"/>
          <w:b w:val="1"/>
          <w:bCs w:val="1"/>
          <w:color w:val="auto"/>
        </w:rPr>
        <w:t>Note 9 - Subsequent Events</w:t>
      </w:r>
      <w:r>
        <w:rPr>
          <w:rFonts w:ascii="Arial" w:cs="Arial" w:eastAsia="Arial" w:hAnsi="Arial"/>
          <w:sz w:val="17"/>
          <w:szCs w:val="17"/>
          <w:color w:val="auto"/>
        </w:rPr>
        <w:t>, Icahn filed a stipulation of dismissal of the case with prejudice, which was entered by the court on May 9, 2022.</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18, 2021, the City Pension Fund for Firefighters and Police Officers in the City of Miami Beach (“City Pension Fund”) commenced a putative class action lawsuit in the Court of Chancery for the State of Delaware on behalf of a putative class of persons who purchased the Company’s stock. The action is captioned City Pension Fund for Firefighters and Police Officers in the City of Miami Beach v. Robert L. Boughner, et al., C.A. No. 2021-0990-KSJM (Del. Ch.). The complaint was later amended on November 30, 2021. The amended complaint names the Company and the individual members of the Board as defendants. The complaint seeks to assert breach of fiduciary duty claims, alleging that the Board’s recommendation that stockholders reject Icahn’s tender offer to purchase shares of the Company’s common stock omitted material information about the Company’s financial analysis; and seeks to have the Board approve Icahn’s slate of nominees as “continuing directors” under certain of the Company’s debt instruments. On March 9, 2022, City Pension Fund filed a motion for summary judgment on its claim that the Board omitted material information in its recommendation concerning Icahn’s tender offer. On April 19, 2022, City Pension Fund filed a notice of withdrawal of its motion for summary judgment. The Company believes that the claims lack merit and intends to vigorously defend against them.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effective or adopted in 2022:</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but to date, no further updates have occurred that would extend the optional guidance to the full tenor of LIBOR expiration dates occurring after 2022. Management will monitor the impacts this update might have on the Company’s and Southwest’s consolidated financial statements and disclosures, and will reflect such appropriately, in the event that the optional guidance is elected. Management will also monitor further FASB action, if any, in regard to the full tenor of LIBOR expiration dates. See also LIBOR discussion in </w:t>
      </w:r>
      <w:r>
        <w:rPr>
          <w:rFonts w:ascii="Arial" w:cs="Arial" w:eastAsia="Arial" w:hAnsi="Arial"/>
          <w:sz w:val="18"/>
          <w:szCs w:val="18"/>
          <w:b w:val="1"/>
          <w:bCs w:val="1"/>
          <w:color w:val="auto"/>
        </w:rPr>
        <w:t>Note 5 –</w:t>
      </w:r>
      <w:r>
        <w:rPr>
          <w:rFonts w:ascii="Arial" w:cs="Arial" w:eastAsia="Arial" w:hAnsi="Arial"/>
          <w:sz w:val="18"/>
          <w:szCs w:val="18"/>
          <w:color w:val="auto"/>
        </w:rPr>
        <w:t xml:space="preserve"> </w:t>
      </w:r>
      <w:r>
        <w:rPr>
          <w:rFonts w:ascii="Arial" w:cs="Arial" w:eastAsia="Arial" w:hAnsi="Arial"/>
          <w:sz w:val="18"/>
          <w:szCs w:val="18"/>
          <w:b w:val="1"/>
          <w:bCs w:val="1"/>
          <w:color w:val="auto"/>
        </w:rPr>
        <w:t>Debt</w:t>
      </w:r>
      <w:r>
        <w:rPr>
          <w:rFonts w:ascii="Arial" w:cs="Arial" w:eastAsia="Arial" w:hAnsi="Arial"/>
          <w:sz w:val="18"/>
          <w:szCs w:val="18"/>
          <w:color w:val="auto"/>
        </w:rPr>
        <w:t>.</w:t>
      </w:r>
    </w:p>
    <w:p>
      <w:pPr>
        <w:spacing w:after="0" w:line="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update is effective starting in the first quarter of 2022 in regard to relevant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 The defined benefit qualified retirement plan, SERP and PBOP are not available to Southwest employees hired on or after January 1, 2022. Employees hired in 2022 or later periods are eligible for enhanced defined contributions as part of the Southwest 401(k) plan rather than participating in the defined benefit retirement plan.</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1"/>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36,015</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(67,060)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50,737</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9"/>
              </w:rPr>
              <w:t>SERP</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2"/>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PBOP</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(3,366)</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information about the Company’s revenues is presented by segment. Southwest encompasses the natural gas distribution segment, Centuri encompasses the utility infrastructure services segment, and MountainWest encompasses the pipeline and storage segment. Certain disclosures, where materially consistent with those provided most recently in Southwest’s and the Company’s 2021 Annual Report on Form 10-K, are not repeated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w:t>
      </w:r>
      <w:r>
        <w:rPr>
          <w:rFonts w:ascii="Arial" w:cs="Arial" w:eastAsia="Arial" w:hAnsi="Arial"/>
          <w:sz w:val="18"/>
          <w:szCs w:val="18"/>
          <w:color w:val="auto"/>
        </w:rPr>
        <w: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220" w:type="dxa"/>
            <w:vAlign w:val="bottom"/>
            <w:gridSpan w:val="5"/>
            <w:vMerge w:val="restart"/>
          </w:tcPr>
          <w:p>
            <w:pPr>
              <w:ind w:left="20"/>
              <w:spacing w:after="0"/>
              <w:rPr>
                <w:sz w:val="20"/>
                <w:szCs w:val="20"/>
                <w:color w:val="auto"/>
              </w:rPr>
            </w:pPr>
            <w:r>
              <w:rPr>
                <w:rFonts w:ascii="Arial" w:cs="Arial" w:eastAsia="Arial" w:hAnsi="Arial"/>
                <w:sz w:val="16"/>
                <w:szCs w:val="16"/>
                <w:color w:val="auto"/>
                <w:w w:val="93"/>
              </w:rPr>
              <w:t>Twelve Months Ended March 31,</w:t>
            </w:r>
          </w:p>
        </w:tc>
        <w:tc>
          <w:tcPr>
            <w:tcW w:w="0" w:type="dxa"/>
            <w:vAlign w:val="bottom"/>
          </w:tcPr>
          <w:p>
            <w:pPr>
              <w:spacing w:after="0"/>
              <w:rPr>
                <w:sz w:val="1"/>
                <w:szCs w:val="1"/>
                <w:color w:val="auto"/>
              </w:rPr>
            </w:pPr>
          </w:p>
        </w:tc>
      </w:tr>
      <w:tr>
        <w:trPr>
          <w:trHeight w:val="206"/>
        </w:trPr>
        <w:tc>
          <w:tcPr>
            <w:tcW w:w="6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1,147,055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983,108</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123,984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81,398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312,800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220,476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44,639</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33,310</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94,336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88,345</w:t>
            </w:r>
          </w:p>
        </w:tc>
        <w:tc>
          <w:tcPr>
            <w:tcW w:w="0" w:type="dxa"/>
            <w:vAlign w:val="bottom"/>
          </w:tcPr>
          <w:p>
            <w:pPr>
              <w:spacing w:after="0"/>
              <w:rPr>
                <w:sz w:val="1"/>
                <w:szCs w:val="1"/>
                <w:color w:val="auto"/>
              </w:rPr>
            </w:pPr>
          </w:p>
        </w:tc>
      </w:tr>
      <w:tr>
        <w:trPr>
          <w:trHeight w:val="207"/>
        </w:trPr>
        <w:tc>
          <w:tcPr>
            <w:tcW w:w="668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695,335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535,520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1,657,565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1,369,878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8"/>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Regulated operations revenues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676,539</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1,676,397</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1,369,690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180" w:hanging="10"/>
        <w:spacing w:after="0" w:line="261" w:lineRule="auto"/>
        <w:tabs>
          <w:tab w:leader="none" w:pos="4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customer rates expected to be returned to customers in future periods. Also includes the impacts of a temporary moratorium on late fees and disconnection for nonpayment during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ind w:left="240"/>
              <w:spacing w:after="0"/>
              <w:rPr>
                <w:sz w:val="20"/>
                <w:szCs w:val="20"/>
                <w:color w:val="auto"/>
              </w:rPr>
            </w:pPr>
            <w:r>
              <w:rPr>
                <w:rFonts w:ascii="Arial" w:cs="Arial" w:eastAsia="Arial" w:hAnsi="Arial"/>
                <w:sz w:val="16"/>
                <w:szCs w:val="16"/>
                <w:color w:val="auto"/>
              </w:rPr>
              <w:t>Three Months Ended</w:t>
            </w:r>
          </w:p>
        </w:tc>
        <w:tc>
          <w:tcPr>
            <w:tcW w:w="2340" w:type="dxa"/>
            <w:vAlign w:val="bottom"/>
            <w:gridSpan w:val="5"/>
            <w:vMerge w:val="restart"/>
          </w:tcPr>
          <w:p>
            <w:pPr>
              <w:jc w:val="right"/>
              <w:spacing w:after="0"/>
              <w:rPr>
                <w:sz w:val="20"/>
                <w:szCs w:val="20"/>
                <w:color w:val="auto"/>
              </w:rPr>
            </w:pPr>
            <w:r>
              <w:rPr>
                <w:rFonts w:ascii="Arial" w:cs="Arial" w:eastAsia="Arial" w:hAnsi="Arial"/>
                <w:sz w:val="16"/>
                <w:szCs w:val="16"/>
                <w:color w:val="auto"/>
                <w:w w:val="95"/>
              </w:rPr>
              <w:t>Twelve Months Ended March 31,</w:t>
            </w:r>
          </w:p>
        </w:tc>
        <w:tc>
          <w:tcPr>
            <w:tcW w:w="0" w:type="dxa"/>
            <w:vAlign w:val="bottom"/>
          </w:tcPr>
          <w:p>
            <w:pPr>
              <w:spacing w:after="0"/>
              <w:rPr>
                <w:sz w:val="1"/>
                <w:szCs w:val="1"/>
                <w:color w:val="auto"/>
              </w:rPr>
            </w:pPr>
          </w:p>
        </w:tc>
      </w:tr>
      <w:tr>
        <w:trPr>
          <w:trHeight w:val="206"/>
        </w:trPr>
        <w:tc>
          <w:tcPr>
            <w:tcW w:w="6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260,682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221,837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1,341,185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1,265,288</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433,467</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280,015</w:t>
            </w:r>
          </w:p>
        </w:tc>
        <w:tc>
          <w:tcPr>
            <w:tcW w:w="0" w:type="dxa"/>
            <w:vAlign w:val="bottom"/>
          </w:tcPr>
          <w:p>
            <w:pPr>
              <w:spacing w:after="0"/>
              <w:rPr>
                <w:sz w:val="1"/>
                <w:szCs w:val="1"/>
                <w:color w:val="auto"/>
              </w:rPr>
            </w:pPr>
          </w:p>
        </w:tc>
      </w:tr>
      <w:tr>
        <w:trPr>
          <w:trHeight w:val="238"/>
        </w:trPr>
        <w:tc>
          <w:tcPr>
            <w:tcW w:w="6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523,877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1,978,770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8"/>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w w:val="91"/>
              </w:rPr>
              <w:t>March 31, 2022</w:t>
            </w:r>
          </w:p>
        </w:tc>
        <w:tc>
          <w:tcPr>
            <w:tcW w:w="0" w:type="dxa"/>
            <w:vAlign w:val="bottom"/>
          </w:tcPr>
          <w:p>
            <w:pPr>
              <w:spacing w:after="0"/>
              <w:rPr>
                <w:sz w:val="1"/>
                <w:szCs w:val="1"/>
                <w:color w:val="auto"/>
              </w:rPr>
            </w:pPr>
          </w:p>
        </w:tc>
      </w:tr>
      <w:tr>
        <w:trPr>
          <w:trHeight w:val="86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240"/>
              <w:spacing w:after="0"/>
              <w:rPr>
                <w:sz w:val="20"/>
                <w:szCs w:val="20"/>
                <w:color w:val="auto"/>
              </w:rPr>
            </w:pPr>
            <w:r>
              <w:rPr>
                <w:rFonts w:ascii="Arial" w:cs="Arial" w:eastAsia="Arial" w:hAnsi="Arial"/>
                <w:sz w:val="16"/>
                <w:szCs w:val="16"/>
                <w:color w:val="auto"/>
              </w:rPr>
              <w:t>Three Months Ended</w:t>
            </w:r>
          </w:p>
        </w:tc>
        <w:tc>
          <w:tcPr>
            <w:tcW w:w="2340" w:type="dxa"/>
            <w:vAlign w:val="bottom"/>
            <w:gridSpan w:val="5"/>
            <w:vMerge w:val="restart"/>
          </w:tcPr>
          <w:p>
            <w:pPr>
              <w:jc w:val="right"/>
              <w:spacing w:after="0"/>
              <w:rPr>
                <w:sz w:val="20"/>
                <w:szCs w:val="20"/>
                <w:color w:val="auto"/>
              </w:rPr>
            </w:pPr>
            <w:r>
              <w:rPr>
                <w:rFonts w:ascii="Arial" w:cs="Arial" w:eastAsia="Arial" w:hAnsi="Arial"/>
                <w:sz w:val="16"/>
                <w:szCs w:val="16"/>
                <w:color w:val="auto"/>
                <w:w w:val="95"/>
              </w:rPr>
              <w:t>Twelve Months Ended March 31,</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4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9"/>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gridSpan w:val="4"/>
          </w:tcPr>
          <w:p>
            <w:pPr>
              <w:ind w:left="20"/>
              <w:spacing w:after="0"/>
              <w:rPr>
                <w:sz w:val="20"/>
                <w:szCs w:val="20"/>
                <w:color w:val="auto"/>
              </w:rPr>
            </w:pPr>
            <w:r>
              <w:rPr>
                <w:rFonts w:ascii="Arial" w:cs="Arial" w:eastAsia="Arial" w:hAnsi="Arial"/>
                <w:sz w:val="16"/>
                <w:szCs w:val="16"/>
                <w:color w:val="auto"/>
              </w:rPr>
              <w:t>Master services agreement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356,543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293,680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1,715,841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1,520,144</w:t>
            </w: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70,295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458,626</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380" w:type="dxa"/>
            <w:vAlign w:val="bottom"/>
            <w:gridSpan w:val="3"/>
          </w:tcPr>
          <w:p>
            <w:pPr>
              <w:ind w:left="30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523,877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363,975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2,318,563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1,978,770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gridSpan w:val="4"/>
          </w:tcPr>
          <w:p>
            <w:pPr>
              <w:ind w:left="20"/>
              <w:spacing w:after="0"/>
              <w:rPr>
                <w:sz w:val="20"/>
                <w:szCs w:val="20"/>
                <w:color w:val="auto"/>
              </w:rPr>
            </w:pPr>
            <w:r>
              <w:rPr>
                <w:rFonts w:ascii="Arial" w:cs="Arial" w:eastAsia="Arial" w:hAnsi="Arial"/>
                <w:sz w:val="16"/>
                <w:szCs w:val="16"/>
                <w:color w:val="auto"/>
              </w:rPr>
              <w:t>Unit price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302,523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234,449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1,437,156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1,347,953</w:t>
            </w:r>
          </w:p>
        </w:tc>
        <w:tc>
          <w:tcPr>
            <w:tcW w:w="0" w:type="dxa"/>
            <w:vAlign w:val="bottom"/>
          </w:tcPr>
          <w:p>
            <w:pPr>
              <w:spacing w:after="0"/>
              <w:rPr>
                <w:sz w:val="1"/>
                <w:szCs w:val="1"/>
                <w:color w:val="auto"/>
              </w:rPr>
            </w:pPr>
          </w:p>
        </w:tc>
      </w:tr>
      <w:tr>
        <w:trPr>
          <w:trHeight w:val="219"/>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164,750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Time and materials contracts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466,067</w:t>
            </w:r>
          </w:p>
        </w:tc>
        <w:tc>
          <w:tcPr>
            <w:tcW w:w="0" w:type="dxa"/>
            <w:vAlign w:val="bottom"/>
          </w:tcPr>
          <w:p>
            <w:pPr>
              <w:spacing w:after="0"/>
              <w:rPr>
                <w:sz w:val="1"/>
                <w:szCs w:val="1"/>
                <w:color w:val="auto"/>
              </w:rPr>
            </w:pPr>
          </w:p>
        </w:tc>
      </w:tr>
      <w:tr>
        <w:trPr>
          <w:trHeight w:val="232"/>
        </w:trPr>
        <w:tc>
          <w:tcPr>
            <w:tcW w:w="60" w:type="dxa"/>
            <w:vAlign w:val="bottom"/>
            <w:shd w:val="clear" w:color="auto" w:fill="CCEEFF"/>
          </w:tcPr>
          <w:p>
            <w:pPr>
              <w:spacing w:after="0"/>
              <w:rPr>
                <w:sz w:val="20"/>
                <w:szCs w:val="20"/>
                <w:color w:val="auto"/>
              </w:rPr>
            </w:pPr>
          </w:p>
        </w:tc>
        <w:tc>
          <w:tcPr>
            <w:tcW w:w="63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363,975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2,318,563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1,978,770</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which are both included within Accounts receivable, net of allowances, as well as amounts billed in excess of revenue earned on contracts (contract liabilities), which are included in Other current liabilities as of March 31, 2022 and December 31, 2021 on the Company’s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2021</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296,005</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197,620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214,774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2021 to March 31, 2022 is due to increases in cash received, net of revenue recognized, from contracts that commenced during the period, offset by revenue recognized of approximately $11.9 million that was included in this balance as of January 1, 2022, after which time it became earned and the balance was reduced.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2022, Centuri had 29 contracts with an original duration of more than one year. The aggregate amount of the transaction price allocated to the unsatisfied performance obligations of these contracts as of March 31, 2022 was $205.6 million. Centuri expects to recognize the remaining performance obligations over approximately the next three years;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4"/>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Pr>
          <w:p>
            <w:pPr>
              <w:spacing w:after="0"/>
              <w:rPr>
                <w:sz w:val="24"/>
                <w:szCs w:val="24"/>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March 31, 2022</w:t>
            </w:r>
          </w:p>
        </w:tc>
        <w:tc>
          <w:tcPr>
            <w:tcW w:w="300" w:type="dxa"/>
            <w:vAlign w:val="bottom"/>
          </w:tcPr>
          <w:p>
            <w:pPr>
              <w:spacing w:after="0"/>
              <w:rPr>
                <w:sz w:val="24"/>
                <w:szCs w:val="24"/>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2021</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292,770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296,262</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and Storage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derives revenue on the basis of services rendered, commodities delivered, or contracts settled and includes amounts yet to be billed to customers. MountainWest generates revenue and earnings from annual reservation payments under firm peaking storage and firm transportation contracts. Straight-fixed-variable rate designs are used to allow for recovery of</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fixed costs in demand or reservation charges, thereby reducing the earnings impact of volume changes on gas transportation and storage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MountainWest receives upfront payment for certain storage services it provides to customers, which are considered to be contract liabilities. These payments are amortized to revenue over the term of the contract.</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primary types of sales and service activities reported as revenue from contracts with customers are FERC-regulated gas transportation and storage service, and to a lesser extent, natural gas liquid (“NGL”) revenues consisting primarily of NGL processing services, and other revenue (consisting of natural gas sales, as well as services related to gathering and processing activities and miscellaneous service revenue).</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Transportation and storage contracts are primarily stand-ready service contracts that include fixed reservation and variable usage fees. Fixed fees are recognized ratably over the life of the contract as the stand-ready performance obligations are satisfied, while variable usage fees are recognized when MountainWest has a right to consideration from a customer in an amount that corresponds directly with the value to the customer of the performance obligation completed to date. Substantially all of MountainWest’s revenues are derived from performance obligations satisfied over time, rather than recognized at a single point in time. Payment for most sales and services varies by contract type, but is typically due within a month of billing.</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MountainWest typically receives or retains NGLs and natural gas from customers when providing natural gas processing, transportation, or storage services. MountainWest records the fair value of NGLs received as service revenue recognized over time and recognizes revenue from the subsequent sale of the NGLs to customers upon delivery. MountainWest typically retains some natural gas under certain transportation service arrangements, intended to facilitate performance of the service and allow for natural losses that occur. As the intent of the retention amount is to enable fulfillment of the contract rather than to provide compensation for services, the fuel allowance is not included in revenue.</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MountainWest Regulated operations revenues on the Condensed Consolidated Statements of Income of the Company include revenue from contracts with customers, which is shown below, disaggregated by categories of sales and service activities.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jc w:val="center"/>
              <w:ind w:right="17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8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March 31,</w:t>
            </w: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89"/>
              </w:rPr>
              <w:t>2022</w:t>
            </w:r>
          </w:p>
        </w:tc>
      </w:tr>
      <w:tr>
        <w:trPr>
          <w:trHeight w:val="223"/>
        </w:trPr>
        <w:tc>
          <w:tcPr>
            <w:tcW w:w="8820" w:type="dxa"/>
            <w:vAlign w:val="bottom"/>
          </w:tcPr>
          <w:p>
            <w:pPr>
              <w:ind w:left="20"/>
              <w:spacing w:after="0"/>
              <w:rPr>
                <w:sz w:val="20"/>
                <w:szCs w:val="20"/>
                <w:color w:val="auto"/>
              </w:rPr>
            </w:pPr>
            <w:r>
              <w:rPr>
                <w:rFonts w:ascii="Arial" w:cs="Arial" w:eastAsia="Arial" w:hAnsi="Arial"/>
                <w:sz w:val="18"/>
                <w:szCs w:val="18"/>
                <w:color w:val="auto"/>
              </w:rPr>
              <w:t>Regulated gas transportation and storage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61,977</w:t>
            </w:r>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revenues</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r>
      <w:tr>
        <w:trPr>
          <w:trHeight w:val="223"/>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 from contracts with customers</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66,949</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8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operations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MountainWest has certain multi-year contracts with fixed-price performance obligations that were unsatisfied (or partially unsatisfied) at the end of the reporting period, whereby revenue will be earned over time as MountainWest stands ready to provide service. These amounts are not material to the financial statements overall. MountainWest also has certain contract liabilities related to consideration received from customers with an obligation to transfer goods or services subsequent to the balance sheet date, amounts for which are generally consistent between December 31, 2021 and March 31, 2022 and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was no activity in the Equity Shelf Program during the quarter ended March 31, 2022. The following table provides the life-to-date activity under that program for the period ended March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158,180,343</w:t>
            </w:r>
          </w:p>
        </w:tc>
        <w:tc>
          <w:tcPr>
            <w:tcW w:w="0" w:type="dxa"/>
            <w:vAlign w:val="bottom"/>
          </w:tcPr>
          <w:p>
            <w:pPr>
              <w:spacing w:after="0"/>
              <w:rPr>
                <w:sz w:val="1"/>
                <w:szCs w:val="1"/>
                <w:color w:val="auto"/>
              </w:rPr>
            </w:pPr>
          </w:p>
        </w:tc>
      </w:tr>
      <w:tr>
        <w:trPr>
          <w:trHeight w:val="22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(1,581,803)</w:t>
            </w:r>
          </w:p>
        </w:tc>
        <w:tc>
          <w:tcPr>
            <w:tcW w:w="0" w:type="dxa"/>
            <w:vAlign w:val="bottom"/>
          </w:tcPr>
          <w:p>
            <w:pPr>
              <w:spacing w:after="0"/>
              <w:rPr>
                <w:sz w:val="1"/>
                <w:szCs w:val="1"/>
                <w:color w:val="auto"/>
              </w:rPr>
            </w:pP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156,598,540</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2,302,407</w:t>
            </w:r>
          </w:p>
        </w:tc>
        <w:tc>
          <w:tcPr>
            <w:tcW w:w="0" w:type="dxa"/>
            <w:vAlign w:val="bottom"/>
          </w:tcPr>
          <w:p>
            <w:pPr>
              <w:spacing w:after="0"/>
              <w:rPr>
                <w:sz w:val="1"/>
                <w:szCs w:val="1"/>
                <w:color w:val="auto"/>
              </w:rPr>
            </w:pPr>
          </w:p>
        </w:tc>
      </w:t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2022, the Company had approximately $341.8 million in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the repayment or repurchase of indebtedness (including amounts outstanding from time to time under the credit facilities, senior notes, term loan, or future credit facilities), and to provide for working capital.</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issued, through a separate prospectus supplement under the Universal Shelf, an aggregate of 6,325,000 shares of common stock, in an underwritten public offering price of $74.00 per share, resulting in proceeds to the Company of $452,253,312, net of an underwriters’ discount of $15,796,688. The Company used the net proceeds to repay a portion of the outstanding borrowings under the 364-day term loan credit agreement that was used to initially fund the MountainWest acquisition.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the Company issued approximately 65,000 shares of common stock through the Restricted Stock/Unit Plan and Omnibus Incentive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the three months ended March 31, 2022, the Company issued 37,000 shares of common stock through the Dividend Reinvestment and Stock Purchase Plan, raising approximately $2.5 million.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20"/>
                <w:szCs w:val="20"/>
                <w:color w:val="auto"/>
              </w:rPr>
            </w:pPr>
          </w:p>
        </w:tc>
        <w:tc>
          <w:tcPr>
            <w:tcW w:w="2200" w:type="dxa"/>
            <w:vAlign w:val="bottom"/>
            <w:gridSpan w:val="4"/>
          </w:tcPr>
          <w:p>
            <w:pPr>
              <w:jc w:val="right"/>
              <w:ind w:right="39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166,380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4.05%, due 2032</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Notes, 3.875%, due 2022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250,603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4.875%, due 2043</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307,538</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Notes, 3.8%, due 2046</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329,055</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3.7%,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325,191</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Notes, 4.15%, due 2049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342,030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2.2%, due 2030</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440,838</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Notes, 3.18%, due 2051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292,116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 Series, due 2026</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92,623</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Medium-term notes, 7.78% series, due 2022</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25,122</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7.92% series, due 2027</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31,555</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Medium-term notes, 6.76% series, due 2027</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2,955,409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2,387,541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Tax-exempt Series A, due 2028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2003 Series A, due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2008 Series A, due 2038</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2009 Series A, due 2039</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w w:val="94"/>
              </w:rPr>
              <w:t>Southwest Gas Corporation total long-term debt, less current maturities</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Southwest Gas Holdings, Inc.:</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Centuri secured term loan facility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1,014,275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1,000,329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1,117,138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1,117,841</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103,749</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MountainWest unsecured senior notes, 3.53%, due in 2028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102,078</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MountainWest unsecured senior notes, 4.875%, due in 2041</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199,926</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MountainWest unsecured senior notes, 3.91%, due in 2038</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147,760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147,735</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w w:val="92"/>
              </w:rPr>
              <w:t>Southwest Gas Holdings, Inc. total long-term debt, less current maturities</w:t>
            </w:r>
          </w:p>
        </w:tc>
        <w:tc>
          <w:tcPr>
            <w:tcW w:w="9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4,559,758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March 31, 2022, the applicable margin is 1.125% for loans bearing interest with reference to SOFR and 0.125% for loans bearing interest with reference to the alternative base rate. At March 31, 2022, no borrowings were outstanding on the long-term portion (including under the commercial paper program, discussed below) of the facility or on the short-term portion of this credit facility discussed below.</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March 31, 2022, as noted above, no borrowings were outstanding under the commercial paper program.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Southwest issued $600 million aggregate principal amount of 4.05% Senior Notes at a discount of 0.65%. The notes will mature in March 2032. Southwest used the net proceeds to redeem the $250 million 3.875% notes due in April 2022 and to repay outstanding amounts under its credit facility, with the remaining net proceeds used for general corporate purposes.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and term loan facility are based on either a “base rate” or LIBOR, plus an applicable margin in either case.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March 31, 2022 totaled $2.4 billion. At March 31, 2022, $1.122 billion in borrowings were outstanding under Centuri’s combined secured revolving credit and term loan facility. During March 2022, Centuri utilized proceeds of approximately $100 million in fixed-rate term loans secured by owned vehicles and equipment to repay a corresponding amount outstanding under the term loan facility.</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has two private placement unsecured senior notes and a public unsecured senior note, with a combined carrying value of $449.5 million and aggregate principal amount of $430 million. The carrying value is higher than the principal balance as amounts outstanding were recorded at their fair values as of the December 31, 2021 acquisition date of the MountainWest entities.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$200 million credit facility that is scheduled to expire in December 2026 and is primarily used for short-term financing needs. Interest rates for the credit facility are calculated at either SOFR or the “alternate base rate” plus in each case an applicable margin. There was $69 million outstanding under this credit facility as of March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indicated above, under Southwest’s $400 million credit facility, no short-term borrowings were outstanding at March 31, 2022.</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2022, Southwest amended its $250 million Term Loan, extending the maturity date to March 21, 2023 and replacing LIBOR interest rate benchmarks with SOFR interest rate benchmarks. The proceeds were originally used to fund the increased cost of natural gas supply during the month of February 2021, caused by extreme weather conditions in the central U.S. Management extended the maturity date to fund recent increases in gas purchase costs, as reflected in the PGA. Interest rates for the amended term loan are calculated at either SOFR or an “alternate base rate,” plus in each case an applicable margin that is determined based on Southwest’s senior unsecured long-term debt rating. The applicable margin ranges from 0.550% to 1.000% for loans bearing interest with reference to SOFR and 0.000% for loans bearing interest with reference to an alternate base rate. The amended agreement contains a financial covenant requiring Southwest to maintain a ratio of funded debt to total capitalization not to exceed 0.70 to 1.00 as of the end of any quarter of any fiscal year.</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November 2021, Southwest Gas Holdings, Inc. entered into a 364-day term loan credit agreement (the “Credit Agreement”). The Credit Agreement provided for a $1.6 billion delayed-draw term loan (the “Term Loan Facility”) to fund and to pay fees, commissions, and expenses related to the Term Loan Facility and the acquisition of the equity interests in MountainWest (refer to </w:t>
      </w:r>
      <w:r>
        <w:rPr>
          <w:rFonts w:ascii="Arial" w:cs="Arial" w:eastAsia="Arial" w:hAnsi="Arial"/>
          <w:sz w:val="17"/>
          <w:szCs w:val="17"/>
          <w:b w:val="1"/>
          <w:bCs w:val="1"/>
          <w:color w:val="auto"/>
        </w:rPr>
        <w:t>Note 8 - Business Acquisitions)</w:t>
      </w:r>
      <w:r>
        <w:rPr>
          <w:rFonts w:ascii="Arial" w:cs="Arial" w:eastAsia="Arial" w:hAnsi="Arial"/>
          <w:sz w:val="17"/>
          <w:szCs w:val="17"/>
          <w:color w:val="auto"/>
        </w:rPr>
        <w:t>. The Term Loan Facility was funded on December 31, 2021, and matures on December 30, 2022. Interest rates for the Term Loan Facility are based on either the “base rate” or LIBOR, plus an applicable margin. There was $1.16 billion outstanding under the Term Loan Facility as of March 31, 2022.</w:t>
      </w: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borrowings under the term loan facility to temporarily finance the acquisition of MountainWest created a negative working capital condition for the Company, which as of March 31, 2022 is approximately $584 million. As of May 10, 2022, the Company does not have sufficient liquidity or capital resources to repay the term loan facility without issuing new debt or equity. Management intends to issue long-term debt to permanently refinance the remaining portion of the term loan facility.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its refinancing plan is probable based on the Company’s ability to generate consistent cash flows, its current credit ratings, its relationships with its lenders and its prior history of successfully raising debt and equity necessary to fund its acquisitions and operations. As such, management has concluded that the Company can satisfy its obligations for at least the next twelve months from the issuance date of these financial statements.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ability to access capital markets or to otherwise obtain sufficient financing may be affected by future conditions. If the Company is unable to execute its plan to refinance debt obligations, the Company’s credit facility could be terminated, and amounts due under its revolver and other borrowing arrangements could be declared immediately due and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rates established at LIBOR are scheduled to be discontinued as a benchmark or reference rate after 2021, while other LIBOR-based rates are scheduled to be discontinued after June 2023. As of March 31, 2022, the Company had $2.17 billion in aggregate outstanding borrowings under Centuri’s combined facility and Southwest Gas Holdings, Inc.’s Term Loan Facility. Southwest had no outstanding borrowings or variable rate debt agreements with reference to LIBOR as of March 31, 2022. In order to mitigate the impact on the financial condition and results of operations of the Company, management will monitor developments and work with lenders to determine the appropriate replacement/alternative reference rate for variable rate debt. At this time the Company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color w:val="auto"/>
                <w:w w:val="93"/>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4"/>
              </w:rPr>
              <w:t>March 31,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4"/>
              </w:rPr>
              <w:t>March 31, 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6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6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6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7"/>
          </w:tcPr>
          <w:p>
            <w:pPr>
              <w:jc w:val="center"/>
              <w:spacing w:after="0"/>
              <w:rPr>
                <w:sz w:val="20"/>
                <w:szCs w:val="20"/>
                <w:color w:val="auto"/>
              </w:rPr>
            </w:pPr>
            <w:r>
              <w:rPr>
                <w:rFonts w:ascii="Arial" w:cs="Arial" w:eastAsia="Arial" w:hAnsi="Arial"/>
                <w:sz w:val="14"/>
                <w:szCs w:val="14"/>
                <w:color w:val="auto"/>
                <w:w w:val="93"/>
              </w:rPr>
              <w:t>Twelve Months Ended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color w:val="auto"/>
                <w:w w:val="93"/>
              </w:rPr>
              <w:t>Twelve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4"/>
              </w:rPr>
              <w:t>March 31, 2022</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4"/>
              </w:rPr>
              <w:t>March 31, 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18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32" w:lineRule="exact"/>
              <w:rPr>
                <w:sz w:val="20"/>
                <w:szCs w:val="20"/>
                <w:color w:val="auto"/>
              </w:rPr>
            </w:pPr>
            <w:r>
              <w:rPr>
                <w:rFonts w:ascii="Arial" w:cs="Arial" w:eastAsia="Arial" w:hAnsi="Arial"/>
                <w:sz w:val="14"/>
                <w:szCs w:val="14"/>
                <w:color w:val="auto"/>
                <w:w w:val="91"/>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80"/>
              <w:spacing w:after="0" w:line="132" w:lineRule="exact"/>
              <w:rPr>
                <w:sz w:val="20"/>
                <w:szCs w:val="20"/>
                <w:color w:val="auto"/>
              </w:rPr>
            </w:pPr>
            <w:r>
              <w:rPr>
                <w:rFonts w:ascii="Arial" w:cs="Arial" w:eastAsia="Arial" w:hAnsi="Arial"/>
                <w:sz w:val="14"/>
                <w:szCs w:val="14"/>
                <w:color w:val="auto"/>
                <w:w w:val="85"/>
              </w:rPr>
              <w:t>Tax</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85"/>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3"/>
              </w:rPr>
              <w:t>(Expense)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color w:val="auto"/>
                <w:w w:val="98"/>
              </w:rPr>
              <w:t>or Benefit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59,176</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(14,202)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44,974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(57,539)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13,809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(43,730)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42,153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(10,117)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32,036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39,521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(9,484)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30,037</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(85,887)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20,614</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(65,273)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6,255</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0" w:type="dxa"/>
            <w:vAlign w:val="bottom"/>
          </w:tcPr>
          <w:p>
            <w:pPr>
              <w:spacing w:after="0"/>
              <w:rPr>
                <w:sz w:val="1"/>
                <w:szCs w:val="1"/>
                <w:color w:val="auto"/>
              </w:rPr>
            </w:pPr>
          </w:p>
        </w:tc>
      </w:tr>
      <w:tr>
        <w:trPr>
          <w:trHeight w:val="179"/>
        </w:trPr>
        <w:tc>
          <w:tcPr>
            <w:tcW w:w="5200" w:type="dxa"/>
            <w:vAlign w:val="bottom"/>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(3,888)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(10,657)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(710)</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(4,408)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(7,703)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6,541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6,541</w:t>
            </w:r>
          </w:p>
        </w:tc>
        <w:tc>
          <w:tcPr>
            <w:tcW w:w="0" w:type="dxa"/>
            <w:vAlign w:val="bottom"/>
          </w:tcPr>
          <w:p>
            <w:pPr>
              <w:spacing w:after="0"/>
              <w:rPr>
                <w:sz w:val="1"/>
                <w:szCs w:val="1"/>
                <w:color w:val="auto"/>
              </w:rPr>
            </w:pPr>
          </w:p>
        </w:tc>
      </w:tr>
      <w:tr>
        <w:trPr>
          <w:trHeight w:val="186"/>
        </w:trPr>
        <w:tc>
          <w:tcPr>
            <w:tcW w:w="5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6,541</w:t>
            </w:r>
          </w:p>
        </w:tc>
        <w:tc>
          <w:tcPr>
            <w:tcW w:w="0" w:type="dxa"/>
            <w:vAlign w:val="bottom"/>
          </w:tcPr>
          <w:p>
            <w:pPr>
              <w:spacing w:after="0"/>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18,824</w:t>
            </w: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(4,408)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(1,162)</w:t>
            </w:r>
          </w:p>
        </w:tc>
        <w:tc>
          <w:tcPr>
            <w:tcW w:w="100" w:type="dxa"/>
            <w:vAlign w:val="bottom"/>
            <w:gridSpan w:val="2"/>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remaining balance of realized losses (net of tax) related to Southwest’s previously settled forward-starting interest rate swap (“FSIRS”), included in AOCI at March 31, 2022, was reclassified into interest expense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Defined Benefit Plans</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FSIRS</w:t>
            </w: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Foreign Currency Items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8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Before-Tax</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1"/>
                <w:szCs w:val="11"/>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w w:val="97"/>
              </w:rPr>
              <w:t>After-Tax</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(Expense)</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After-Tax</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(Expense)</w:t>
            </w:r>
          </w:p>
        </w:tc>
        <w:tc>
          <w:tcPr>
            <w:tcW w:w="7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After-Tax</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Benefit (4)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Tax</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5"/>
              </w:rPr>
              <w:t>Benefit (4)</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Tax</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6"/>
              </w:rPr>
              <w:t>Benefit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68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Beginning Balance AOCI</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(61,182)</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14,685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(46,761)</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2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Translation adjustments</w:t>
            </w: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54"/>
        </w:trPr>
        <w:tc>
          <w:tcPr>
            <w:tcW w:w="2680" w:type="dxa"/>
            <w:vAlign w:val="bottom"/>
            <w:shd w:val="clear" w:color="auto" w:fill="CCEEFF"/>
          </w:tcPr>
          <w:p>
            <w:pPr>
              <w:ind w:left="120"/>
              <w:spacing w:after="0" w:line="154" w:lineRule="exact"/>
              <w:rPr>
                <w:sz w:val="20"/>
                <w:szCs w:val="20"/>
                <w:color w:val="auto"/>
              </w:rPr>
            </w:pPr>
            <w:r>
              <w:rPr>
                <w:rFonts w:ascii="Arial" w:cs="Arial" w:eastAsia="Arial" w:hAnsi="Arial"/>
                <w:sz w:val="14"/>
                <w:szCs w:val="14"/>
                <w:color w:val="auto"/>
              </w:rPr>
              <w:t>Other comprehensive income (loss)</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before reclassifications</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4"/>
                <w:szCs w:val="14"/>
                <w:color w:val="auto"/>
              </w:rPr>
              <w:t>FSIRS amount reclassified from AOCI (1)</w:t>
            </w: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5"/>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(2)</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Arial" w:cs="Arial" w:eastAsia="Arial" w:hAnsi="Arial"/>
                <w:sz w:val="14"/>
                <w:szCs w:val="14"/>
                <w:color w:val="auto"/>
              </w:rPr>
              <w:t>Amortization of net actuarial loss (2)</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6,616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(3)</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0" w:type="dxa"/>
            <w:vAlign w:val="bottom"/>
          </w:tcPr>
          <w:p>
            <w:pPr>
              <w:spacing w:after="0"/>
              <w:rPr>
                <w:sz w:val="1"/>
                <w:szCs w:val="1"/>
                <w:color w:val="auto"/>
              </w:rPr>
            </w:pPr>
          </w:p>
        </w:tc>
      </w:tr>
      <w:tr>
        <w:trPr>
          <w:trHeight w:val="150"/>
        </w:trPr>
        <w:tc>
          <w:tcPr>
            <w:tcW w:w="2680" w:type="dxa"/>
            <w:vAlign w:val="bottom"/>
          </w:tcPr>
          <w:p>
            <w:pPr>
              <w:ind w:left="20"/>
              <w:spacing w:after="0" w:line="151" w:lineRule="exact"/>
              <w:rPr>
                <w:sz w:val="20"/>
                <w:szCs w:val="20"/>
                <w:color w:val="auto"/>
              </w:rPr>
            </w:pPr>
            <w:r>
              <w:rPr>
                <w:rFonts w:ascii="Arial" w:cs="Arial" w:eastAsia="Arial" w:hAnsi="Arial"/>
                <w:sz w:val="14"/>
                <w:szCs w:val="14"/>
                <w:color w:val="auto"/>
              </w:rPr>
              <w:t>Net current period other comprehensive</w:t>
            </w: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rPr>
                <w:sz w:val="20"/>
                <w:szCs w:val="20"/>
                <w:color w:val="auto"/>
              </w:rPr>
            </w:pPr>
            <w:r>
              <w:rPr>
                <w:rFonts w:ascii="Arial" w:cs="Arial" w:eastAsia="Arial" w:hAnsi="Arial"/>
                <w:sz w:val="14"/>
                <w:szCs w:val="14"/>
                <w:color w:val="auto"/>
              </w:rPr>
              <w:t>income (loss) attributable to Southwest</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Arial" w:cs="Arial" w:eastAsia="Arial" w:hAnsi="Arial"/>
                <w:sz w:val="14"/>
                <w:szCs w:val="14"/>
                <w:color w:val="auto"/>
              </w:rPr>
              <w:t>Gas Holdings, Inc.</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2,789</w:t>
            </w:r>
          </w:p>
        </w:tc>
        <w:tc>
          <w:tcPr>
            <w:tcW w:w="0" w:type="dxa"/>
            <w:vAlign w:val="bottom"/>
          </w:tcPr>
          <w:p>
            <w:pPr>
              <w:spacing w:after="0"/>
              <w:rPr>
                <w:sz w:val="1"/>
                <w:szCs w:val="1"/>
                <w:color w:val="auto"/>
              </w:rPr>
            </w:pPr>
          </w:p>
        </w:tc>
      </w:tr>
      <w:tr>
        <w:trPr>
          <w:trHeight w:val="213"/>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March 31, 2022</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color w:val="auto"/>
                <w:w w:val="93"/>
              </w:rPr>
              <w:t>Defined Benefit Plans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6"/>
              </w:rPr>
              <w:t>FSIRS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3"/>
              </w:rPr>
              <w:t>(Expense)</w:t>
            </w:r>
          </w:p>
        </w:tc>
        <w:tc>
          <w:tcPr>
            <w:tcW w:w="16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1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color w:val="auto"/>
              </w:rPr>
              <w:t>After-Tax</w:t>
            </w:r>
          </w:p>
        </w:tc>
        <w:tc>
          <w:tcPr>
            <w:tcW w:w="200" w:type="dxa"/>
            <w:vAlign w:val="bottom"/>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6"/>
        </w:trPr>
        <w:tc>
          <w:tcPr>
            <w:tcW w:w="3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Benefit (8)</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Benefit (8)</w:t>
            </w: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(61,182)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(46,497)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(46,913)</w:t>
            </w:r>
          </w:p>
        </w:tc>
        <w:tc>
          <w:tcPr>
            <w:tcW w:w="0" w:type="dxa"/>
            <w:vAlign w:val="bottom"/>
          </w:tcPr>
          <w:p>
            <w:pPr>
              <w:spacing w:after="0"/>
              <w:rPr>
                <w:sz w:val="1"/>
                <w:szCs w:val="1"/>
                <w:color w:val="auto"/>
              </w:rPr>
            </w:pPr>
          </w:p>
        </w:tc>
      </w:tr>
      <w:tr>
        <w:trPr>
          <w:trHeight w:val="179"/>
        </w:trPr>
        <w:tc>
          <w:tcPr>
            <w:tcW w:w="3700" w:type="dxa"/>
            <w:vAlign w:val="bottom"/>
          </w:tcPr>
          <w:p>
            <w:pPr>
              <w:ind w:left="20"/>
              <w:spacing w:after="0"/>
              <w:rPr>
                <w:sz w:val="20"/>
                <w:szCs w:val="20"/>
                <w:color w:val="auto"/>
              </w:rPr>
            </w:pPr>
            <w:r>
              <w:rPr>
                <w:rFonts w:ascii="Arial" w:cs="Arial" w:eastAsia="Arial" w:hAnsi="Arial"/>
                <w:sz w:val="14"/>
                <w:szCs w:val="14"/>
                <w:color w:val="auto"/>
              </w:rPr>
              <w:t>FSIRS amount reclassified from AOCI (5)</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Arial" w:cs="Arial" w:eastAsia="Arial" w:hAnsi="Arial"/>
                <w:sz w:val="14"/>
                <w:szCs w:val="14"/>
                <w:color w:val="auto"/>
              </w:rPr>
              <w:t>Amortization of net actuarial loss (6)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6,616</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Regulatory adjustment (7)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line="151" w:lineRule="exact"/>
              <w:rPr>
                <w:sz w:val="20"/>
                <w:szCs w:val="20"/>
                <w:color w:val="auto"/>
              </w:rPr>
            </w:pPr>
            <w:r>
              <w:rPr>
                <w:rFonts w:ascii="Arial" w:cs="Arial" w:eastAsia="Arial" w:hAnsi="Arial"/>
                <w:sz w:val="14"/>
                <w:szCs w:val="14"/>
                <w:color w:val="auto"/>
                <w:w w:val="99"/>
              </w:rPr>
              <w:t>Net current period other comprehensive income attributable</w:t>
            </w: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 Southwest Gas Corporation</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March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(45,371)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hanging="350"/>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2021</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(399,010)</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339,356</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(61,182)</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result of the MountainWest acquisition on December 31, 2021, management updated its segment reporting from the historical presentation of two reportable segments to three reportable segments, with MountainWest presented as the pipeline and storage segment. Southwest comprises the natural gas distribution segment and Centuri comprises the utility infrastructure services segment.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2022</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2021</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reconcile (below) to net income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Utility</w:t>
            </w:r>
          </w:p>
        </w:tc>
        <w:tc>
          <w:tcPr>
            <w:tcW w:w="200" w:type="dxa"/>
            <w:vAlign w:val="bottom"/>
          </w:tcPr>
          <w:p>
            <w:pPr>
              <w:spacing w:after="0"/>
              <w:rPr>
                <w:sz w:val="18"/>
                <w:szCs w:val="18"/>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8"/>
              </w:rPr>
              <w:t>Pipeline 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2"/>
              </w:rPr>
              <w:t>Infrastructure</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5"/>
                <w:szCs w:val="15"/>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Distribution</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Storage</w:t>
            </w: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676,539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495,544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66,993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1,239,076</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676,539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1,267,409</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521,932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339,772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861,704</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0" w:type="dxa"/>
            <w:vAlign w:val="bottom"/>
          </w:tcPr>
          <w:p>
            <w:pPr>
              <w:spacing w:after="0"/>
              <w:rPr>
                <w:sz w:val="1"/>
                <w:szCs w:val="1"/>
                <w:color w:val="auto"/>
              </w:rPr>
            </w:pPr>
          </w:p>
        </w:tc>
      </w:tr>
      <w:tr>
        <w:trPr>
          <w:trHeight w:val="223"/>
        </w:trPr>
        <w:tc>
          <w:tcPr>
            <w:tcW w:w="3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885,907</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w w:val="95"/>
              </w:rPr>
              <w:t>March 31, 2022</w:t>
            </w:r>
          </w:p>
        </w:tc>
        <w:tc>
          <w:tcPr>
            <w:tcW w:w="0" w:type="dxa"/>
            <w:vAlign w:val="bottom"/>
          </w:tcPr>
          <w:p>
            <w:pPr>
              <w:spacing w:after="0"/>
              <w:rPr>
                <w:sz w:val="1"/>
                <w:szCs w:val="1"/>
                <w:color w:val="auto"/>
              </w:rPr>
            </w:pPr>
          </w:p>
        </w:tc>
      </w:tr>
      <w:tr>
        <w:trPr>
          <w:trHeight w:val="87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rPr>
              <w:t>Utility</w:t>
            </w:r>
          </w:p>
        </w:tc>
        <w:tc>
          <w:tcPr>
            <w:tcW w:w="200" w:type="dxa"/>
            <w:vAlign w:val="bottom"/>
          </w:tcPr>
          <w:p>
            <w:pPr>
              <w:spacing w:after="0"/>
              <w:rPr>
                <w:sz w:val="24"/>
                <w:szCs w:val="24"/>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8"/>
              </w:rPr>
              <w:t>Pipeline and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2"/>
              </w:rPr>
              <w:t>Infrastructure</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5"/>
                <w:szCs w:val="15"/>
                <w:color w:val="auto"/>
              </w:rPr>
            </w:pPr>
          </w:p>
        </w:tc>
        <w:tc>
          <w:tcPr>
            <w:tcW w:w="128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52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Distribution</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Storage</w:t>
            </w: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Twelve Months Ended March 31, 2022</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gridSpan w:val="4"/>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1,676,397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2,212,087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66,993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3,955,477</w:t>
            </w:r>
          </w:p>
        </w:tc>
        <w:tc>
          <w:tcPr>
            <w:tcW w:w="0" w:type="dxa"/>
            <w:vAlign w:val="bottom"/>
          </w:tcPr>
          <w:p>
            <w:pPr>
              <w:spacing w:after="0"/>
              <w:rPr>
                <w:sz w:val="1"/>
                <w:szCs w:val="1"/>
                <w:color w:val="auto"/>
              </w:rPr>
            </w:pPr>
          </w:p>
        </w:tc>
      </w:tr>
      <w:tr>
        <w:trPr>
          <w:trHeight w:val="229"/>
        </w:trPr>
        <w:tc>
          <w:tcPr>
            <w:tcW w:w="3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6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1,676,397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2,318,563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66,993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4,061,953</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gridSpan w:val="4"/>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Twelve Months Ended March 31, 2021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4"/>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1,369,690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1,852,910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3,222,600</w:t>
            </w:r>
          </w:p>
        </w:tc>
        <w:tc>
          <w:tcPr>
            <w:tcW w:w="0" w:type="dxa"/>
            <w:vAlign w:val="bottom"/>
          </w:tcPr>
          <w:p>
            <w:pPr>
              <w:spacing w:after="0"/>
              <w:rPr>
                <w:sz w:val="1"/>
                <w:szCs w:val="1"/>
                <w:color w:val="auto"/>
              </w:rPr>
            </w:pPr>
          </w:p>
        </w:tc>
      </w:tr>
      <w:tr>
        <w:trPr>
          <w:trHeight w:val="230"/>
        </w:trPr>
        <w:tc>
          <w:tcPr>
            <w:tcW w:w="35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60" w:type="dxa"/>
            <w:vAlign w:val="bottom"/>
            <w:gridSpan w:val="3"/>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1,369,690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1,978,770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3,348,460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277,075</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corporate and administrative activities for Southwest Gas Holdings, Inc. in the three- and twelve-month periods ended March 31, 2022 include expenses incurred related to shareholder activism, in addition to expenses and financing costs for the MountainWest acquisition, as well as expenses for services performed following December 31, 2021, but related to the acquisition.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Acquisitions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through its subsidiaries, led principally by Centuri, completed the acquisition of Drum, including its primary subsidiary, Riggs Distler. In November 2021, certain members of Riggs Distler management acquired a 1.42% interest in Drum. See the Company’s 2021 Form 10-K for additional information about this acquisition.</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the transaction were recorded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customer relationships, trade name, and backlog. Certain payments were estimated as of the acquisition date and were adjusted when amounts were finalized. Further adjustments may still occur. Due to the estimations made, the final purchase accounting has not yet been completed and further refinements may occur, including potential changes to income taxes.</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preliminary estimated fair values of assets acquired and liabilities assumed as of August 27, 2021, and as updated through March 31, 2022,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180" w:type="dxa"/>
            <w:vAlign w:val="bottom"/>
          </w:tcPr>
          <w:p>
            <w:pPr>
              <w:spacing w:after="0"/>
              <w:rPr>
                <w:sz w:val="17"/>
                <w:szCs w:val="17"/>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8"/>
                <w:szCs w:val="18"/>
                <w:color w:val="auto"/>
              </w:rPr>
              <w:t>Acquisition Date</w:t>
            </w:r>
          </w:p>
        </w:tc>
        <w:tc>
          <w:tcPr>
            <w:tcW w:w="14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Measurement Period</w:t>
            </w:r>
          </w:p>
        </w:tc>
        <w:tc>
          <w:tcPr>
            <w:tcW w:w="140" w:type="dxa"/>
            <w:vAlign w:val="bottom"/>
          </w:tcPr>
          <w:p>
            <w:pPr>
              <w:spacing w:after="0"/>
              <w:rPr>
                <w:sz w:val="17"/>
                <w:szCs w:val="17"/>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w w:val="92"/>
              </w:rPr>
              <w:t>Revised Acquisition</w:t>
            </w:r>
          </w:p>
        </w:tc>
        <w:tc>
          <w:tcPr>
            <w:tcW w:w="0" w:type="dxa"/>
            <w:vAlign w:val="bottom"/>
          </w:tcPr>
          <w:p>
            <w:pPr>
              <w:spacing w:after="0"/>
              <w:rPr>
                <w:sz w:val="1"/>
                <w:szCs w:val="1"/>
                <w:color w:val="auto"/>
              </w:rPr>
            </w:pPr>
          </w:p>
        </w:tc>
      </w:tr>
      <w:tr>
        <w:trPr>
          <w:trHeight w:val="229"/>
        </w:trPr>
        <w:tc>
          <w:tcPr>
            <w:tcW w:w="5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Adjustments</w:t>
            </w:r>
          </w:p>
        </w:tc>
        <w:tc>
          <w:tcPr>
            <w:tcW w:w="140" w:type="dxa"/>
            <w:vAlign w:val="bottom"/>
          </w:tcPr>
          <w:p>
            <w:pPr>
              <w:spacing w:after="0"/>
              <w:rPr>
                <w:sz w:val="19"/>
                <w:szCs w:val="19"/>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Income taxes receivable,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under operating leases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 and noncontrolling interest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incurred and expensed acquisition costs of $14 million, included in Utility infrastructure services expenses in the Company’s Condensed Consolidated Statement of Income for the twelve months ended March 31, 2022. No acquisition-related costs were incurred during the three months ended March 31, 2022, and no significant impacts to earnings resulted from the measurement-period adjustments reflected above.</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Southwest Gas Holdings, Inc. completed the acquisition of Dominion Energy Questar Pipeline, LLC and related entities (subsequently rebranded as “MountainWest”), which resulted in MountainWest becoming a wholly owned subsidiary of the Company. See the Company’s 2021 Form 10-K for additional information about this acquisition.</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Assets acquired and liabilities assumed in the transaction were recorded at their acquisition date fair values. Transaction costs associated with the acquisition were expensed as incurred. The majority of the operations acquired are subject to FERC rate-regulation and therefore are accounted for pursuant to ASC 980, Regulated Operations. The fair values of MountainWest’s assets and liabilities, subject to rate making and cost recovery provisions, provide revenues derived from costs of service, including a return on investment of assets and liabilities included in rate base. Accordingly, the carrying values of such assets and liabilities were deemed to approximate their fair values. The fair value of the MountainWest assets and liabilities assumed that are not subject to the rate-regulation provisions discussed above include a 50% equity method investment, non-regulated property, plant and equipment, and long-term debt assumed; related fair values were determined using a market approach, income approach, or cost approach, as appropriate. Amounts related to post-closing payments were estimated as of the acquisition date and adjusted when determined during the period ended March 31, 2022. No other measurement period adjustments occurred during the period. However, the final purchase accounting has not yet been completed and further refinements may occur, including finalization of income tax-related amounts.</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preliminary estimated fair values of assets acquired and liabilities assumed as of December 31, 2021, and as updated through March 31, 2022,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(Millions of dollars)</w:t>
            </w:r>
          </w:p>
        </w:tc>
        <w:tc>
          <w:tcPr>
            <w:tcW w:w="180" w:type="dxa"/>
            <w:vAlign w:val="bottom"/>
          </w:tcPr>
          <w:p>
            <w:pPr>
              <w:spacing w:after="0"/>
              <w:rPr>
                <w:sz w:val="17"/>
                <w:szCs w:val="17"/>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8"/>
                <w:szCs w:val="18"/>
                <w:color w:val="auto"/>
              </w:rPr>
              <w:t>Acquisition Date</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Measurement Period</w:t>
            </w:r>
          </w:p>
        </w:tc>
        <w:tc>
          <w:tcPr>
            <w:tcW w:w="120" w:type="dxa"/>
            <w:vAlign w:val="bottom"/>
          </w:tcPr>
          <w:p>
            <w:pPr>
              <w:spacing w:after="0"/>
              <w:rPr>
                <w:sz w:val="17"/>
                <w:szCs w:val="17"/>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w w:val="91"/>
              </w:rPr>
              <w:t>Revised Acquisition</w:t>
            </w:r>
          </w:p>
        </w:tc>
        <w:tc>
          <w:tcPr>
            <w:tcW w:w="0" w:type="dxa"/>
            <w:vAlign w:val="bottom"/>
          </w:tcPr>
          <w:p>
            <w:pPr>
              <w:spacing w:after="0"/>
              <w:rPr>
                <w:sz w:val="1"/>
                <w:szCs w:val="1"/>
                <w:color w:val="auto"/>
              </w:rPr>
            </w:pPr>
          </w:p>
        </w:tc>
      </w:tr>
      <w:tr>
        <w:trPr>
          <w:trHeight w:val="229"/>
        </w:trPr>
        <w:tc>
          <w:tcPr>
            <w:tcW w:w="5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19"/>
                <w:szCs w:val="19"/>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Gas plant,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investments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2,195.9</w:t>
            </w:r>
          </w:p>
        </w:tc>
        <w:tc>
          <w:tcPr>
            <w:tcW w:w="0" w:type="dxa"/>
            <w:vAlign w:val="bottom"/>
          </w:tcPr>
          <w:p>
            <w:pPr>
              <w:spacing w:after="0"/>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Deferred purchased gas costs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Accrued general taxes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removal costs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Other deferred credits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incurred and expensed acquisition costs of $18.5 million for the twelve months ended March 31, 2022, which are included in Operations and maintenance expense on the Company’s Condensed Consolidated Statement of Income. No acquisition-related costs were incurred during the three months ended March 31, 2022 and no impacts to earnings resulted from the measurement-period adjustments reflected above. The Company has a transition services agreement with the sellers for a period of up to twelve months from the acquisition date of December 31, 2021, to continue certain corporate and administrative functions for the entities acquired while MountainWest is established as an independent enterprise.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6, 2022, the Company entered into a Cooperation Agreement (the “Cooperation Agreement”) with Carl Icahn and the persons and entities listed therein (collectively, the “Icahn Group”). In accordance with the Cooperation Agreement, John P. Hester, the President and Chief Executive Officer of the Company and Southwest and a member of the Board and the Southwest Board (the “SWG Board” and, together with the Board, the “Southwest Boards”), retired as President and Chief Executive Officer of the Company and resigned from the Southwest Boards, effective as of May 6, 2022. Karen S. Haller, the Company’s former Executive Vice President / Chief Legal &amp; Administrative Officer, was appointed as President and Chief Executive Officer of Southwest, effective as of May 6, 2022, and as a member of the Board, effective immediately following the completion of the Company’s 2022 annual meeting of stockholders (the “2022 Annual Meeting”).</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pursuant to the Cooperation Agreement, the Company has agreed to appoint three new directors, Andrew W. Evans, H. Russell Frisby, Jr. and Henry P. Linginfelter (collectively, the “Icahn Designees”), to the Board, effective immediately following the 2022 Annual Meeting, and, unless within 90 days of the date of the Cooperation Agreement, the Board has determined to pursue a spin-off of Centuri to the exclusion of other strategic alternatives, the Icahn Group has the ability to designate a fourth director, Andrew J. Teno, unless Mr. Teno has previously replaced one of the other Icahn Designees, in which case the fourth director will be such Icahn Designee. The Icahn Group’s ability to designate directors to the Board is subject to certain ownership thresholds following the closing of the previously announced tender offer by the Icahn Group to purchase any and all shares of common stock of the Company (the “Offer”).</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Cooperation Agreement requires the Board to expand the Strategic Transactions Committee from three directors to six directors, comprised of the current members of the Strategic Transactions Committee and the three Icahn Designees. For so long as the Icahn Group has the ability to designate at least three members of the Board, three of such designees shall be included on the Strategic Transactions Committee. If the Icahn Group may only designate two members of the Board, then both of such designees shall serve on the Strategic Transactions Committee.</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the Cooperation Agreement provides that the Icahn Group will amend the Offer, to (i) provide that the number of shares of common stock to be purchased in the Offer shall not exceed that number of shares of common stock which, together with the shares of Common Stock beneficially owned by the Icahn Group, would exceed 24.9% of the then outstanding shares of Common Stock, (ii) extend the expiration date of the Offer (the “Expiration Date”) to May 19, 2022 and that the Expiration Date shall not be further extended, and (iii) to waive any conditions to the Offer that have not been satisfied and consummate the Offer and pay for the tendered shares of Common Stock as promptly as practicable after the Expiration Date.</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Cooperation Agreement, the Icahn Group caused the parties to the action filed by Icahn Partners LP and Icahn Partners Master Fund LP in the Court of Chancery of the State of Delaware on November 29, 2021 (Civil Action No. 2021-1031-KSJM), naming as defendants the Company and certain directors and officers of the Company, to file a stipulation of dismissal with prejudice, which was entered by the court on May 9, 2022</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entry into the Cooperation Agreement, the Company entered into Amendment No. 1 to Rights Agreement (the “Rights Agreement Amendment”) by and between the Company and Equiniti Trust Company. The Rights Agreement Amendment amends the Rights Agreement, dated October 10, 2021, to increase the beneficial ownership percentage included in the definition of “Acquiring Person” from 10% to 24.9% and to delete the concept of a “Passive Institutional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distribution” segment), all of the shares of common stock of Centuri Group, Inc. (“Centuri,” or the “utility infrastructure services” segment), as well as all of the membership interests in the newly formed MountainWest Pipelines Holding Company (“MountainWest,” or the “pipeline and storage” segment). Southwest Gas Holdings, Inc. and its subsidiaries are collectively referred to as the “Company.”</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completed the acquisition of Dominion Energy Questar Pipeline, LLC (“Questar Pipelines”) and related entities in December 2021. Following the acquisition, the Company formed MountainWest which owns all of the membership interests of Questar Pipelines. In April 2022, the Company completed a general rebranding of the Questar Pipelines entities under the MountainWest name. The acquired operations further diversify the Company’s business including an essential Rocky Mountain energy hub with over 2,000 miles of highly contracted, FERC-regulated interstate natural gas pipelines providing transportation and underground storage services in Utah, Wyoming, and Colorado.</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2021, our Board of Directors (the “Board”) authorized and declared a dividend of one preferred stock purchase right for each share of common stock outstanding to stockholders of record at the close of business on October 21, 2021.</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2022, the Company announced that the Board had determined to separate Centuri from the Company and authorized management to complete the separation within nine to twelve months from the date of such announcement. Management evaluated various alternatives to determine the optimal structure to maximize stockholder value and subsequently announced the separation structure is expected to be a tax-free spin-off in which stockholders of the Company would receive a prorated dividend of Centuri shares in association with the completion. Then, in April 2022, as a result of interest in the Company well in excess of a tender offer by an activist stockholder (Carl Icahn) to other stockholders, the Board authorized the review of a full range of strategic alternatives intended to maximize stockholder value. As part of this process, a strategic review committee of the Board, consisting entirely of independent directors, will evaluate a sale of the Company, as well as a range of alternatives, including, but not limited to, a separate sale of its business units and/or pursuing the spin-off of Centuri. There can be no assurances that the Company will be able to successfully separate Centuri on the anticipated timeline or at all, nor assurances that other strategic alternatives considered will be executed or maximize value as intended. See “Item 1A - Risk Factors” included elsewhere in this Quarterly Report on Form 10-Q.</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in Note 9 - Subsequent Events, on May 6, 2022, the Company entered into a Cooperation Agreement with Carl C. Icahn and the persons and entities named therein (the “Icahn Group”). In accordance with the Cooperation Agreement, among other things, (i) Karen S. Haller has replaced John C. Hester as the Company’s President and Chief Executive Officer, (ii) the Icahn Group has certain board designation rights, (iii) the Icahn Group has agreed to terminate its previously announced tender offer, and (iv) the Icahn Group caused its affiliates to file a stipulation of dismissal with prejudice dismissing the action filed by them on November 29, 2021, which was entered by the Delaware Court of Chancery on May 9, 2022. See </w:t>
      </w:r>
      <w:r>
        <w:rPr>
          <w:rFonts w:ascii="Arial" w:cs="Arial" w:eastAsia="Arial" w:hAnsi="Arial"/>
          <w:sz w:val="18"/>
          <w:szCs w:val="18"/>
          <w:b w:val="1"/>
          <w:bCs w:val="1"/>
          <w:color w:val="auto"/>
        </w:rPr>
        <w:t>Note 9 - Subsequent Events</w:t>
      </w:r>
      <w:r>
        <w:rPr>
          <w:rFonts w:ascii="Arial" w:cs="Arial" w:eastAsia="Arial" w:hAnsi="Arial"/>
          <w:sz w:val="18"/>
          <w:szCs w:val="18"/>
          <w:color w:val="auto"/>
        </w:rPr>
        <w:t xml:space="preserve"> for more information.</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In January 2022, Southwest completed the purchase of the Graham County Utilities, Inc. (“GCU”) gas distribution system, located in Graham County, Arizona.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 Through its subsidiaries, Southwest operates two federally regulated interstate pipelines serving portions of the foregoing northern territories of Nevada and California.</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March 31, 2022, Southwest had 2,171,000 residential, commercial, industrial, and other natural gas customers, of which 1,161,000 customers were located in Arizona, 806,000 in Nevada, and 204,000 in California. In January 2022, approximately 5,300 customers became part of Southwest’s gas distribution operations that were formerly served by GCU. </w:t>
      </w:r>
      <w:r>
        <w:rPr>
          <w:rFonts w:ascii="Arial" w:cs="Arial" w:eastAsia="Arial" w:hAnsi="Arial"/>
          <w:sz w:val="18"/>
          <w:szCs w:val="18"/>
          <w:color w:val="212529"/>
        </w:rPr>
        <w:t>Over the past twelve months, first-time meter sets were approximately 38,000, compared to</w:t>
      </w:r>
      <w:r>
        <w:rPr>
          <w:rFonts w:ascii="Arial" w:cs="Arial" w:eastAsia="Arial" w:hAnsi="Arial"/>
          <w:sz w:val="18"/>
          <w:szCs w:val="18"/>
          <w:color w:val="auto"/>
        </w:rPr>
        <w:t xml:space="preserve"> </w:t>
      </w:r>
      <w:r>
        <w:rPr>
          <w:rFonts w:ascii="Arial" w:cs="Arial" w:eastAsia="Arial" w:hAnsi="Arial"/>
          <w:sz w:val="18"/>
          <w:szCs w:val="18"/>
          <w:color w:val="212529"/>
        </w:rPr>
        <w:t xml:space="preserve">37,000 for the twelve months ended March 2021. </w:t>
      </w:r>
      <w:r>
        <w:rPr>
          <w:rFonts w:ascii="Arial" w:cs="Arial" w:eastAsia="Arial" w:hAnsi="Arial"/>
          <w:sz w:val="18"/>
          <w:szCs w:val="18"/>
          <w:color w:val="000000"/>
        </w:rPr>
        <w:t>Residential and small commercial customers represented over 99% of the total customer base. During the</w:t>
      </w:r>
      <w:r>
        <w:rPr>
          <w:rFonts w:ascii="Arial" w:cs="Arial" w:eastAsia="Arial" w:hAnsi="Arial"/>
          <w:sz w:val="18"/>
          <w:szCs w:val="18"/>
          <w:color w:val="212529"/>
        </w:rPr>
        <w:t xml:space="preserve"> </w:t>
      </w:r>
      <w:r>
        <w:rPr>
          <w:rFonts w:ascii="Arial" w:cs="Arial" w:eastAsia="Arial" w:hAnsi="Arial"/>
          <w:sz w:val="18"/>
          <w:szCs w:val="18"/>
          <w:color w:val="000000"/>
        </w:rPr>
        <w:t>twelve months ended March 31, 2022, 54% of operating margin (Regulated operations revenues less the net cost of gas sold) was earned in Arizona, 34% in Nevada, and 12% in California. During this same period, Southwest earned 85% of its operating margin from residential and small commercial customers, 4% from other sales customers, and 11% from transportation customers. These patterns are expected to remain materially consistent for the foreseeable future.</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below for a reconciliation of gross margin to operating margin, and refer to </w:t>
      </w:r>
      <w:r>
        <w:rPr>
          <w:rFonts w:ascii="Arial" w:cs="Arial" w:eastAsia="Arial" w:hAnsi="Arial"/>
          <w:sz w:val="17"/>
          <w:szCs w:val="17"/>
          <w:i w:val="1"/>
          <w:iCs w:val="1"/>
          <w:color w:val="auto"/>
        </w:rPr>
        <w:t>Rates and Regulatory Proceedings</w:t>
      </w:r>
      <w:r>
        <w:rPr>
          <w:rFonts w:ascii="Arial" w:cs="Arial" w:eastAsia="Arial" w:hAnsi="Arial"/>
          <w:sz w:val="17"/>
          <w:szCs w:val="17"/>
          <w:color w:val="auto"/>
        </w:rPr>
        <w:t xml:space="preserve"> in this Management’s Discussion and Analysis, for details of various rate proceedings.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70 primary locations across 44 states and provinces in the U.S. and Canada. Centuri operates in the U.S., primarily as NPL, Neuco, Linetec, and Riggs Distler, and in Canada, primarily as NPL Canada.</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MountainWest is an interstate natural gas transmission pipeline company that provides transportation and underground storage services to customers in Utah, Wyoming, and Colorado. A substantial portion of its revenue results from reservation charges, but variable rates are also included as part of its primarily rate-regulated rate structures.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While the novel coronavirus (“COVID-19”) pandemic has been ongoing since the first quarter of 2020, the Company continues to facilitate administration, communication, and all critical functions. To date, there has not been a significant disruption in the Company’s supply chains, transportation network, or ability to serve customers. The extent to which COVID-19 may adversely impact the Company’s business depends on future developments; however, management does not currently expect impacts to be material to the Company’s liquidity or financial position overall.</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MD&amp;A, included in the 2021 Annual Report to Stockholders, which is incorporated by reference into the 2021 Form 10-K.</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Period Ended March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19"/>
                <w:szCs w:val="19"/>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r>
      <w:tr>
        <w:trPr>
          <w:trHeight w:val="223"/>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r>
      <w:tr>
        <w:trPr>
          <w:trHeight w:val="190"/>
        </w:trPr>
        <w:tc>
          <w:tcPr>
            <w:tcW w:w="20" w:type="dxa"/>
            <w:vAlign w:val="bottom"/>
            <w:shd w:val="clear" w:color="auto" w:fill="CCEEFF"/>
          </w:tcPr>
          <w:p>
            <w:pPr>
              <w:spacing w:after="0"/>
              <w:rPr>
                <w:sz w:val="16"/>
                <w:szCs w:val="16"/>
                <w:color w:val="auto"/>
              </w:rPr>
            </w:pPr>
          </w:p>
        </w:tc>
        <w:tc>
          <w:tcPr>
            <w:tcW w:w="63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3"/>
              </w:rPr>
              <w:t>Natural gas distribution</w:t>
            </w:r>
          </w:p>
        </w:tc>
        <w:tc>
          <w:tcPr>
            <w:tcW w:w="44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111,795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118,715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180,215</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194,234</w:t>
            </w: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84,207</w:t>
            </w:r>
          </w:p>
        </w:tc>
      </w:tr>
      <w:tr>
        <w:trPr>
          <w:trHeight w:val="229"/>
        </w:trPr>
        <w:tc>
          <w:tcPr>
            <w:tcW w:w="20" w:type="dxa"/>
            <w:vAlign w:val="bottom"/>
          </w:tcPr>
          <w:p>
            <w:pPr>
              <w:spacing w:after="0"/>
              <w:rPr>
                <w:sz w:val="19"/>
                <w:szCs w:val="19"/>
                <w:color w:val="auto"/>
              </w:rPr>
            </w:pPr>
          </w:p>
        </w:tc>
        <w:tc>
          <w:tcPr>
            <w:tcW w:w="6360" w:type="dxa"/>
            <w:vAlign w:val="bottom"/>
            <w:gridSpan w:val="4"/>
          </w:tcPr>
          <w:p>
            <w:pPr>
              <w:ind w:left="200"/>
              <w:spacing w:after="0"/>
              <w:rPr>
                <w:sz w:val="20"/>
                <w:szCs w:val="20"/>
                <w:color w:val="auto"/>
              </w:rPr>
            </w:pPr>
            <w:r>
              <w:rPr>
                <w:rFonts w:ascii="Arial" w:cs="Arial" w:eastAsia="Arial" w:hAnsi="Arial"/>
                <w:sz w:val="18"/>
                <w:szCs w:val="18"/>
                <w:color w:val="auto"/>
              </w:rPr>
              <w:t>Pipeline and storage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r>
      <w:tr>
        <w:trPr>
          <w:trHeight w:val="223"/>
        </w:trPr>
        <w:tc>
          <w:tcPr>
            <w:tcW w:w="20" w:type="dxa"/>
            <w:vAlign w:val="bottom"/>
          </w:tcPr>
          <w:p>
            <w:pPr>
              <w:spacing w:after="0"/>
              <w:rPr>
                <w:sz w:val="19"/>
                <w:szCs w:val="19"/>
                <w:color w:val="auto"/>
              </w:rPr>
            </w:pPr>
          </w:p>
        </w:tc>
        <w:tc>
          <w:tcPr>
            <w:tcW w:w="63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60" w:type="dxa"/>
            <w:vAlign w:val="bottom"/>
            <w:gridSpan w:val="4"/>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Basic earnings per share</w:t>
            </w:r>
          </w:p>
        </w:tc>
        <w:tc>
          <w:tcPr>
            <w:tcW w:w="4600" w:type="dxa"/>
            <w:vAlign w:val="bottom"/>
            <w:tcBorders>
              <w:bottom w:val="single" w:sz="8" w:color="CCEEFF"/>
            </w:tcBorders>
            <w:gridSpan w:val="3"/>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36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60" w:type="dxa"/>
            <w:vAlign w:val="bottom"/>
            <w:gridSpan w:val="4"/>
          </w:tcPr>
          <w:p>
            <w:pPr>
              <w:spacing w:after="0" w:line="189" w:lineRule="exact"/>
              <w:rPr>
                <w:sz w:val="20"/>
                <w:szCs w:val="20"/>
                <w:color w:val="auto"/>
              </w:rPr>
            </w:pPr>
            <w:r>
              <w:rPr>
                <w:rFonts w:ascii="Arial" w:cs="Arial" w:eastAsia="Arial" w:hAnsi="Arial"/>
                <w:sz w:val="18"/>
                <w:szCs w:val="18"/>
                <w:color w:val="auto"/>
              </w:rPr>
              <w:t>Natural Gas Distribution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of Gross Margin to Operating Margin (Non-GAAP measure)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360" w:type="dxa"/>
            <w:vAlign w:val="bottom"/>
            <w:gridSpan w:val="4"/>
          </w:tcPr>
          <w:p>
            <w:pPr>
              <w:spacing w:after="0"/>
              <w:rPr>
                <w:sz w:val="20"/>
                <w:szCs w:val="20"/>
                <w:color w:val="auto"/>
              </w:rPr>
            </w:pPr>
            <w:r>
              <w:rPr>
                <w:rFonts w:ascii="Arial" w:cs="Arial" w:eastAsia="Arial" w:hAnsi="Arial"/>
                <w:sz w:val="18"/>
                <w:szCs w:val="18"/>
                <w:color w:val="auto"/>
              </w:rPr>
              <w:t>Utility Gross Margin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233,882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233,156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571,051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546,171</w:t>
            </w: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60" w:type="dxa"/>
            <w:vAlign w:val="bottom"/>
            <w:gridSpan w:val="4"/>
          </w:tcPr>
          <w:p>
            <w:pPr>
              <w:ind w:left="200"/>
              <w:spacing w:after="0"/>
              <w:rPr>
                <w:sz w:val="20"/>
                <w:szCs w:val="20"/>
                <w:color w:val="auto"/>
              </w:rPr>
            </w:pPr>
            <w:r>
              <w:rPr>
                <w:rFonts w:ascii="Arial" w:cs="Arial" w:eastAsia="Arial" w:hAnsi="Arial"/>
                <w:sz w:val="18"/>
                <w:szCs w:val="18"/>
                <w:color w:val="auto"/>
              </w:rPr>
              <w:t>Operations and maintenance (excluding Admin. &amp; General)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246,214</w:t>
            </w: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239,268</w:t>
            </w:r>
          </w:p>
        </w:tc>
      </w:tr>
      <w:tr>
        <w:trPr>
          <w:trHeight w:val="223"/>
        </w:trPr>
        <w:tc>
          <w:tcPr>
            <w:tcW w:w="20" w:type="dxa"/>
            <w:vAlign w:val="bottom"/>
          </w:tcPr>
          <w:p>
            <w:pPr>
              <w:spacing w:after="0"/>
              <w:rPr>
                <w:sz w:val="19"/>
                <w:szCs w:val="19"/>
                <w:color w:val="auto"/>
              </w:rPr>
            </w:pPr>
          </w:p>
        </w:tc>
        <w:tc>
          <w:tcPr>
            <w:tcW w:w="636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1,031,653</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Quarter 2022 Overview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the Board’s evaluation of strategic alternatives, including a potential sale of the Company, sale of business segments, and/or spin-off of Centuri</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6,325,000 shares of common stock, raising $452 million in net proceeds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and administrative expenses include impact of interest on $1.6 billion term loan and activism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Natural gas distribution highlights include the following: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38,000 first-time meters sets occurred over the past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increased $14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$600 million in 4.05% 10-year Notes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Nevada general rate case finalized with rate relief effective April 2022</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Record revenues of $524 million in the first quarter of 2022, an increase of $160 million, or 44%, compared to the first quarter of 2021</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impacted by inflationary pressures and incremental interest and amortization associated with Riggs Distler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Pipeline and storage highlights include the following:</w:t>
      </w:r>
    </w:p>
    <w:p>
      <w:pPr>
        <w:spacing w:after="0" w:line="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Recognized revenue of $67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Contributed $17 million to consolidated net income, which is net of $8.7 million of one-time stand-up and integration costs</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521,932</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156,021</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119,636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106,135</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68,698</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170,391</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140,721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148,775</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30,060</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111,795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118,715</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distribution operations decreased $6.9 million between the first quarters of 2022 and 2021. The decline was primarily due to an increase in Operations and maintenance expense, higher Depreciation and amortization, and an increase in Net interest deductions, partially offset by an increase in Operating margin.</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margin increased $14 million quarter over quarter. Approximately $7 million of incremental margin was attributable to customer growth including 38,000 first-time meter sets during the last twelve months. Rate relief in California added $1 million of margin. Also contributing to the increase were customer late fees that were $2.8 million greater in the current quarter due to the lifting of the moratorium in 2021 on such fees in Arizona, Nevada, and California. The moratorium was previously in place beginning in March 2020 to provide temporary relief to customers during the COVID-19 pandemic. Amounts collected from and returned to customers associated with regulatory account balances and programs, including $6.2 million in incremental (previously unrecovered) revenue associated with Vintage Steel Pipe (“VSP”) and Customer-Owned Yard Line (“COYL”) programs in Arizona, also contributed to the improvement. Refer to Rates and Regulatory Proceedings below. Other differences in miscellaneous revenue and margin from customers outside the decoupling mechanisms contributed to the remaining net variance between quarters.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Operations and maintenance expense increased $13.5 million between quarters. In addition to general inflationary impacts, other increases occurred in the service-related component of employee pension costs (see $775,000 increase reflected in service cost for the three plans in </w:t>
      </w:r>
      <w:r>
        <w:rPr>
          <w:rFonts w:ascii="Arial" w:cs="Arial" w:eastAsia="Arial" w:hAnsi="Arial"/>
          <w:sz w:val="17"/>
          <w:szCs w:val="17"/>
          <w:b w:val="1"/>
          <w:bCs w:val="1"/>
          <w:color w:val="auto"/>
        </w:rPr>
        <w:t>Note 2 - Components of Net</w:t>
      </w:r>
      <w:r>
        <w:rPr>
          <w:rFonts w:ascii="Arial" w:cs="Arial" w:eastAsia="Arial" w:hAnsi="Arial"/>
          <w:sz w:val="17"/>
          <w:szCs w:val="17"/>
          <w:color w:val="auto"/>
        </w:rPr>
        <w:t xml:space="preserve"> </w:t>
      </w:r>
      <w:r>
        <w:rPr>
          <w:rFonts w:ascii="Arial" w:cs="Arial" w:eastAsia="Arial" w:hAnsi="Arial"/>
          <w:sz w:val="17"/>
          <w:szCs w:val="17"/>
          <w:b w:val="1"/>
          <w:bCs w:val="1"/>
          <w:color w:val="auto"/>
        </w:rPr>
        <w:t>Periodic Benefit Cost</w:t>
      </w:r>
      <w:r>
        <w:rPr>
          <w:rFonts w:ascii="Arial" w:cs="Arial" w:eastAsia="Arial" w:hAnsi="Arial"/>
          <w:sz w:val="17"/>
          <w:szCs w:val="17"/>
          <w:color w:val="auto"/>
        </w:rPr>
        <w:t>) and $3.5 million specifically related to customer service, system support, and billing. Other increases included employee and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benefit-related costs ($1.2 million) and increased general business insurance ($800,000). The prior year period expense levels included more modest expense levels overall due to COVID-environment reduced training, travel and related amounts.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increased $3.4 million, or 5%, between quarters, primarily due to a $564 million, or 7%, increase in average gas plant in service compared to the corresponding quarter a year ago. Offsetting the increase, amortization related to regulatory account recoveries decreased approximately $700,000 between quarters, which is also reflected in Operating margin above. The increase in plant was attributable to pipeline capacity reinforcement work, franchise requirements, scheduled pipe replacement activities, and new infrastructure.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increased $765,000. The current quarter reflects a $2 million decline in COLI policy cash surrender values, while the prior-year quarter reflected a $2.7 million increase. These fluctuations primarily result from changes in the portion of the cash surrender values that are associated with equity securities, and are directionally consistent with the broader securities markets. This decrease was offset by non-service-related components of employee pension and other postretirement benefit costs, which decreased $3.3 million between quarters. Interest income increased $2.1 million between quarters due to the increased receivable position of the Purchased Gas Adjustment. A gain of $1.5 million was recognized on the sale of non-regulated property in the first quarter of 2022.</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$4.4 million in the first quarter of 2022, as compared to the prior-year quarter, primarily related to lower interest in the prior-year quarter, as a carrying amount related to an annual excess accumulated deferred tax</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(“EADIT”) balance in Arizona was required to be returned to customers, thereby reducing interest when the carrying charge regulatory liability balance was amortized for the return ($1.5 million), and due to higher interest in the current period due to $300 million of Senior Notes issued in August 2021, and to a lesser extent, $600 million of Senior Notes issued in March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Results of Natural Gas Distribution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Twelve Months Ended March 31,</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1,369,690</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338,037</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1,031,653</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452,051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409,429</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239,268</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67,769</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315,187</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14,496</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98,256</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208,419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231,427</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37,193</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net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194,234</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to consolidated net income from natural gas distribution operations decreased $14 million between the twelve-month periods ended March 2022 and 2021. The decline was due primarily to increases in Operations and maintenance expense, Depreciation and amortization, and Taxes other than income taxes, and a decrease in Other income (deductions), offset by an increase in Operating margin.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$73 million between periods. Customer growth provided $14 million, and combined rate relief provided $44 million of incremental operating margin. Also contributing to the increase were customer late fees that were $8 million greater in the current period due to lifting the moratorium on such fees in all jurisdictions, which was initially instituted in March 2020 to provide temporary relief to customers during the pandemic. Additionally, regulatory account balance returns and recoveries increased approximately $2.1 million between periods. Incremental (previously unrecovered) VSP and COYL revenue in Arizona ($5.2 million combined, between twelve-month periods) also contributed to the variance between periods.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Operations and maintenance expense increased $43 million, or 10%, between periods. In addition to general inflationary impacts, Southwest also experienced $7 million of higher legal-claim related costs (including a $5 million legal reserve as described in </w:t>
      </w:r>
      <w:r>
        <w:rPr>
          <w:rFonts w:ascii="Arial" w:cs="Arial" w:eastAsia="Arial" w:hAnsi="Arial"/>
          <w:sz w:val="18"/>
          <w:szCs w:val="18"/>
          <w:b w:val="1"/>
          <w:bCs w:val="1"/>
          <w:color w:val="auto"/>
        </w:rPr>
        <w:t>Note 1 – Background, Organization,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Summary of Significant Accounting Policies</w:t>
      </w:r>
      <w:r>
        <w:rPr>
          <w:rFonts w:ascii="Arial" w:cs="Arial" w:eastAsia="Arial" w:hAnsi="Arial"/>
          <w:sz w:val="18"/>
          <w:szCs w:val="18"/>
          <w:color w:val="auto"/>
        </w:rPr>
        <w:t>), higher levels of service-related pension costs ($6.1 million), customer service, system support, and billing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($7.9 million), increased expenditures for pipeline damage prevention programs ($4 million) and general business insurance ($2.7 million), as well as increased medical and other employee benefit costs. Prior year expense levels were uncharacteristically low due to COVID-period reduced training/travel and other cost savings.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increased $17.5 million, or 7%, between periods primarily due to a $562 million, or 7%, increase in average gas plant in service since the corresponding period in the prior year. The increase in gas plant was attributable to pipeline capacity reinforcement work, franchise requirements, scheduled pipe replacement activities, and new infrastructure, as well as the implementation of a new customer information system placed into production in the second quarter of 2021. Amortization of regulatory account balances impacted expense in both periods, which is offset in Operating margin above.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$13.5 million between periods primarily due to an increase in property taxes in Arizona, and to a lesser extent, in California and Nevada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$18.3 million between the twelve-month periods of 2022 and 2021, primarily due to current-period income of $4.1 million related to COLI policy cash surrender values and net death benefits recognized, compared to the twelve months ended March 31, 2021 which reflected an exceptionally large increase in values of $27.4 million (including $3.7 million of net death benefits). Additionally, equity AFUDC was lower by $5.6 million, due to the impact short-term borrowings have</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AFUDC rates. Offsetting these impacts were non-service cost components of employee pension and other postretirement benefit costs which were $7.8 million lower between periods, and interest income which increased $3.9 million between periods. A gain on sale of non-regulated property in the most recent twelve-month period also impacted the variance between periods.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increased $3.7 million between periods primarily due to increased interest associated with $300 million of Senior Notes issued in August 2021, and to a lesser extent, $600 million of Senior Notes issued in March 2022.</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decreased $9 million between the twelve-month period ended March 31, 2022 and 2021, primarily due to a reduction in pre-tax book income, additional amortization of EADIT ($5 million), and to a lesser extent, changes in Arizona and California state apportionment percentages of $2.8 million. Income tax expense in both periods reflects that COLI results are recognized without tax consequences.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2021</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523,877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363,975</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335,614</w:t>
            </w:r>
          </w:p>
        </w:tc>
      </w:tr>
      <w:tr>
        <w:trPr>
          <w:trHeight w:val="229"/>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24,744</w:t>
            </w:r>
          </w:p>
        </w:tc>
      </w:tr>
      <w:tr>
        <w:trPr>
          <w:trHeight w:val="223"/>
        </w:trPr>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(28,584)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Utility infrastructure services revenues increased $159.9 million, or 44%, in the first quarter of 2022 when compared to the prior-year quarter, including $113.8 million from Riggs Distler. Revenues from electric infrastructure services increased $88 million in the first quarter of 2022 when compared to the prior-year quarter, of which $67.5 million was recorded by Riggs Distler. Included in electric infrastructure services revenues overall was $14 million from emergency restoration services performed by Linetec and Riggs Distler following tornado and other storm damage to customers’ above-ground utility infrastructure in and around the Gulf Coast and eastern regions of the U.S., compared to $9 million in the prior-year quarter.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quarter increase also included approximately $38.8 million in gas infrastructure services revenues, including $13.6 million recorded by Riggs Distler, primarily from increased volumes under master service agreements.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Utility infrastructure services expenses increased $167.6 million in the first quarter of 2022 when compared to the prior-year quarter. The overall increase includes $104.1 million incurred by Riggs Distler, and incremental costs related to the higher volume of infrastructure services provided. Changes in mix of work and inflationary pressures led to higher input costs including fuel and subcontractor expenses, while higher rental and tooling costs were incurred in support of growth in our electric infrastructure business. The incremental impact of fuel costs in the current environment is estimated at $5 million. These impacts are in contrast to the first quarter of 2021, when favorable weather and mix of work provided improved efficiencies and relative favorable results were uncustomary compared to first quarters that typically bring higher losses, given the seasonal nature of the business and winter-weather hampering effects on construction efforts. Also included in total Utility infrastructure services expenses were general and administrative costs, which increased approximately $7.1 million between quarters, including $4 million of general and administrative costs incurred by Riggs Distler. Other administrative costs increased due to the continued growth in the business. Gains on sale of equipment in the first quarter of 2022 and 2021 (reflected as an offset to Utility infrastructure services expenses) were approximately $413,000 and $1.5 million, respectively.</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$12.9 million between quarters, of which $12.3 million was recorded by Riggs Distler. The remaining increase was attributable to equipment and computer systems purchased to support the growing volume of infrastructure work.</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Net interest deductions of $9.5 million was primarily due to incremental interest related to outstanding borrowings under Centuri’s $1.545 billion amended and restated secured revolving credit and term loan facility in conjunction with the acquisition of Riggs Distler.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Twelve Months Ended March 31,</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2,318,563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1,978,770</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2,123,085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1,745,729</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98,548</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134,493</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126,434</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34,477</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91,957</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84,207</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Utility infrastructure services revenues increased $339.8 million, or 17%, in the current twelve-month period compared to the corresponding period of 2021, including $277.7 million recorded by Riggs Distler subsequent to its acquisition on August 27, 2021. Revenues from electric infrastructure services increased $179.7 million in 2022 when compared to the prior year, of which $175.5 million was recorded by Riggs Distler. Included in the incremental electric infrastructure revenues during the twelve-month period of 2022 was $70.5 million from emergency restoration services performed by Linetec and Riggs Distler, following hurricane, tornado, and other storm damage to customers’ above-ground utility infrastructure in and around the Gulf Coast and eastern regions of the U.S., as compared to $90.5 million in similar services during the twelve-month period in 2021. The remaining increase in revenue was attributable to continued growth with existing gas infrastructure customers under master service and bid agreements, partially offset by reduced work with two significant customers during the 2022 twelve-month period (totaling $60.6 million), due to the mix of projects under each customer’s multi-year capital spending programs.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Utility infrastructure services expenses increased $377.4 million, or 22%, between periods (including $14 million of professional fees related to the acquisition of Riggs Distler). The increase overall includes $249 million incurred by Riggs Distler subsequent to the acquisition, as well as incremental costs related to electric infrastructure services work and costs necessary for the completion of additional gas infrastructure work. Higher fuel costs, equipment rental expense, and subcontractor expenses were also incurred in support of growth in our electric infrastructure business. Expenses in relation to revenues, and therefore, profit margins, can be impacted by the mix of work and inefficiencies from equipment and facility utilization and under-absorption of other fixed costs, which occurred due to the reduced work from the two large customers and lower revenues from emergency restoration services as noted above. Also included in total Utility infrastructure services expenses were general and administrative costs, which increased approximately $26.5 million between comparative periods, including the noted $14 million of acquisition-related professional fees and an additional $13.3 million of general and administrative costs incurred by Riggs Distler subsequent to the acquisition. Other administrative costs increased due to the growth in the business. Gains on sale of equipment (reflected as an offset to Utility infrastructure services expenses) were approximately $5.8 million and $3.3 million for the twelve-month periods of 2022 and 2021, respectively.</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$32 million between the current and prior-year twelve-month periods, of which $29.1 million was recorded by Riggs Distler subsequent to the acquisition. The remaining increase was attributable to equipment and computer systems purchased to support the growing volume of infrastructure work.</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$22.5 million between periods due to incremental interest related to outstanding borrowings under Centuri’s $1.545 billion amended and restated secured revolving credit and term loan facility in conjunction with the acquisition of Riggs Distler.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Pipeline and Storage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Quarterly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of 2022 was the first reporting period of post-acquisition operating results for the pipeline and storage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center"/>
              <w:ind w:right="11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9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2"/>
              </w:rPr>
              <w:t>March 31,</w:t>
            </w:r>
          </w:p>
        </w:tc>
      </w:tr>
      <w:tr>
        <w:trPr>
          <w:trHeight w:val="230"/>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66,993</w:t>
            </w: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cost of gas sold</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29"/>
        </w:trPr>
        <w:tc>
          <w:tcPr>
            <w:tcW w:w="9120" w:type="dxa"/>
            <w:vAlign w:val="bottom"/>
          </w:tcPr>
          <w:p>
            <w:pPr>
              <w:ind w:left="140"/>
              <w:spacing w:after="0"/>
              <w:rPr>
                <w:sz w:val="20"/>
                <w:szCs w:val="20"/>
                <w:color w:val="auto"/>
              </w:rPr>
            </w:pPr>
            <w:r>
              <w:rPr>
                <w:rFonts w:ascii="Arial" w:cs="Arial" w:eastAsia="Arial" w:hAnsi="Arial"/>
                <w:sz w:val="18"/>
                <w:szCs w:val="18"/>
                <w:color w:val="auto"/>
              </w:rPr>
              <w:t>Operations and maintenance expense</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24,312</w:t>
            </w:r>
          </w:p>
        </w:tc>
      </w:tr>
      <w:tr>
        <w:trPr>
          <w:trHeight w:val="230"/>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r>
      <w:tr>
        <w:trPr>
          <w:trHeight w:val="229"/>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Taxes other than income taxes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r>
      <w:tr>
        <w:trPr>
          <w:trHeight w:val="223"/>
        </w:trPr>
        <w:tc>
          <w:tcPr>
            <w:tcW w:w="9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r>
      <w:tr>
        <w:trPr>
          <w:trHeight w:val="229"/>
        </w:trPr>
        <w:tc>
          <w:tcPr>
            <w:tcW w:w="912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r>
      <w:tr>
        <w:trPr>
          <w:trHeight w:val="223"/>
        </w:trPr>
        <w:tc>
          <w:tcPr>
            <w:tcW w:w="912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20,961</w:t>
            </w:r>
          </w:p>
        </w:tc>
      </w:tr>
      <w:tr>
        <w:trPr>
          <w:trHeight w:val="229"/>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r>
      <w:tr>
        <w:trPr>
          <w:trHeight w:val="223"/>
        </w:trPr>
        <w:tc>
          <w:tcPr>
            <w:tcW w:w="9120" w:type="dxa"/>
            <w:vAlign w:val="bottom"/>
          </w:tcPr>
          <w:p>
            <w:pPr>
              <w:ind w:left="240"/>
              <w:spacing w:after="0"/>
              <w:rPr>
                <w:sz w:val="20"/>
                <w:szCs w:val="20"/>
                <w:color w:val="auto"/>
              </w:rPr>
            </w:pPr>
            <w:r>
              <w:rPr>
                <w:rFonts w:ascii="Arial" w:cs="Arial" w:eastAsia="Arial" w:hAnsi="Arial"/>
                <w:sz w:val="18"/>
                <w:szCs w:val="18"/>
                <w:color w:val="auto"/>
              </w:rPr>
              <w:t>Contribution to consolidated results attributable to MountainWest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16,930</w:t>
            </w:r>
          </w:p>
        </w:tc>
      </w:tr>
      <w:tr>
        <w:trPr>
          <w:trHeight w:val="21"/>
        </w:trPr>
        <w:tc>
          <w:tcPr>
            <w:tcW w:w="9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 period operating results include rate-regulated transmission and subscription storage revenues of $61.1 million. Operating expenses include $8.7 million of costs associated with integrating MountainWest, including employee retention payments. Additional integration costs will be incurred in future periods until integration efforts are completed.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 Due to the size of Southwest’s regulated operations and the frequency of rate cases and other procedural activities with its commissions, the following discussion focuses primarily on the proceedings within its natural gas distribution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changes (including the cost of natural gas purchased),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distribution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In December 2021, Southwest filed a general rate case application proposing a revenue increase of approximately $90.7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Although updated rates related to the previous rate case became effective in January 2021, the most significant driver for the new request is the necessity to reflect in rates the substantial capital investments that have been made since the end of the test year in the previous case, including the customer information system implemented in May 2021. The current filing is based on a test year ended August 31, 2021 and proposes a return on common equity of 9.90% relative to a target equity ratio of 51%. Recovery (over three years) of the approximately $12 million related to the outstanding deferral</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balance associated with the LNG facility (see below) is included in the request, along with the approximately $2.5 million (also over three years) in late payment charges that were suppressed from customer accounts during the COVID-19 pandemic. A request to continue the Delivery Charge Adjustment (“DCA”), Southwest’s full-revenue decoupling mechanism, is also included, while no changes to Southwest’s existing rate design are proposed. A decision is anticipated by the end of 2022, with new rates expected to be effective in the first quarter of 2023.</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DCA is filed each April, which along with other reporting requirements, contemplates a rate to recover the over-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under-collected margin tracker (decoupling mechanism) amounts based on the balance at the end of the reporting period. An April 2022 filing proposes a rate to return $10.5 million, the over-collected balance existing at the end of the first quarter 2022.</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the most recently concluded Arizona general rate proceeding, a Tax Expense Adjustor Mechanism (“TEAM”) was approved to timely</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any future tax rate changes resulting from federal or state tax legislation. In addition, the TEAM tracks and returns/recovers the revenue requirement impact of changes in EADIT amortization compared to the amount authorized in the most recently concluded rate case. In December 2021, Southwest filed its inaugural TEAM rate application for the recovery of approximately $4.3 million associated with the mechanism. The commission staff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is expected to issue its report on the filing in the second quarter of 2022 for ACC consideration at a subsequent open meeting.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2014, Southwest sought ACC preapproval to construct, operate, and maintain a 233,000 dekatherm LNG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in southern Arizona. This facility is intended to enhance service reliability and flexibility related to natural gas deliveries in the southern Arizona area by providing a local storage option, connecting directly to Southwest’s distribution system. Southwest was ultimately granted approval for construction and deferral of costs. The facility was placed in service in December 2019. The capital costs and the operating expenses associated with plant operation were approved and considered as part of Southwest’s previous general rate case. Approximately $12 million in costs, incurred following the in-service date of the facility and after the period considered as part of the previous general rate case, were deferred in the previously authorized regulatory asset account and are included for consideration in the current general rate case application.</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Customer-Owned Yard Line (“COYL”) Program</w:t>
      </w:r>
      <w:r>
        <w:rPr>
          <w:rFonts w:ascii="Arial" w:cs="Arial" w:eastAsia="Arial" w:hAnsi="Arial"/>
          <w:sz w:val="18"/>
          <w:szCs w:val="18"/>
          <w:color w:val="auto"/>
        </w:rPr>
        <w:t>. Southwest originally received approval, in connection with its 2010 Arizona general rate case, to</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a program to conduct leak surveys, and if leaks were present, to replace and relocate service lines and meters for Arizona customers whose meters were set off from the customer’s home, representing a non-traditional configuration. A filing in May 2021 proposed the recovery of previously unrecovered surcharge revenue from 2019 and 2020 (collectively, $13.7 million) over a one-year period. In November 2021, the ACC approved full recovery within the proposed timeline, the rate for which was implemented the same month. In a February 2022 filing, Southwest requested to increase its surcharge revenue by $3.4 million to recover the revenue requirement associated with previous investments made since August 2020 and through calendar year 2021, with a proposed rate implementation of June 2022.</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Vintage Steel Pipe (“VSP”) Program. </w:t>
      </w:r>
      <w:r>
        <w:rPr>
          <w:rFonts w:ascii="Arial" w:cs="Arial" w:eastAsia="Arial" w:hAnsi="Arial"/>
          <w:sz w:val="16"/>
          <w:szCs w:val="16"/>
          <w:color w:val="auto"/>
        </w:rPr>
        <w:t>Southwest received approval, in connection with its 2016 Arizona general rate case, to implement a VSP</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program, due to having a substantial amount of pre-1970s vintage steel pipe in Arizona. However, as part of Southwest’s most recent rate case decision in 2020, the ACC ultimately decided to discontinue the accelerated VSP program. A filing in May 2021 proposed the recovery of previously unrecovered surcharge revenue relating to investments during 2019 and 2020, with approximately $60 million to be recovered over a three-year period. In November 2021, the ACC approved full recovery over the proposed three-year timeline, updated rates for which were implemented in March 2022.</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Graham County Utilities. </w:t>
      </w:r>
      <w:r>
        <w:rPr>
          <w:rFonts w:ascii="Arial" w:cs="Arial" w:eastAsia="Arial" w:hAnsi="Arial"/>
          <w:sz w:val="17"/>
          <w:szCs w:val="17"/>
          <w:color w:val="auto"/>
        </w:rPr>
        <w:t>In April 2021, Southwest and Graham County Utilities, Inc. (“GCU”) filed a joint application with the ACC for approval to</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 assets of GCU to Southwest and extend Southwest’s Certificate of Public Convenience and Necessity to serve the more than 5,000 associated customers, for a purchase price of $3.5 million. Approval of the application by the ACC was received in December 2021 with final transfer in mid-January 2022. Former GCU customers continue to be served under existing GCU rates until such time as they are rolled into Southwest’s rates, which is proposed to take place in conjunction with the effective date of rates resulting from the currently pending Arizona general rate case.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In August 2019, Southwest filed a general rate case based on a 2021 test year, seeking authority to increase rates in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California rate jurisdictions, after being granted earlier permission to extend the rate case cycle by two years and continue its 2.75% previously approved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Post-Test Year (“PTY”) attrition adjustments for 2019 and 2020.</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reached an agreement in principle with the Public Advocate’s Office, which was unanimously approved by the CPUC on March 25, 2021, including a $6.4 million total combined revenue increase with a 10% return on common equity, relative to a 52% equity ratio. Approximately $4 million of the original proposed increase was associated with a North Lake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Tahoe project that would not ultimately be completed by the beginning of 2021; consequently, the parties agreed to provide for recovery of the cost of service impacts of the project through a future surcharge. The rate case decision maintains Southwest’s existing 2.75% annual attrition adjustments and the continuation of the pension balancing account. It also includes cumulative expenditures totaling $119 million over the five-year rate cycle to implement risk-informed proposals, consisting of a school COYL replacement, meter protection, and pipe replacement programs. Although new rates were originally anticipated to be in place by January 1, 2021, in light of an administrative delay, Southwest was granted authority to establish a general rate case memorandum account to track the impacts related to the delay in the implementation of new rates for purposes of later recovery. New rates were ultimately implemented April 1, 2021.</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rates approved as part of the general rate case, Southwest is also authorized to implement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PTY attrition increases of 2.75%, the first annual adjustment of which began in January 2022.</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Customer Data Modernization Initiative (“CDMI”). </w:t>
      </w:r>
      <w:r>
        <w:rPr>
          <w:rFonts w:ascii="Arial" w:cs="Arial" w:eastAsia="Arial" w:hAnsi="Arial"/>
          <w:sz w:val="16"/>
          <w:szCs w:val="16"/>
          <w:color w:val="auto"/>
        </w:rPr>
        <w:t>In April 2019, Southwest filed an application with the CPUC seeking authority to establish a two-way,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interest-bearing balancing account to record costs associated with the CDMI to mitigate adverse financial implications associated with this multi-year project (including a new customer information system, ultimately implemented in May 2021). Effective October 2019, the CPUC granted a memorandum account, which allowed Southwest to track costs, including operations and maintenance costs and capital-related costs, such as depreciation, taxes, and return associated with California’s portion of the CDMI (initially estimated at $19 million). The balance tracked in the memorandum account was transferred to the two-way balancing account in July 2020. A rate to begin recovering the balance accumulated through June 30, 2020 was established and made effective September 1, 2020, and updated in January 2021, August 2021, and January 2022. This rate is expected to be updated at least annually.</w:t>
      </w:r>
    </w:p>
    <w:p>
      <w:pPr>
        <w:spacing w:after="0" w:line="9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Carbon Offset Program. </w:t>
      </w:r>
      <w:r>
        <w:rPr>
          <w:rFonts w:ascii="Arial" w:cs="Arial" w:eastAsia="Arial" w:hAnsi="Arial"/>
          <w:sz w:val="16"/>
          <w:szCs w:val="16"/>
          <w:color w:val="auto"/>
        </w:rPr>
        <w:t>In March 2022, Southwest filed an application to seek approval to offer a voluntary program to California customers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carbon offsets in an effort to provide customers additional options to reduce their respective GHG emissions. A request to establish a two-way balancing account to track program-related costs and revenues was included as part of the application. Southwest anticipates a decision in 2023.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Nevada General Rate Case</w:t>
      </w:r>
      <w:r>
        <w:rPr>
          <w:rFonts w:ascii="Arial" w:cs="Arial" w:eastAsia="Arial" w:hAnsi="Arial"/>
          <w:sz w:val="17"/>
          <w:szCs w:val="17"/>
          <w:color w:val="auto"/>
        </w:rPr>
        <w:t>. On August 31, 2021, Southwest filed its most recent general rate case, which was further updated by a certification filing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17, 2021. The request proposed a combined revenue increase of approximately $28.7 million (as of certification); the most significant driver for the new request is the necessity to reflect in rates the substantial capital investments that have been made since the end of the test year in the previous case, including the customer information system that was implemented in May 2021. The filing included a proposed return on common equity of 9.90% with a target equity ratio of 51%; recovery over two years of approximately $6.6 million in previously deferred late payment charges related to a regulatory asset associated with COVID-19; and continuation of full revenue decoupling under the General Revenues Adjustment (“GRA”) mechanism. The filing utilized a test year ended May 31, 2021 with certification-period adjustments through November 30, 2021. On February 7, 2022, the parties filed a stipulation with the PUCN, providing for a statewide revenue increase of $14.05 million, a return on common equity of 9.40% relative to a 50% target equity ratio, and continuation of Southwest’s full revenue decoupling mechanism. The stipulation was approved by the commission, and new rates became effective April 1, 2022. The commission’s order did not include recovery of the approximate $6.6 million in previously deferred late payment charges related to a regulatory asset associated with COVID 19 (as noted below).</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noted above, the continuation of the GRA was affirmed as part of Southwest’s most recent general rate case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2021 related to balances as of September 30, 2021. New rates related to that filing will be effective July 1, 2022. While there is no impact to net income overall from adjustments to recovery rates associated with the related regulatory balances, operating cash flows are impacted by such changes.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COYL Program. </w:t>
      </w:r>
      <w:r>
        <w:rPr>
          <w:rFonts w:ascii="Arial" w:cs="Arial" w:eastAsia="Arial" w:hAnsi="Arial"/>
          <w:sz w:val="18"/>
          <w:szCs w:val="18"/>
          <w:color w:val="auto"/>
        </w:rPr>
        <w:t>In August 2021, Southwest filed a joint petition with the Regulatory Operations Staff of the PUCN proposing a Nevada COYL</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program to include residential COYLs, public school COYLs, and any other COYLs that are identified to be a safety concern. The petition was approved in January 2022 and provides for capital investments up to $5 million per year for five years and the establishment of a regulatory asset to track the capital-related costs. After five years, the program will be reassessed to determine if it should be continued.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Infrastructure Replacement Mechanism. </w:t>
      </w:r>
      <w:r>
        <w:rPr>
          <w:rFonts w:ascii="Arial" w:cs="Arial" w:eastAsia="Arial" w:hAnsi="Arial"/>
          <w:sz w:val="18"/>
          <w:szCs w:val="18"/>
          <w:color w:val="auto"/>
        </w:rPr>
        <w:t>In 2014, the PUCN approved final rules for the Gas Infrastructure Replacement (“GIR”) mechanism,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the deferral and recovery of certain costs associated with accelerated replacement of qualifying infrastructure that would not otherwise provide incremental revenues between general rate cases. Associated with the replacement of various types of pipe infrastructure under the mechanism (Early Vintage Plastic Pipe, COYL, and VSP), the</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regulations provide Southwest with the opportunity to file a GIR “Advance Application” annually to seek preapproval of qualifying replacement projects.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preapproval of projects is requested and granted, a GIR rate application is separately filed to reset the GIR recovery surcharge rate related to previously approved and completed projects. On September 30, 2021, Southwest filed its latest rate application to reset the recovery surcharge to include cumulative deferrals through August 31, 2021. The updated surcharge rate is expected to result in an annual revenue decrease of approximately $1.4 million in southern Nevada and an annual revenue increase of $66,000 in northern Nevada. The parties reached a stipulation that was approved by the commission and new rates became effective January 1, 2022.</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Conservation and Energy Efficiency. </w:t>
      </w:r>
      <w:r>
        <w:rPr>
          <w:rFonts w:ascii="Arial" w:cs="Arial" w:eastAsia="Arial" w:hAnsi="Arial"/>
          <w:sz w:val="16"/>
          <w:szCs w:val="16"/>
          <w:color w:val="auto"/>
        </w:rPr>
        <w:t>The PUCN allows deferral (and later recovery) of approved conservation and energy efficiency costs, recovery rates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which are adjusted in association with ARA filings. In its November 2021 ARA filing, Southwest proposed annualized margin decreases of $574,000 and $434,700 for southern and northern Nevada, respectively, requested to become effective in July 2022. In May 2021, Southwest filed its Conservation and Energy Efficiency plan for the years 2022 – 2024, with a proposed annual budget amount of approximately $3 million. A PUCN decision received in the fourth quarter 2021 authorized the continuation of Southwest’s currently authorized programs and an annual budget of approximately $1.3 million.</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Expansion and Economic Development Legislation</w:t>
      </w:r>
      <w:r>
        <w:rPr>
          <w:rFonts w:ascii="Arial" w:cs="Arial" w:eastAsia="Arial" w:hAnsi="Arial"/>
          <w:sz w:val="18"/>
          <w:szCs w:val="18"/>
          <w:color w:val="auto"/>
        </w:rPr>
        <w:t>. 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for the expansion, and Southwest provides periodic updates and adjusts the rates to recover the revenue requirement associated with the investments to serve customers as part of the ARA filings and rate case proceedings. As of March 2022, approximately 40 miles of natural gas infrastructure has been installed throughout the Mesquite expansion area.</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2019, Southwest filed for preapproval to construct the infrastructure necessary to expand natural gas service to Spring Creek, near Elko, Nevada, and to implement a cost recovery methodology to recover the associated revenue requirement consistent with the SB 151 regulations. The expansion facilities consist of a high-pressure approach main and associated regulator stations, an interior backbone, and an extension of the distribution system from the interior backbone. The total capital investment was estimated to be $61.9 million. A stipulation was reached with the parties and approved by the PUCN in December 2019, including in regard to the rate recovery allocation amongst northern Nevada, Elko, and Spring Creek expansion customers. Construction began in the third quarter of 2020, and service commenced to the first Spring Creek customers in December 2020. As of March 31, 2022, approximately 28 miles of natural gas infrastructure has been installed throughout the Spring Creek expansion area, and is anticipated to be completed in 2026.</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Regulatory Asset Related to COVID-19. </w:t>
      </w:r>
      <w:r>
        <w:rPr>
          <w:rFonts w:ascii="Arial" w:cs="Arial" w:eastAsia="Arial" w:hAnsi="Arial"/>
          <w:sz w:val="17"/>
          <w:szCs w:val="17"/>
          <w:color w:val="auto"/>
        </w:rPr>
        <w:t>The PUCN issued an order directing utilities within the state to establish regulatory asset accounts, effective March</w:t>
      </w:r>
      <w:r>
        <w:rPr>
          <w:rFonts w:ascii="Arial" w:cs="Arial" w:eastAsia="Arial" w:hAnsi="Arial"/>
          <w:sz w:val="17"/>
          <w:szCs w:val="17"/>
          <w:i w:val="1"/>
          <w:iCs w:val="1"/>
          <w:color w:val="auto"/>
        </w:rPr>
        <w:t xml:space="preserve"> </w:t>
      </w:r>
      <w:r>
        <w:rPr>
          <w:rFonts w:ascii="Arial" w:cs="Arial" w:eastAsia="Arial" w:hAnsi="Arial"/>
          <w:sz w:val="17"/>
          <w:szCs w:val="17"/>
          <w:color w:val="auto"/>
        </w:rPr>
        <w:t>12, 2020, the date the Governor declared a state of emergency related to COVID-19, to track the financial impacts associated with maintaining service for customers affected by COVID-19, including those whose service would have been otherwise terminated/disconnected. These amounts, totaling approximately $6.6 million, were included in Southwest’s recently concluded general rate case request. The commission ultimately decided that the deferred late payment charges that made up the $6.6 million did not qualify as costs of maintaining service and denied recovery. However, this amount was previously fully reserved by management pending the outcome of the ultimate proceeding.</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Carbon Offset Program. </w:t>
      </w:r>
      <w:r>
        <w:rPr>
          <w:rFonts w:ascii="Arial" w:cs="Arial" w:eastAsia="Arial" w:hAnsi="Arial"/>
          <w:sz w:val="16"/>
          <w:szCs w:val="16"/>
          <w:color w:val="auto"/>
        </w:rPr>
        <w:t>In June 2021, Southwest filed an application to seek approval to offer a voluntary program to northern and southern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purchase carbon offsets in an effort to provide customers additional options to reduce their respective GHG emissions. A request to establish a regulatory asset to track program-related costs and revenues was included as part of the application. The parties reached a stipulation that was approved by the commission in December 2021 approving Southwest’s proposal. Implementation of the program is expected in the second quarter of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In 2020, Great Basin Gas Transmission Company (“Great Basin”), a wholly owned subsidiary of Southwest, reached an agreement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 with the FERC Staff providing that its three largest transportation customers and all storage customers would be required to have primary service agreement terms of at least five years, that term-differentiated rates would continue generally, and included a 9.90% pre-tax rate of return. Interim rates were made effective February 2020. As part of the settlement, Great Basin will not file a rate case later than May 31, 2025.</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March 31, 2022, under-collections in each of Southwest’s service territories resulted in an asset of $368 million on the Company’s and Southwest’s Condensed Consolidated Balance Sheets. The increase in the PGA balance during the first quarter of 2022 includes nearly $400 million in commodity and transmission costs incurred during this period. See also </w:t>
      </w:r>
      <w:r>
        <w:rPr>
          <w:rFonts w:ascii="Arial" w:cs="Arial" w:eastAsia="Arial" w:hAnsi="Arial"/>
          <w:sz w:val="17"/>
          <w:szCs w:val="17"/>
          <w:i w:val="1"/>
          <w:iCs w:val="1"/>
          <w:color w:val="auto"/>
        </w:rPr>
        <w:t>Deferred Purchased Gas Costs</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 Background,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Organization, and Summary of Significant Accounting Policies </w:t>
      </w:r>
      <w:r>
        <w:rPr>
          <w:rFonts w:ascii="Arial" w:cs="Arial" w:eastAsia="Arial" w:hAnsi="Arial"/>
          <w:sz w:val="17"/>
          <w:szCs w:val="17"/>
          <w:color w:val="auto"/>
        </w:rPr>
        <w:t>in this quarterly report on Form 10-Q</w:t>
      </w:r>
      <w:r>
        <w:rPr>
          <w:rFonts w:ascii="Arial" w:cs="Arial" w:eastAsia="Arial" w:hAnsi="Arial"/>
          <w:sz w:val="17"/>
          <w:szCs w:val="17"/>
          <w:b w:val="1"/>
          <w:bCs w:val="1"/>
          <w:color w:val="auto"/>
        </w:rPr>
        <w:t>.</w:t>
      </w:r>
    </w:p>
    <w:p>
      <w:pPr>
        <w:spacing w:after="0" w:line="6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March 31, 2022</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2021</w:t>
            </w:r>
          </w:p>
        </w:tc>
        <w:tc>
          <w:tcPr>
            <w:tcW w:w="28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March 31, 2021</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214,387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194,446</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12,632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9,555</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238,886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Not included in the PGA balances table above are $297,000 at March 31, 2022 and $5.7 million at December 31, 2021 in deferred purchased gas cost liabilities for MountainWest.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The Company, in executing on its plans to fund the MountainWest acquisition, initially funded the transaction through short-term borrowings, which would be refinanced through a multi-pronged permanent financing plan by the second quarter of 2022, some of which was executed during the first quarter of 2022 as the Company used $452 million in net proceeds from its underwritten offering of common stock to repay a portion of such short-term borrowings. In the interim, its working capital resources are necessarily low compared to its short-term obligations, which will be alleviated once management completes its execution on the remainder of its plan. The Company’s capitalization strategy is to maintain an appropriate balance of equity and debt to preserve investment-grade credit ratings, which help minimize interest costs. Investment-grade credit ratings have been maintained following the acquisition.</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Company’s Cash and cash equivalents as of March 31, 2022 and December 31, 2021 were $625 million and $223 million, respectively. The increase in Cash and cash equivalents between periods is largely attributable to Southwest’s net proceeds received from the $600 million 4.05% Senior Notes issuance in March 2022, which were partially used in March 2022 to pay down amounts then outstanding on the credit facility, and in April 2022, to redeem the $250 million 3.875% Senior Notes then maturing, in addition to funding interest payments on various debt ($23 million), with the remaining cash available for general corporate purposes. Additionally, the Company received a $34 million dividend from MountainWest in March 2022, which was partially used in April 2022 to pay a post-closing payment adjustment to the sellers in connection with the MountainWest acquisition (see </w:t>
      </w:r>
      <w:r>
        <w:rPr>
          <w:rFonts w:ascii="Arial" w:cs="Arial" w:eastAsia="Arial" w:hAnsi="Arial"/>
          <w:sz w:val="16"/>
          <w:szCs w:val="16"/>
          <w:b w:val="1"/>
          <w:bCs w:val="1"/>
          <w:color w:val="auto"/>
        </w:rPr>
        <w:t>Note 8 - Business Acquisitions</w:t>
      </w: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consolidated operating activities increased $239 million in the first three months of 2022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2021. The improvement in cash flows primarily resulted from the change in purchased gas costs, including amounts incurred and deferred, as well as when amounts are incorporated in customer bills to recover or return deferred balances. The prior period included a $50 million incremental contribution to the noncontributory qualified</w:t>
      </w: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retirement plan (reflected as a change in other liabilities and deferred credits). Other impacts include benefits from depreciation and changes in components of working capital overall, including collections of accounts receivable balances in the utility infrastructure services segment.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and administrative expenses/outflows for Southwest Gas Holdings, Inc. in the three- and twelve-month periods ended March 31, 2022 include expenses incurred related to shareholder activism, in addition to expenses and financing costs for the MountainWest acquisition, as well as expenses for services performed following December 31, 2021, but related to the acquisition.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$9 million in the first three months of 2022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2021. The change was primarily due to an increase in capital expenditures in the natural gas distribution segment.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increased $163 million in the first three months of 2022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2021. The change was primarily due to Southwest’s issuance of $600 million in notes, in addition to the Company’s $452 million in net proceeds from the issuance of common stock in an underwritten public offering in the current period. Part of the proceeds of Southwest’s notes issuance was used to pay down the amounts then outstanding under the long-term portion of its credit facility. The Company used the net proceeds from the common stock issuance to repay a portion of its 364-day Term Loan Facility that was funded in December 2021. In February 2022, Southwest also redeemed $25 million 7.78% series Medium-term notes then maturing. By comparison, the prior period included $203 million net proceeds from the short-term portion of Southwest’s credit facility and the Company’s credit facility, all of which is considered short-term.</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individual business segments. Each business segment is generally responsible for securing its own financing sources. However, the holding company may raise funds through stock issuances or other external financing sources in support of each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$260 million in the first three months of 2022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2021. The improvement in operating cash flows was primarily attributable to the impacts related to deferred purchased gas costs, as well as to other working capital changes.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$10 million in the first three months of 2022 as compared to the same period of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was primarily due to increases in capital expenditures in 2022 as compared to the same period in the prior year. See also </w:t>
      </w:r>
      <w:r>
        <w:rPr>
          <w:rFonts w:ascii="Arial" w:cs="Arial" w:eastAsia="Arial" w:hAnsi="Arial"/>
          <w:sz w:val="18"/>
          <w:szCs w:val="18"/>
          <w:i w:val="1"/>
          <w:iCs w:val="1"/>
          <w:color w:val="auto"/>
        </w:rPr>
        <w:t>Gas Segment Construction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Expenditures and Financing </w:t>
      </w:r>
      <w:r>
        <w:rPr>
          <w:rFonts w:ascii="Arial" w:cs="Arial" w:eastAsia="Arial" w:hAnsi="Arial"/>
          <w:sz w:val="18"/>
          <w:szCs w:val="18"/>
          <w:color w:val="auto"/>
        </w:rPr>
        <w:t>below.</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$179 million in the first three months of 2022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2021. The increase was primarily due to Southwest’s issuance of $600 million in notes in the first quarter of 2022 that was not used until April 2022 to redeem $250 million in maturing notes, but was used to repay the then outstanding amounts on its credit facility. Offsetting this increase was the redemption of $25 million 7.78% series Medium-term notes that matured in February 2022, parent contributions received in the first quarter of 2021 that did not recur in 2022, and proceeds in the prior year from a $250 million Term Loan issued to fund increased gas purchased costs during the 2021 freeze.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Debt Maturities, and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twelve-month period ended March 31, 2022, construction expenditures for the natural gas distribution segment were $615 million (not including amounts incurred for capital expenditures but not yet paid). The majority of these expenditures represented costs associated with the replacement of existing transmission, distribution, and general plant to fortify system integrity and reliability.</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Management estimates natural gas segment construction expenditures during the five-year period ending December 31, 2026 will be approximately $2.5 to $3.5 billion. Of this amount, approximately $650 million to $700 million is scheduled to be incurred in 2022.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 During the three-year period, cash flows from operating activities of Southwest are expected to provide approximately 69% of the funding for gas operations of Southwest and total construction expenditures and dividend requirements. As of March 31, 2022, Southwest had $250 million, 3.875% notes maturing (repaid in April 2022), and a $250 million Term Loan due in March 2023. Any additional cash requirements, including construction-related, and pay down or refinancing of debt, are expected to be provided by existing credit facilities,</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contributions from the Company, and/or other external financing sources. The timing, types, and amounts of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regulated operations property. The Company estimates bonus depreciation will defer the payment of approximately $27 million (which relates to utility infrastructure services operations) of federal income taxes for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Dividends are payable on the Company’s common stock at the discretion of the Board. In setting the dividend rate, the Board currently targets a payout ratio of 55% to 65% of consolidated earnings per share and considers, among other factors, current and expected future earnings levels, our ongoing capital expenditure plans, expected external funding needs, and our ability to maintain strong investment-grade credit ratings and liquidity. The Company has paid dividends on its common stock since 1956 and has increased that dividend each year since 2007. In February 2022, the Board elected to increase the quarterly dividend from $0.595 to $0.62 per share, representing a 4.2% increase, effective with the June 2022 payment.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2022, the combined balance in the PGA accounts totaled an under-collection of $368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Southwest amended its $250 million Term Loan, extending the maturity date to March 21, 2023. The proceeds were originally used to fund the increased cost of natural gas supply during the month of February 2021 caused by extreme weather conditions in the central U.S. The Term Loan was extended as a result of the current gas cost environment and management’s funding plans for purchases.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2022, Southwest issued $600 million aggregate principal amount of 4.05% Senior Notes at a discount of 0.65%. The notes will mature in March 2032. Southwest used the net proceeds to redeem $250 million 3.875% notes due in April 2022 and to repay outstanding amounts under its credit facility, with the remaining net proceeds used for general corporate purposes.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three months of 2022 was $150 million. The maximum amount outstanding on the short-term portion of the credit facility during the first three months of 2022 was $85 million. As of March 31, 2022, no borrowings were outstanding on the short-term or long-term portions of this credit facility.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2022 will be designated as long-term debt. Interest rates for the commercial paper program are calculated at the current commercial paper rate during the borrowing term. At March 31, 2022, there were no borrowings outstanding under this program.</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Centuri has a senior secured revolving credit and term loan facility. The line of credit portion comprises $400 million; associated amounts borrowed and repaid are available to be re-borrowed. The term loan facility portion provided approximately $1.145 billion.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March 31, 2022 totaled $2.4 billion. The maximum amount outstanding on the combined facility during the first three months of 2022 was $1.2 billion. As of March 31, 2022, $108 million was outstanding on the revolving credit facility, in addition to $1.01 billion that was outstanding on the term loan portion of the facility. Also at March 31, 2022, there was approximately $239 million, net of letters of credit, available for borrowing under the line of credit.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$200 million that expires in December 2026. This facility is intended for short-term financing needs. At March 31, 2022, $69 million was outstanding under this facility.</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November 2021, the Company entered into a $1.6 billion delayed-draw Term Loan Facility that was funded on December 31, 2021 in connection with the acquisition of MountainWest. This term loan matures on December 30, 2022. There was $1.16 billion outstanding under this Term Loan Facility as of March 31, 2022, included in the total of $1.474 billion of total short-term debt and current maturities of $291 million. This contributed to a negative working capital position of $584 million as of March 31, 2022, and the Company does currently not have sufficient liquidity or capital resources to repay this debt at maturity without issuing new debt or equity. In April 2022, the Company used a portion of proceeds from the issuance of $600 million Senior Notes issued in March 2022 to redeem $250 million in Senior Notes then maturing and included in current maturities as of March 31, 2022. In March 2022, the Company used net proceeds from the issuance of a common stock offering (see below) to repay a portion of borrowings under the Term Loan Facility. Management intends to satisfy the remainder of this obligation through the issuance of long-term debt. However, management maintains the discretion to seek alternative sources, and can provide no assurances as to its ability to refinance this obligation with the intended method or on attractive terms.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sold, through a prospectus supplement under its Universal Shelf program, an aggregate of 6,325,000 shares of common stock, with an underwritten public offering price of $74.00 per share, resulting in proceeds to the Company of $452.2 million, net of the underwriters’ discount of $15.8 million. The Company used the net proceeds to repay a portion of the outstanding borrowings under the 364-day term loan credit agreement that was used to initially fund the MountainWest acquisition.</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Securities and Exchange Commission (the “SEC”) the same month. There was no activity under this multi-year program during the first quarter of 2022.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Term Loan or future credit facilities), and to provide for working capital. The Company had approximately $341.8 million available under the program as of March 31, 2022.</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twelve months ended March 31, 2022, 2,302,407 shares were issued in at-the-market offerings under the foregoing program at an average price of $68.70 per share with gross proceeds of $158.2 million, agent commissions of $1.6 million, and net proceeds of $156.6 million under the equity shelf program noted above. See </w:t>
      </w:r>
      <w:r>
        <w:rPr>
          <w:rFonts w:ascii="Arial" w:cs="Arial" w:eastAsia="Arial" w:hAnsi="Arial"/>
          <w:sz w:val="18"/>
          <w:szCs w:val="18"/>
          <w:b w:val="1"/>
          <w:bCs w:val="1"/>
          <w:color w:val="auto"/>
        </w:rPr>
        <w:t>Note 4 – Common Stock</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rates for the Company’s Term Loan Facility and Centuri’s credit facility contain LIBOR-based rates. Certain LIBOR-based rates are scheduled to be discontinued as a benchmark or reference rate after 2021, while other LIBOR-based rates are scheduled to be discontinued after June 2023. As of March 31, 2022, the Company had $2.17 billion billion in aggregate outstanding borrowings under Centuri’s credit facility and the Company’s Term Loan Facility. In order to mitigate the impact of a LIBOR discontinuance on the Company’s financial condition and results of operations, management will monitor developments and work with lenders, where relevant, to determine the appropriate replacement/alternative reference rate for variable rate debt. At this time the Company can provide no assurances as to the impact a LIBOR discontinuance will have on its financial condition or results of operations. Any alternative rate may be less predictable or less attractive than LIBOR.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plans to review a full range of strategic alternatives to maximize stockholder value, refinance near-term maturities, to separate Centuri from the Company, those regarding operating margin patterns, customer growth, the composition of our customer base, price volatility, seasonal patterns, payment of debt, the Company’s COLI strategy, replacement market and new construction market, our intent and ability to complete planned acquisitions and at amounts originally set out, impacts from the COVID-19 pandemic, including on our employees, customers, or otherwise, our financial position, revenue, earnings, cash flows, debt covenants, operations, regulatory recovery, work deployment or resumption and related uncertainties stemming from this pandemic or otherwise, expected impacts of valuation adjustments associated with any redeemable noncontrolling interest, the profitability of storm work, mix of work, or absorption of fixed costs by larger infrastructure services customers including Southwest, the impacts of U.S. tax reform including disposition in any regulatory proceeding and bonus depreciation tax deductions,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the final resolution for recovery of the CDMI-related amounts and balances in any jurisdiction, and statements regarding pending approvals are forward-looking statements. All forward-looking statements are intended to be subject to the safe harbor protection provided by the Reform Act.</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sustained restriction by government officials or otherwise, including impacts on employment in our territories, the health impacts to our customers and employees due to the persistence of the virus or virus variants or efficacy of vaccines, the ability to collect on customer accounts due to the suspension or lifted moratorium on late fees or service disconnection in any or all jurisdictions, the ability to obtain regulatory recovery of all costs and financial impacts resulting from this pandemic, the ability of the infrastructure services business to resume or continue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or its variants, and decisions of Centuri customers (including Southwest) as to whether to pursue capital projects due to economic impacts resulting from the pandemic or otherwise, the ability to recover and timing thereof related to costs associated with the PGA mechanisms or other</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regulatory assets or programs,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with or without a discontinuance of LIBOR including in relation to amounts of indebtedness then outstanding,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planned (including accretion within the first twelve months or other periods) and future acquisition-related costs, the timing and magnitude of costs necessary to integrate and stand up newly acquired operations, administration, and systems, and the ability to complete stand-up for MountainWest prior to the expiration of the transition services agreement, the ability to attract, hire, and maintain necessary staff and management for our collective operations,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the ability of management to successfully finance, close, and assimilate acquired businesses, the impact on our stock price or our credit ratings due to undertaking or failing to undertake acquisition activity or other strategic endeavors, the impact on our stock price, costs, or businesses from the stock rights program, actions or disruptions of significant shareholders and costs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or plans relating to its financing and operating expenses will continue, proceed as planned, or cease to continue in future periods. For additional information on the risks associated with the Company’s business, see </w:t>
      </w:r>
      <w:r>
        <w:rPr>
          <w:rFonts w:ascii="Arial" w:cs="Arial" w:eastAsia="Arial" w:hAnsi="Arial"/>
          <w:sz w:val="16"/>
          <w:szCs w:val="16"/>
          <w:b w:val="1"/>
          <w:bCs w:val="1"/>
          <w:color w:val="auto"/>
        </w:rPr>
        <w:t>Item 1A. Risk Factors and Item 7A. Quantitative and Qualitative Disclosures About Market Risk</w:t>
      </w:r>
      <w:r>
        <w:rPr>
          <w:rFonts w:ascii="Arial" w:cs="Arial" w:eastAsia="Arial" w:hAnsi="Arial"/>
          <w:sz w:val="16"/>
          <w:szCs w:val="16"/>
          <w:color w:val="auto"/>
        </w:rPr>
        <w:t xml:space="preserve"> in the Annual Report on Form 10-K for the year ended December 31, 2021.</w:t>
      </w: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2021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most recent evaluation, as of March 31, 2022,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changes in the Company’s or Southwest’s internal control over financial reporting (as defined in Rules 13a-15(f) and 15d-15(f) of the Exchange Act) during the first quarter of 2022 that have materially affected, or are likely to materially affect the Company’s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 and Southwest are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or Southwest’s financial position or results of operations. See </w:t>
      </w:r>
      <w:r>
        <w:rPr>
          <w:rFonts w:ascii="Arial" w:cs="Arial" w:eastAsia="Arial" w:hAnsi="Arial"/>
          <w:sz w:val="16"/>
          <w:szCs w:val="16"/>
          <w:i w:val="1"/>
          <w:iCs w:val="1"/>
          <w:color w:val="auto"/>
        </w:rPr>
        <w:t>Contingency</w:t>
      </w:r>
      <w:r>
        <w:rPr>
          <w:rFonts w:ascii="Arial" w:cs="Arial" w:eastAsia="Arial" w:hAnsi="Arial"/>
          <w:sz w:val="16"/>
          <w:szCs w:val="16"/>
          <w:color w:val="auto"/>
        </w:rPr>
        <w:t xml:space="preserve"> within </w:t>
      </w:r>
      <w:r>
        <w:rPr>
          <w:rFonts w:ascii="Arial" w:cs="Arial" w:eastAsia="Arial" w:hAnsi="Arial"/>
          <w:sz w:val="16"/>
          <w:szCs w:val="16"/>
          <w:b w:val="1"/>
          <w:bCs w:val="1"/>
          <w:color w:val="auto"/>
        </w:rPr>
        <w:t>Note 1 – Background, Organization, and Summary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Significant Accounting Policies </w:t>
      </w:r>
      <w:r>
        <w:rPr>
          <w:rFonts w:ascii="Arial" w:cs="Arial" w:eastAsia="Arial" w:hAnsi="Arial"/>
          <w:sz w:val="16"/>
          <w:szCs w:val="16"/>
          <w:color w:val="auto"/>
        </w:rPr>
        <w:t>for ongoing litigation, including litigation filed by certain stockholders and by funds managed by Carl Icahn.</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Described below is a risk factor that we have identified that may have a negative impact on our future financial performance or affect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we achieve the goals or expectations expressed or implied in any forward-looking statements contained herein. This risk factor supplements, and does not replace, the Risk Factors and other disclosures made in our Annual Report on Form 10-K filed March 1,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 Risks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ongoing review of strategic alternatives could materially impact our strategic direction, business, and results of operations. We can provide no assurances as to the structure or timing of any strategic transaction or that one will be completed at all.</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18, 2022, we announced that our Board authorized a thorough review of a full range of strategic alternatives to maximize stockholder value. As part of this process, the Company will evaluate a sale of the Company, as well as a range of alternatives, including, but not limited to, a separate sale of its business units and/or pursuing the previously disclosed spin-off of Centuri. A committee of the Board, comprised entirely of independent directors, is overseeing the process. The timing, benefits, and outcome of the strategic review process or the structure, terms and specific risks and uncertainties associated with any particular strategic transaction are uncertain. Pursuit of any such strategic alternative could result in material disruptions in our business and otherwise have an adverse effect on the trading price of our common stock or our results of operations. We can provide no assurances as to the structure or timing of any potential strategic transaction or that one will be completed at all.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2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Arial" w:cs="Arial" w:eastAsia="Arial" w:hAnsi="Arial"/>
                <w:sz w:val="18"/>
                <w:szCs w:val="18"/>
                <w:color w:val="auto"/>
              </w:rPr>
              <w:t>Exhibit 4.01</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60">
              <w:r>
                <w:rPr>
                  <w:rFonts w:ascii="Arial" w:cs="Arial" w:eastAsia="Arial" w:hAnsi="Arial"/>
                  <w:sz w:val="18"/>
                  <w:szCs w:val="18"/>
                  <w:color w:val="0000FF"/>
                </w:rPr>
                <w:t>Third Supplemental Indenture, dated March 22, 2022, by and between Southwest Gas Corporation and The</w:t>
              </w:r>
            </w:hyperlink>
          </w:p>
        </w:tc>
      </w:tr>
      <w:tr>
        <w:trPr>
          <w:trHeight w:val="155"/>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120" w:type="dxa"/>
            <w:vAlign w:val="bottom"/>
            <w:tcBorders>
              <w:top w:val="single" w:sz="8" w:color="0000FF"/>
            </w:tcBorders>
            <w:gridSpan w:val="9"/>
          </w:tcPr>
          <w:p>
            <w:pPr>
              <w:spacing w:after="0" w:line="15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Bank of New York Mellon Trust Company, N.A., as Trustee. Incorporated herein by reference to Exhibit 4.1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Form 8-K dated March 17, 2022. File Nos. 001-37976 and 001-07850.</w:t>
              </w:r>
            </w:hyperlink>
          </w:p>
        </w:tc>
        <w:tc>
          <w:tcPr>
            <w:tcW w:w="30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64"/>
        </w:trPr>
        <w:tc>
          <w:tcPr>
            <w:tcW w:w="1340" w:type="dxa"/>
            <w:vAlign w:val="bottom"/>
          </w:tcPr>
          <w:p>
            <w:pPr>
              <w:ind w:left="20"/>
              <w:spacing w:after="0"/>
              <w:rPr>
                <w:sz w:val="20"/>
                <w:szCs w:val="20"/>
                <w:color w:val="auto"/>
              </w:rPr>
            </w:pPr>
            <w:r>
              <w:rPr>
                <w:rFonts w:ascii="Arial" w:cs="Arial" w:eastAsia="Arial" w:hAnsi="Arial"/>
                <w:sz w:val="18"/>
                <w:szCs w:val="18"/>
                <w:color w:val="auto"/>
              </w:rPr>
              <w:t>Exhibit 4.02</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60">
              <w:r>
                <w:rPr>
                  <w:rFonts w:ascii="Arial" w:cs="Arial" w:eastAsia="Arial" w:hAnsi="Arial"/>
                  <w:sz w:val="18"/>
                  <w:szCs w:val="18"/>
                  <w:color w:val="0000FF"/>
                </w:rPr>
                <w:t>Form of 4.05% Senior Note due 2032 (included in Exhibit 4.1). Incorporated herein by reference to Exhibit 4.2</w:t>
              </w:r>
            </w:hyperlink>
          </w:p>
        </w:tc>
      </w:tr>
      <w:tr>
        <w:trPr>
          <w:trHeight w:val="155"/>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to Form 8-K dated March 17, 2022. File Nos. 001-37976 and 001-07850.</w:t>
              </w:r>
            </w:hyperlink>
          </w:p>
        </w:tc>
        <w:tc>
          <w:tcPr>
            <w:tcW w:w="2800" w:type="dxa"/>
            <w:vAlign w:val="bottom"/>
            <w:tcBorders>
              <w:top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63"/>
        </w:trPr>
        <w:tc>
          <w:tcPr>
            <w:tcW w:w="1340" w:type="dxa"/>
            <w:vAlign w:val="bottom"/>
          </w:tcPr>
          <w:p>
            <w:pPr>
              <w:ind w:left="20"/>
              <w:spacing w:after="0"/>
              <w:rPr>
                <w:sz w:val="20"/>
                <w:szCs w:val="20"/>
                <w:color w:val="auto"/>
              </w:rPr>
            </w:pPr>
            <w:r>
              <w:rPr>
                <w:rFonts w:ascii="Arial" w:cs="Arial" w:eastAsia="Arial" w:hAnsi="Arial"/>
                <w:sz w:val="18"/>
                <w:szCs w:val="18"/>
                <w:color w:val="auto"/>
              </w:rPr>
              <w:t>Exhibit 4.03</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61">
              <w:r>
                <w:rPr>
                  <w:rFonts w:ascii="Arial" w:cs="Arial" w:eastAsia="Arial" w:hAnsi="Arial"/>
                  <w:sz w:val="18"/>
                  <w:szCs w:val="18"/>
                  <w:color w:val="0000FF"/>
                </w:rPr>
                <w:t>Southwest Gas Corporation 4.05% Senior Notes due 2032. Incorporated by reference to prospectus 424(b)(5)</w:t>
              </w:r>
            </w:hyperlink>
          </w:p>
        </w:tc>
      </w:tr>
      <w:tr>
        <w:trPr>
          <w:trHeight w:val="156"/>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1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dated March 18, 2022, File No. 333-251074-01.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3"/>
        </w:trPr>
        <w:tc>
          <w:tcPr>
            <w:tcW w:w="134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62">
              <w:r>
                <w:rPr>
                  <w:rFonts w:ascii="Arial" w:cs="Arial" w:eastAsia="Arial" w:hAnsi="Arial"/>
                  <w:sz w:val="18"/>
                  <w:szCs w:val="18"/>
                  <w:color w:val="0000FF"/>
                </w:rPr>
                <w:t>Amendment No. 1, dated as of March 22, 2022, to the Term Loan Agreement, dated as of March 23, 2021, by</w:t>
              </w:r>
            </w:hyperlink>
          </w:p>
        </w:tc>
      </w:tr>
      <w:tr>
        <w:trPr>
          <w:trHeight w:val="155"/>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and among Southwest Gas Corporation, the lenders, book runners and syndication agents party thereto and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6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0" w:type="dxa"/>
            <w:vAlign w:val="bottom"/>
            <w:gridSpan w:val="13"/>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Bank of New York Mellon, as Administrative Agent. Incorporated herein by reference to Exhibit 10.1 to Form</w:t>
              </w:r>
            </w:hyperlink>
          </w:p>
        </w:tc>
        <w:tc>
          <w:tcPr>
            <w:tcW w:w="136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8-K dated March 17, 2022. File Nos. 001-37976 and 001-07850.</w:t>
              </w:r>
            </w:hyperlink>
          </w:p>
        </w:tc>
        <w:tc>
          <w:tcPr>
            <w:tcW w:w="3520" w:type="dxa"/>
            <w:vAlign w:val="bottom"/>
            <w:tcBorders>
              <w:top w:val="single" w:sz="8" w:color="0000FF"/>
            </w:tcBorders>
            <w:gridSpan w:val="8"/>
          </w:tcPr>
          <w:p>
            <w:pPr>
              <w:spacing w:after="0"/>
              <w:rPr>
                <w:sz w:val="13"/>
                <w:szCs w:val="13"/>
                <w:color w:val="auto"/>
              </w:rPr>
            </w:pPr>
          </w:p>
        </w:tc>
        <w:tc>
          <w:tcPr>
            <w:tcW w:w="1380" w:type="dxa"/>
            <w:vAlign w:val="bottom"/>
            <w:gridSpan w:val="2"/>
          </w:tcPr>
          <w:p>
            <w:pPr>
              <w:spacing w:after="0"/>
              <w:rPr>
                <w:sz w:val="13"/>
                <w:szCs w:val="13"/>
                <w:color w:val="auto"/>
              </w:rPr>
            </w:pPr>
          </w:p>
        </w:tc>
      </w:tr>
      <w:tr>
        <w:trPr>
          <w:trHeight w:val="263"/>
        </w:trPr>
        <w:tc>
          <w:tcPr>
            <w:tcW w:w="1340" w:type="dxa"/>
            <w:vAlign w:val="bottom"/>
          </w:tcPr>
          <w:p>
            <w:pPr>
              <w:ind w:left="20"/>
              <w:spacing w:after="0"/>
              <w:rPr>
                <w:sz w:val="20"/>
                <w:szCs w:val="20"/>
                <w:color w:val="auto"/>
              </w:rPr>
            </w:pPr>
            <w:r>
              <w:rPr>
                <w:rFonts w:ascii="Arial" w:cs="Arial" w:eastAsia="Arial" w:hAnsi="Arial"/>
                <w:sz w:val="18"/>
                <w:szCs w:val="18"/>
                <w:color w:val="auto"/>
              </w:rPr>
              <w:t>Exhibit 31.01*</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3">
              <w:r>
                <w:rPr>
                  <w:rFonts w:ascii="Arial" w:cs="Arial" w:eastAsia="Arial" w:hAnsi="Arial"/>
                  <w:sz w:val="18"/>
                  <w:szCs w:val="18"/>
                  <w:color w:val="0000FF"/>
                </w:rPr>
                <w:t>Section 302 Certifications–Southwest Gas Holdings, Inc.</w:t>
              </w:r>
            </w:hyperlink>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r>
      <w:tr>
        <w:trPr>
          <w:trHeight w:val="264"/>
        </w:trPr>
        <w:tc>
          <w:tcPr>
            <w:tcW w:w="1340" w:type="dxa"/>
            <w:vAlign w:val="bottom"/>
          </w:tcPr>
          <w:p>
            <w:pPr>
              <w:ind w:left="20"/>
              <w:spacing w:after="0"/>
              <w:rPr>
                <w:sz w:val="20"/>
                <w:szCs w:val="20"/>
                <w:color w:val="auto"/>
              </w:rPr>
            </w:pPr>
            <w:r>
              <w:rPr>
                <w:rFonts w:ascii="Arial" w:cs="Arial" w:eastAsia="Arial" w:hAnsi="Arial"/>
                <w:sz w:val="18"/>
                <w:szCs w:val="18"/>
                <w:color w:val="auto"/>
              </w:rPr>
              <w:t>Exhibit 31.02*</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color w:val="0000FF"/>
                </w:rPr>
                <w:t>Section 302 Certifications–Southwest Gas Corporation</w:t>
              </w:r>
            </w:hyperlink>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600" w:type="dxa"/>
            <w:vAlign w:val="bottom"/>
            <w:tcBorders>
              <w:left w:val="single" w:sz="8" w:color="0000FF"/>
            </w:tcBorders>
            <w:gridSpan w:val="12"/>
          </w:tcPr>
          <w:p>
            <w:pPr>
              <w:spacing w:after="0" w:line="20" w:lineRule="exact"/>
              <w:rPr>
                <w:sz w:val="1"/>
                <w:szCs w:val="1"/>
                <w:color w:val="auto"/>
              </w:rPr>
            </w:pPr>
          </w:p>
        </w:tc>
      </w:tr>
      <w:tr>
        <w:trPr>
          <w:trHeight w:val="264"/>
        </w:trPr>
        <w:tc>
          <w:tcPr>
            <w:tcW w:w="1340" w:type="dxa"/>
            <w:vAlign w:val="bottom"/>
          </w:tcPr>
          <w:p>
            <w:pPr>
              <w:ind w:left="20"/>
              <w:spacing w:after="0"/>
              <w:rPr>
                <w:sz w:val="20"/>
                <w:szCs w:val="20"/>
                <w:color w:val="auto"/>
              </w:rPr>
            </w:pPr>
            <w:r>
              <w:rPr>
                <w:rFonts w:ascii="Arial" w:cs="Arial" w:eastAsia="Arial" w:hAnsi="Arial"/>
                <w:sz w:val="18"/>
                <w:szCs w:val="18"/>
                <w:color w:val="auto"/>
              </w:rPr>
              <w:t>Exhibit 32.01*</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7">
              <w:r>
                <w:rPr>
                  <w:rFonts w:ascii="Arial" w:cs="Arial" w:eastAsia="Arial" w:hAnsi="Arial"/>
                  <w:sz w:val="18"/>
                  <w:szCs w:val="18"/>
                  <w:color w:val="0000FF"/>
                </w:rPr>
                <w:t>Section 906 Certifications–Southwest Gas Holdings, Inc.</w:t>
              </w:r>
            </w:hyperlink>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r>
      <w:tr>
        <w:trPr>
          <w:trHeight w:val="263"/>
        </w:trPr>
        <w:tc>
          <w:tcPr>
            <w:tcW w:w="1340" w:type="dxa"/>
            <w:vAlign w:val="bottom"/>
          </w:tcPr>
          <w:p>
            <w:pPr>
              <w:ind w:left="20"/>
              <w:spacing w:after="0"/>
              <w:rPr>
                <w:sz w:val="20"/>
                <w:szCs w:val="20"/>
                <w:color w:val="auto"/>
              </w:rPr>
            </w:pPr>
            <w:r>
              <w:rPr>
                <w:rFonts w:ascii="Arial" w:cs="Arial" w:eastAsia="Arial" w:hAnsi="Arial"/>
                <w:sz w:val="18"/>
                <w:szCs w:val="18"/>
                <w:color w:val="auto"/>
              </w:rPr>
              <w:t>Exhibit 32.02*</w:t>
            </w:r>
          </w:p>
        </w:tc>
        <w:tc>
          <w:tcPr>
            <w:tcW w:w="9900" w:type="dxa"/>
            <w:vAlign w:val="bottom"/>
            <w:gridSpan w:val="15"/>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8">
              <w:r>
                <w:rPr>
                  <w:rFonts w:ascii="Arial" w:cs="Arial" w:eastAsia="Arial" w:hAnsi="Arial"/>
                  <w:sz w:val="18"/>
                  <w:szCs w:val="18"/>
                  <w:color w:val="0000FF"/>
                </w:rPr>
                <w:t>Section 906 Certifications–Southwest Gas Corporation</w:t>
              </w:r>
            </w:hyperlink>
          </w:p>
        </w:tc>
      </w:tr>
      <w:tr>
        <w:trPr>
          <w:trHeight w:val="20"/>
        </w:trPr>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600" w:type="dxa"/>
            <w:vAlign w:val="bottom"/>
            <w:gridSpan w:val="12"/>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900" w:type="dxa"/>
            <w:vAlign w:val="bottom"/>
            <w:gridSpan w:val="15"/>
          </w:tcPr>
          <w:p>
            <w:pPr>
              <w:ind w:left="140"/>
              <w:spacing w:after="0"/>
              <w:rPr>
                <w:sz w:val="20"/>
                <w:szCs w:val="20"/>
                <w:color w:val="auto"/>
              </w:rPr>
            </w:pPr>
            <w:r>
              <w:rPr>
                <w:rFonts w:ascii="Arial" w:cs="Arial" w:eastAsia="Arial" w:hAnsi="Arial"/>
                <w:sz w:val="18"/>
                <w:szCs w:val="18"/>
                <w:color w:val="auto"/>
              </w:rPr>
              <w:t>-  The following materials from the Quarterly Report on Form 10-Q of Southwest Gas Holdings, Inc. and</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Southwest Gas Corporation for the quarter ended March 31, 2022, were formatted in Inline XBRL (Extensible</w:t>
            </w:r>
          </w:p>
        </w:tc>
      </w:tr>
      <w:tr>
        <w:trPr>
          <w:trHeight w:val="176"/>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Business Reporting Language): (1) Southwest Gas Holdings, Inc. and Subsidiaries Condensed Consolidated</w:t>
            </w:r>
          </w:p>
        </w:tc>
      </w:tr>
      <w:tr>
        <w:trPr>
          <w:trHeight w:val="176"/>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Balance Sheets, (ii) Southwest Gas Holdings, Inc. and Subsidiaries Condensed Consolidated Statements of</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Income,  (iii)  Southwest  Gas  Holdings,  Inc.  and  Subsidiaries  Condensed  Consolidated  Statements  of</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Comprehensive  Income,  (iv)  Southwest  Gas  Holdings,  Inc.  and  Subsidiaries  Condensed  Consolidated</w:t>
            </w:r>
          </w:p>
        </w:tc>
      </w:tr>
      <w:tr>
        <w:trPr>
          <w:trHeight w:val="176"/>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Statements of Cash Flows, (v) Southwest Gas Holdings, Inc. and Subsidiaries Condensed Consolidated</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Statements of Equity, (vi) Southwest Gas Corporation and Subsidiaries Condensed Consolidated Balance</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Sheets, (vii) Southwest Gas Corporation and Subsidiaries Condensed Consolidated Statements of Income, (viii)</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Southwest Gas Corporation and Subsidiaries Condensed Consolidated Statements of Comprehensive Income,</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(ix) Southwest Gas Corporation and Subsidiaries Condensed Consolidated Statements of Cash Flows, (x)</w:t>
            </w:r>
          </w:p>
        </w:tc>
      </w:tr>
      <w:tr>
        <w:trPr>
          <w:trHeight w:val="175"/>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Southwest Gas Corporation and Subsidiaries Condensed Consolidated Statements of Equity. The instance</w:t>
            </w:r>
          </w:p>
        </w:tc>
      </w:tr>
      <w:tr>
        <w:trPr>
          <w:trHeight w:val="176"/>
        </w:trPr>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60" w:type="dxa"/>
            <w:vAlign w:val="bottom"/>
            <w:gridSpan w:val="14"/>
          </w:tcPr>
          <w:p>
            <w:pPr>
              <w:spacing w:after="0" w:line="176" w:lineRule="exact"/>
              <w:rPr>
                <w:sz w:val="20"/>
                <w:szCs w:val="20"/>
                <w:color w:val="auto"/>
              </w:rPr>
            </w:pPr>
            <w:r>
              <w:rPr>
                <w:rFonts w:ascii="Arial" w:cs="Arial" w:eastAsia="Arial" w:hAnsi="Arial"/>
                <w:sz w:val="18"/>
                <w:szCs w:val="18"/>
                <w:color w:val="auto"/>
              </w:rPr>
              <w:t>document does not appear in the Interactive Data File because its XBRL tags are embedded within the Inline</w:t>
            </w:r>
          </w:p>
        </w:tc>
      </w:tr>
      <w:tr>
        <w:trPr>
          <w:trHeight w:val="230"/>
        </w:trPr>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XBRL document.</w:t>
            </w:r>
          </w:p>
        </w:tc>
      </w:tr>
      <w:tr>
        <w:trPr>
          <w:trHeight w:val="283"/>
        </w:trPr>
        <w:tc>
          <w:tcPr>
            <w:tcW w:w="134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56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83"/>
        </w:trPr>
        <w:tc>
          <w:tcPr>
            <w:tcW w:w="134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10"/>
        </w:trPr>
        <w:tc>
          <w:tcPr>
            <w:tcW w:w="1340" w:type="dxa"/>
            <w:vAlign w:val="bottom"/>
          </w:tcPr>
          <w:p>
            <w:pPr>
              <w:spacing w:after="0"/>
              <w:rPr>
                <w:sz w:val="24"/>
                <w:szCs w:val="24"/>
                <w:color w:val="auto"/>
              </w:rPr>
            </w:pPr>
          </w:p>
        </w:tc>
        <w:tc>
          <w:tcPr>
            <w:tcW w:w="4460" w:type="dxa"/>
            <w:vAlign w:val="bottom"/>
            <w:gridSpan w:val="4"/>
          </w:tcPr>
          <w:p>
            <w:pPr>
              <w:ind w:left="418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134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34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2022</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25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10, 2022</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May 10, 2022</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2022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March 31, 2022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2022 as filed with the Securities and Exchange Commission (the “Report”), I, Karen S. Haller,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March 31, 2022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60" Type="http://schemas.openxmlformats.org/officeDocument/2006/relationships/hyperlink" Target="http://www.sec.gov/Archives/edgar/data/92416/000119312522081759/d315333dex41.htm" TargetMode="External"/><Relationship Id="rId61" Type="http://schemas.openxmlformats.org/officeDocument/2006/relationships/hyperlink" Target="http://www.sec.gov/Archives/edgar/data/92416/000119312522079533/d330065d424b5.htm" TargetMode="External"/><Relationship Id="rId62" Type="http://schemas.openxmlformats.org/officeDocument/2006/relationships/hyperlink" Target="http://www.sec.gov/Archives/edgar/data/92416/000119312522081759/d3153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2022-05-10T15:59:08Z</dcterms:created>
  <dcterms:modified xsi:type="dcterms:W3CDTF">2022-05-10T15:59:08Z</dcterms:modified>
</cp:coreProperties>
</file>