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46"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1"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2019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9" w:lineRule="exact"/>
        <w:rPr>
          <w:sz w:val="24"/>
          <w:szCs w:val="24"/>
          <w:color w:val="auto"/>
        </w:rPr>
      </w:pPr>
    </w:p>
    <w:p>
      <w:pPr>
        <w:ind w:left="680" w:hanging="449"/>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00"/>
              <w:spacing w:after="0"/>
              <w:rPr>
                <w:sz w:val="20"/>
                <w:szCs w:val="20"/>
                <w:color w:val="auto"/>
              </w:rPr>
            </w:pPr>
            <w:r>
              <w:rPr>
                <w:rFonts w:ascii="Arial" w:cs="Arial" w:eastAsia="Arial" w:hAnsi="Arial"/>
                <w:sz w:val="14"/>
                <w:szCs w:val="14"/>
                <w:i w:val="1"/>
                <w:iCs w:val="1"/>
                <w:color w:val="auto"/>
                <w:w w:val="93"/>
              </w:rPr>
              <w:t>Commission</w:t>
            </w:r>
          </w:p>
        </w:tc>
        <w:tc>
          <w:tcPr>
            <w:tcW w:w="4040" w:type="dxa"/>
            <w:vAlign w:val="bottom"/>
            <w:gridSpan w:val="2"/>
          </w:tcPr>
          <w:p>
            <w:pPr>
              <w:ind w:left="42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63"/>
              <w:spacing w:after="0"/>
              <w:rPr>
                <w:sz w:val="20"/>
                <w:szCs w:val="20"/>
                <w:color w:val="auto"/>
              </w:rPr>
            </w:pPr>
            <w:r>
              <w:rPr>
                <w:rFonts w:ascii="Arial" w:cs="Arial" w:eastAsia="Arial" w:hAnsi="Arial"/>
                <w:sz w:val="14"/>
                <w:szCs w:val="14"/>
                <w:i w:val="1"/>
                <w:iCs w:val="1"/>
                <w:color w:val="auto"/>
                <w:w w:val="91"/>
              </w:rPr>
              <w:t>State of</w:t>
            </w:r>
          </w:p>
        </w:tc>
        <w:tc>
          <w:tcPr>
            <w:tcW w:w="3020" w:type="dxa"/>
            <w:vAlign w:val="bottom"/>
          </w:tcPr>
          <w:p>
            <w:pPr>
              <w:jc w:val="center"/>
              <w:ind w:left="443"/>
              <w:spacing w:after="0"/>
              <w:rPr>
                <w:sz w:val="20"/>
                <w:szCs w:val="20"/>
                <w:color w:val="auto"/>
              </w:rPr>
            </w:pPr>
            <w:r>
              <w:rPr>
                <w:rFonts w:ascii="Arial" w:cs="Arial" w:eastAsia="Arial" w:hAnsi="Arial"/>
                <w:sz w:val="14"/>
                <w:szCs w:val="14"/>
                <w:i w:val="1"/>
                <w:iCs w:val="1"/>
                <w:color w:val="auto"/>
                <w:w w:val="85"/>
              </w:rPr>
              <w:t>I.R.S.</w:t>
            </w:r>
          </w:p>
        </w:tc>
      </w:tr>
      <w:tr>
        <w:trPr>
          <w:trHeight w:val="188"/>
        </w:trPr>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w w:val="97"/>
              </w:rPr>
              <w:t>File Number</w:t>
            </w:r>
          </w:p>
        </w:tc>
        <w:tc>
          <w:tcPr>
            <w:tcW w:w="40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43"/>
              <w:spacing w:after="0"/>
              <w:rPr>
                <w:sz w:val="20"/>
                <w:szCs w:val="20"/>
                <w:color w:val="auto"/>
              </w:rPr>
            </w:pPr>
            <w:r>
              <w:rPr>
                <w:rFonts w:ascii="Arial" w:cs="Arial" w:eastAsia="Arial" w:hAnsi="Arial"/>
                <w:sz w:val="14"/>
                <w:szCs w:val="14"/>
                <w:i w:val="1"/>
                <w:iCs w:val="1"/>
                <w:color w:val="auto"/>
                <w:w w:val="97"/>
              </w:rPr>
              <w:t>Incorporation</w:t>
            </w:r>
          </w:p>
        </w:tc>
        <w:tc>
          <w:tcPr>
            <w:tcW w:w="3020" w:type="dxa"/>
            <w:vAlign w:val="bottom"/>
            <w:tcBorders>
              <w:bottom w:val="single" w:sz="8" w:color="auto"/>
            </w:tcBorders>
          </w:tcPr>
          <w:p>
            <w:pPr>
              <w:jc w:val="center"/>
              <w:ind w:left="44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37"/>
        </w:trPr>
        <w:tc>
          <w:tcPr>
            <w:tcW w:w="940" w:type="dxa"/>
            <w:vAlign w:val="bottom"/>
          </w:tcPr>
          <w:p>
            <w:pPr>
              <w:jc w:val="right"/>
              <w:spacing w:after="0"/>
              <w:rPr>
                <w:sz w:val="20"/>
                <w:szCs w:val="20"/>
                <w:color w:val="auto"/>
              </w:rPr>
            </w:pPr>
            <w:r>
              <w:rPr>
                <w:rFonts w:ascii="Arial" w:cs="Arial" w:eastAsia="Arial" w:hAnsi="Arial"/>
                <w:sz w:val="16"/>
                <w:szCs w:val="16"/>
                <w:color w:val="auto"/>
              </w:rPr>
              <w:t>001-37976</w:t>
            </w:r>
          </w:p>
        </w:tc>
        <w:tc>
          <w:tcPr>
            <w:tcW w:w="2440" w:type="dxa"/>
            <w:vAlign w:val="bottom"/>
          </w:tcPr>
          <w:p>
            <w:pPr>
              <w:ind w:left="420"/>
              <w:spacing w:after="0"/>
              <w:rPr>
                <w:sz w:val="20"/>
                <w:szCs w:val="20"/>
                <w:color w:val="auto"/>
              </w:rPr>
            </w:pPr>
            <w:r>
              <w:rPr>
                <w:rFonts w:ascii="Arial" w:cs="Arial" w:eastAsia="Arial" w:hAnsi="Arial"/>
                <w:sz w:val="16"/>
                <w:szCs w:val="16"/>
                <w:color w:val="auto"/>
                <w:w w:val="95"/>
              </w:rPr>
              <w:t>Southwest Gas Holdings, Inc.</w:t>
            </w: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83"/>
              <w:spacing w:after="0"/>
              <w:rPr>
                <w:sz w:val="20"/>
                <w:szCs w:val="20"/>
                <w:color w:val="auto"/>
              </w:rPr>
            </w:pPr>
            <w:r>
              <w:rPr>
                <w:rFonts w:ascii="Arial" w:cs="Arial" w:eastAsia="Arial" w:hAnsi="Arial"/>
                <w:sz w:val="16"/>
                <w:szCs w:val="16"/>
                <w:color w:val="auto"/>
                <w:w w:val="97"/>
              </w:rPr>
              <w:t>California</w:t>
            </w:r>
          </w:p>
        </w:tc>
        <w:tc>
          <w:tcPr>
            <w:tcW w:w="3020" w:type="dxa"/>
            <w:vAlign w:val="bottom"/>
          </w:tcPr>
          <w:p>
            <w:pPr>
              <w:jc w:val="center"/>
              <w:ind w:left="443"/>
              <w:spacing w:after="0"/>
              <w:rPr>
                <w:sz w:val="20"/>
                <w:szCs w:val="20"/>
                <w:color w:val="auto"/>
              </w:rPr>
            </w:pPr>
            <w:r>
              <w:rPr>
                <w:rFonts w:ascii="Arial" w:cs="Arial" w:eastAsia="Arial" w:hAnsi="Arial"/>
                <w:sz w:val="16"/>
                <w:szCs w:val="16"/>
                <w:color w:val="auto"/>
                <w:w w:val="91"/>
              </w:rPr>
              <w:t>81-3881866</w:t>
            </w: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5241 Spring Mountain Road</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Post Office Box 98510</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Las Vegas,</w:t>
            </w: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Nevada</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89193-8510</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0" w:type="dxa"/>
            <w:vAlign w:val="bottom"/>
          </w:tcPr>
          <w:p>
            <w:pPr>
              <w:jc w:val="right"/>
              <w:ind w:right="419"/>
              <w:spacing w:after="0"/>
              <w:rPr>
                <w:sz w:val="20"/>
                <w:szCs w:val="20"/>
                <w:color w:val="auto"/>
              </w:rPr>
            </w:pPr>
            <w:r>
              <w:rPr>
                <w:rFonts w:ascii="Arial" w:cs="Arial" w:eastAsia="Arial" w:hAnsi="Arial"/>
                <w:sz w:val="16"/>
                <w:szCs w:val="16"/>
                <w:color w:val="auto"/>
                <w:w w:val="98"/>
              </w:rPr>
              <w:t>(702) 876-7237</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03"/>
        </w:trPr>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1"/>
        </w:trPr>
        <w:tc>
          <w:tcPr>
            <w:tcW w:w="940" w:type="dxa"/>
            <w:vAlign w:val="bottom"/>
          </w:tcPr>
          <w:p>
            <w:pPr>
              <w:jc w:val="right"/>
              <w:ind w:right="83"/>
              <w:spacing w:after="0"/>
              <w:rPr>
                <w:sz w:val="20"/>
                <w:szCs w:val="20"/>
                <w:color w:val="auto"/>
              </w:rPr>
            </w:pPr>
            <w:r>
              <w:rPr>
                <w:rFonts w:ascii="Arial" w:cs="Arial" w:eastAsia="Arial" w:hAnsi="Arial"/>
                <w:sz w:val="16"/>
                <w:szCs w:val="16"/>
                <w:color w:val="auto"/>
              </w:rPr>
              <w:t>1-7850</w:t>
            </w:r>
          </w:p>
        </w:tc>
        <w:tc>
          <w:tcPr>
            <w:tcW w:w="2440" w:type="dxa"/>
            <w:vAlign w:val="bottom"/>
          </w:tcPr>
          <w:p>
            <w:pPr>
              <w:ind w:left="420"/>
              <w:spacing w:after="0"/>
              <w:rPr>
                <w:sz w:val="20"/>
                <w:szCs w:val="20"/>
                <w:color w:val="auto"/>
              </w:rPr>
            </w:pPr>
            <w:r>
              <w:rPr>
                <w:rFonts w:ascii="Arial" w:cs="Arial" w:eastAsia="Arial" w:hAnsi="Arial"/>
                <w:sz w:val="16"/>
                <w:szCs w:val="16"/>
                <w:color w:val="auto"/>
              </w:rPr>
              <w:t>Southwest Gas Corporation</w:t>
            </w: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83"/>
              <w:spacing w:after="0"/>
              <w:rPr>
                <w:sz w:val="20"/>
                <w:szCs w:val="20"/>
                <w:color w:val="auto"/>
              </w:rPr>
            </w:pPr>
            <w:r>
              <w:rPr>
                <w:rFonts w:ascii="Arial" w:cs="Arial" w:eastAsia="Arial" w:hAnsi="Arial"/>
                <w:sz w:val="16"/>
                <w:szCs w:val="16"/>
                <w:color w:val="auto"/>
                <w:w w:val="97"/>
              </w:rPr>
              <w:t>California</w:t>
            </w:r>
          </w:p>
        </w:tc>
        <w:tc>
          <w:tcPr>
            <w:tcW w:w="3020" w:type="dxa"/>
            <w:vAlign w:val="bottom"/>
          </w:tcPr>
          <w:p>
            <w:pPr>
              <w:jc w:val="center"/>
              <w:ind w:left="443"/>
              <w:spacing w:after="0"/>
              <w:rPr>
                <w:sz w:val="20"/>
                <w:szCs w:val="20"/>
                <w:color w:val="auto"/>
              </w:rPr>
            </w:pPr>
            <w:r>
              <w:rPr>
                <w:rFonts w:ascii="Arial" w:cs="Arial" w:eastAsia="Arial" w:hAnsi="Arial"/>
                <w:sz w:val="16"/>
                <w:szCs w:val="16"/>
                <w:color w:val="auto"/>
                <w:w w:val="91"/>
              </w:rPr>
              <w:t>88-0085720</w:t>
            </w: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5241 Spring Mountain Road</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Post Office Box 98510</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Las Vegas,</w:t>
            </w: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Nevada</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89193-8510</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0" w:type="dxa"/>
            <w:vAlign w:val="bottom"/>
          </w:tcPr>
          <w:p>
            <w:pPr>
              <w:jc w:val="right"/>
              <w:ind w:right="419"/>
              <w:spacing w:after="0"/>
              <w:rPr>
                <w:sz w:val="20"/>
                <w:szCs w:val="20"/>
                <w:color w:val="auto"/>
              </w:rPr>
            </w:pPr>
            <w:r>
              <w:rPr>
                <w:rFonts w:ascii="Arial" w:cs="Arial" w:eastAsia="Arial" w:hAnsi="Arial"/>
                <w:sz w:val="16"/>
                <w:szCs w:val="16"/>
                <w:color w:val="auto"/>
                <w:w w:val="98"/>
              </w:rPr>
              <w:t>(702) 876-7237</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500"/>
        </w:trPr>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20" w:type="dxa"/>
            <w:vAlign w:val="bottom"/>
            <w:gridSpan w:val="7"/>
          </w:tcPr>
          <w:p>
            <w:pPr>
              <w:ind w:left="36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02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4040" w:type="dxa"/>
            <w:vAlign w:val="bottom"/>
            <w:gridSpan w:val="2"/>
          </w:tcPr>
          <w:p>
            <w:pPr>
              <w:ind w:left="1380"/>
              <w:spacing w:after="0"/>
              <w:rPr>
                <w:sz w:val="20"/>
                <w:szCs w:val="20"/>
                <w:color w:val="auto"/>
              </w:rPr>
            </w:pPr>
            <w:r>
              <w:rPr>
                <w:rFonts w:ascii="Arial" w:cs="Arial" w:eastAsia="Arial" w:hAnsi="Arial"/>
                <w:sz w:val="16"/>
                <w:szCs w:val="16"/>
                <w:b w:val="1"/>
                <w:bCs w:val="1"/>
                <w:color w:val="auto"/>
              </w:rPr>
              <w:t>Title of each class</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Trading Symbol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7"/>
        </w:trPr>
        <w:tc>
          <w:tcPr>
            <w:tcW w:w="940" w:type="dxa"/>
            <w:vAlign w:val="bottom"/>
          </w:tcPr>
          <w:p>
            <w:pPr>
              <w:spacing w:after="0"/>
              <w:rPr>
                <w:sz w:val="18"/>
                <w:szCs w:val="18"/>
                <w:color w:val="auto"/>
              </w:rPr>
            </w:pPr>
          </w:p>
        </w:tc>
        <w:tc>
          <w:tcPr>
            <w:tcW w:w="4040" w:type="dxa"/>
            <w:vAlign w:val="bottom"/>
            <w:gridSpan w:val="2"/>
          </w:tcPr>
          <w:p>
            <w:pPr>
              <w:ind w:left="40"/>
              <w:spacing w:after="0"/>
              <w:rPr>
                <w:sz w:val="20"/>
                <w:szCs w:val="20"/>
                <w:color w:val="auto"/>
              </w:rPr>
            </w:pPr>
            <w:r>
              <w:rPr>
                <w:rFonts w:ascii="Arial" w:cs="Arial" w:eastAsia="Arial" w:hAnsi="Arial"/>
                <w:sz w:val="16"/>
                <w:szCs w:val="16"/>
                <w:color w:val="auto"/>
                <w:w w:val="93"/>
              </w:rPr>
              <w:t>Southwest Gas Holdings, Inc. Common Stock, $1 Par Value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SWX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20" w:type="dxa"/>
            <w:vAlign w:val="bottom"/>
          </w:tcPr>
          <w:p>
            <w:pPr>
              <w:jc w:val="center"/>
              <w:ind w:right="783"/>
              <w:spacing w:after="0"/>
              <w:rPr>
                <w:sz w:val="20"/>
                <w:szCs w:val="20"/>
                <w:color w:val="auto"/>
              </w:rPr>
            </w:pPr>
            <w:r>
              <w:rPr>
                <w:rFonts w:ascii="Arial" w:cs="Arial" w:eastAsia="Arial" w:hAnsi="Arial"/>
                <w:sz w:val="16"/>
                <w:szCs w:val="16"/>
                <w:color w:val="auto"/>
                <w:w w:val="92"/>
              </w:rPr>
              <w:t>New York Stock Exchange</w:t>
            </w:r>
          </w:p>
        </w:tc>
      </w:tr>
    </w:tbl>
    <w:p>
      <w:pPr>
        <w:spacing w:after="0" w:line="145" w:lineRule="exact"/>
        <w:rPr>
          <w:sz w:val="24"/>
          <w:szCs w:val="24"/>
          <w:color w:val="auto"/>
        </w:rPr>
      </w:pPr>
    </w:p>
    <w:p>
      <w:pPr>
        <w:ind w:right="40"/>
        <w:spacing w:after="0" w:line="293" w:lineRule="auto"/>
        <w:rPr>
          <w:sz w:val="20"/>
          <w:szCs w:val="20"/>
          <w:color w:val="auto"/>
        </w:rPr>
      </w:pPr>
      <w:r>
        <w:rPr>
          <w:rFonts w:ascii="Arial" w:cs="Arial" w:eastAsia="Arial" w:hAnsi="Arial"/>
          <w:sz w:val="15"/>
          <w:szCs w:val="15"/>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27" w:lineRule="exact"/>
        <w:rPr>
          <w:sz w:val="24"/>
          <w:szCs w:val="24"/>
          <w:color w:val="auto"/>
        </w:rPr>
      </w:pPr>
    </w:p>
    <w:p>
      <w:pPr>
        <w:ind w:right="480"/>
        <w:spacing w:after="0" w:line="224"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2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91"/>
        </w:trPr>
        <w:tc>
          <w:tcPr>
            <w:tcW w:w="250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50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50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1" w:lineRule="exact"/>
        <w:rPr>
          <w:sz w:val="24"/>
          <w:szCs w:val="24"/>
          <w:color w:val="auto"/>
        </w:rPr>
      </w:pPr>
    </w:p>
    <w:p>
      <w:pPr>
        <w:jc w:val="both"/>
        <w:ind w:right="16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2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91"/>
        </w:trPr>
        <w:tc>
          <w:tcPr>
            <w:tcW w:w="23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3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38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19" w:lineRule="exact"/>
        <w:rPr>
          <w:sz w:val="24"/>
          <w:szCs w:val="24"/>
          <w:color w:val="auto"/>
        </w:rPr>
      </w:pPr>
    </w:p>
    <w:p>
      <w:pPr>
        <w:jc w:val="both"/>
        <w:ind w:right="16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Southwest Gas Holdings, Inc. Common Stock, $1 Par Value, 54,324,289 shares as of July 31, 2019.</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July 31, 2019.</w:t>
      </w: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ectPr>
          <w:pgSz w:w="11900" w:h="16838" w:orient="portrait"/>
          <w:cols w:equalWidth="0" w:num="1">
            <w:col w:w="11420"/>
          </w:cols>
          <w:pgMar w:left="240" w:top="224" w:right="239" w:bottom="794" w:gutter="0" w:footer="0" w:header="0"/>
        </w:sectPr>
      </w:pPr>
    </w:p>
    <w:p>
      <w:pPr>
        <w:spacing w:after="0" w:line="36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24" w:right="239" w:bottom="794"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spacing w:after="0" w:line="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SOUTHWEST GAS HOLDINGS, INC.</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SOUTHWEST GAS CORPORATION</w:t>
      </w:r>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left="3420"/>
        <w:spacing w:after="0" w:line="259" w:lineRule="auto"/>
        <w:rPr>
          <w:sz w:val="20"/>
          <w:szCs w:val="20"/>
          <w:color w:val="auto"/>
        </w:rPr>
      </w:pPr>
      <w:r>
        <w:rPr>
          <w:rFonts w:ascii="Arial" w:cs="Arial" w:eastAsia="Arial" w:hAnsi="Arial"/>
          <w:sz w:val="18"/>
          <w:szCs w:val="18"/>
          <w:color w:val="auto"/>
        </w:rPr>
        <w:t>SOUTHWEST GAS HOLDINGS, INC. AND SUBSIDIARIES CONDENSED CONSOLIDATED BALANCE SHEETS (Thousands of dollars,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247650</wp:posOffset>
            </wp:positionV>
            <wp:extent cx="722947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79"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ASSETS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460" w:type="dxa"/>
            <w:vAlign w:val="bottom"/>
          </w:tcPr>
          <w:p>
            <w:pPr>
              <w:ind w:left="360"/>
              <w:spacing w:after="0"/>
              <w:rPr>
                <w:sz w:val="20"/>
                <w:szCs w:val="20"/>
                <w:color w:val="auto"/>
              </w:rPr>
            </w:pPr>
            <w:r>
              <w:rPr>
                <w:rFonts w:ascii="Arial" w:cs="Arial" w:eastAsia="Arial" w:hAnsi="Arial"/>
                <w:sz w:val="14"/>
                <w:szCs w:val="14"/>
                <w:color w:val="auto"/>
              </w:rPr>
              <w:t>Gas plant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60"/>
              <w:spacing w:after="0"/>
              <w:rPr>
                <w:sz w:val="20"/>
                <w:szCs w:val="20"/>
                <w:color w:val="auto"/>
              </w:rPr>
            </w:pPr>
            <w:r>
              <w:rPr>
                <w:rFonts w:ascii="Arial" w:cs="Arial" w:eastAsia="Arial" w:hAnsi="Arial"/>
                <w:sz w:val="14"/>
                <w:szCs w:val="14"/>
                <w:color w:val="auto"/>
              </w:rPr>
              <w:t>Less: accumulated depreciation</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Construction work in progress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Net utility plant</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spacing w:after="0"/>
              <w:rPr>
                <w:sz w:val="20"/>
                <w:szCs w:val="20"/>
                <w:color w:val="auto"/>
              </w:rPr>
            </w:pPr>
            <w:r>
              <w:rPr>
                <w:rFonts w:ascii="Arial" w:cs="Arial" w:eastAsia="Arial" w:hAnsi="Arial"/>
                <w:sz w:val="14"/>
                <w:szCs w:val="14"/>
                <w:color w:val="auto"/>
              </w:rPr>
              <w:t>Other property and investments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spacing w:after="0"/>
              <w:rPr>
                <w:sz w:val="20"/>
                <w:szCs w:val="20"/>
                <w:color w:val="auto"/>
              </w:rPr>
            </w:pPr>
            <w:r>
              <w:rPr>
                <w:rFonts w:ascii="Arial" w:cs="Arial" w:eastAsia="Arial" w:hAnsi="Arial"/>
                <w:sz w:val="14"/>
                <w:szCs w:val="14"/>
                <w:color w:val="auto"/>
              </w:rPr>
              <w:t>Current assets: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46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Accounts receivable, net of allowances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Accrued utility revenue</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Deferred purchased gas costs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Prepaid and other current assets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spacing w:after="0"/>
              <w:rPr>
                <w:sz w:val="20"/>
                <w:szCs w:val="20"/>
                <w:color w:val="auto"/>
              </w:rPr>
            </w:pPr>
            <w:r>
              <w:rPr>
                <w:rFonts w:ascii="Arial" w:cs="Arial" w:eastAsia="Arial" w:hAnsi="Arial"/>
                <w:sz w:val="14"/>
                <w:szCs w:val="14"/>
                <w:color w:val="auto"/>
              </w:rPr>
              <w:t>Noncurrent assets: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460" w:type="dxa"/>
            <w:vAlign w:val="bottom"/>
          </w:tcPr>
          <w:p>
            <w:pPr>
              <w:ind w:left="360"/>
              <w:spacing w:after="0"/>
              <w:rPr>
                <w:sz w:val="20"/>
                <w:szCs w:val="20"/>
                <w:color w:val="auto"/>
              </w:rPr>
            </w:pPr>
            <w:r>
              <w:rPr>
                <w:rFonts w:ascii="Arial" w:cs="Arial" w:eastAsia="Arial" w:hAnsi="Arial"/>
                <w:sz w:val="14"/>
                <w:szCs w:val="14"/>
                <w:color w:val="auto"/>
              </w:rPr>
              <w:t>Goodwill</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Deferred charges and other assets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Total noncurrent assets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spacing w:after="0"/>
              <w:rPr>
                <w:sz w:val="20"/>
                <w:szCs w:val="20"/>
                <w:color w:val="auto"/>
              </w:rPr>
            </w:pPr>
            <w:r>
              <w:rPr>
                <w:rFonts w:ascii="Arial" w:cs="Arial" w:eastAsia="Arial" w:hAnsi="Arial"/>
                <w:sz w:val="14"/>
                <w:szCs w:val="14"/>
                <w:color w:val="auto"/>
              </w:rPr>
              <w:t>Total assets</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74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680"/>
              <w:spacing w:after="0"/>
              <w:rPr>
                <w:sz w:val="20"/>
                <w:szCs w:val="20"/>
                <w:color w:val="auto"/>
              </w:rPr>
            </w:pPr>
            <w:r>
              <w:rPr>
                <w:rFonts w:ascii="Arial" w:cs="Arial" w:eastAsia="Arial" w:hAnsi="Arial"/>
                <w:sz w:val="14"/>
                <w:szCs w:val="14"/>
                <w:color w:val="auto"/>
              </w:rPr>
              <w:t>CAPITALIZATION AND LIABILITIES</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460" w:type="dxa"/>
            <w:vAlign w:val="bottom"/>
          </w:tcPr>
          <w:p>
            <w:pPr>
              <w:spacing w:after="0"/>
              <w:rPr>
                <w:sz w:val="20"/>
                <w:szCs w:val="20"/>
                <w:color w:val="auto"/>
              </w:rPr>
            </w:pPr>
            <w:r>
              <w:rPr>
                <w:rFonts w:ascii="Arial" w:cs="Arial" w:eastAsia="Arial" w:hAnsi="Arial"/>
                <w:sz w:val="14"/>
                <w:szCs w:val="14"/>
                <w:color w:val="auto"/>
              </w:rPr>
              <w:t>Capitalization: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60" w:type="dxa"/>
            <w:vAlign w:val="bottom"/>
          </w:tcPr>
          <w:p>
            <w:pPr>
              <w:ind w:left="360"/>
              <w:spacing w:after="0"/>
              <w:rPr>
                <w:sz w:val="20"/>
                <w:szCs w:val="20"/>
                <w:color w:val="auto"/>
              </w:rPr>
            </w:pPr>
            <w:r>
              <w:rPr>
                <w:rFonts w:ascii="Arial" w:cs="Arial" w:eastAsia="Arial" w:hAnsi="Arial"/>
                <w:sz w:val="14"/>
                <w:szCs w:val="14"/>
                <w:color w:val="auto"/>
                <w:w w:val="97"/>
              </w:rPr>
              <w:t>Common stock, $1 par (authorized - 60,000,000 shares; issued and outstanding - 54,321,217 and 53,026,848 shares)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46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60"/>
              <w:spacing w:after="0"/>
              <w:rPr>
                <w:sz w:val="20"/>
                <w:szCs w:val="20"/>
                <w:color w:val="auto"/>
              </w:rPr>
            </w:pPr>
            <w:r>
              <w:rPr>
                <w:rFonts w:ascii="Arial" w:cs="Arial" w:eastAsia="Arial" w:hAnsi="Arial"/>
                <w:sz w:val="14"/>
                <w:szCs w:val="14"/>
                <w:color w:val="auto"/>
              </w:rPr>
              <w:t>Accumulated other comprehensive income (loss), net</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Total Southwest Gas Holdings, Inc. equity</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Noncontrolling interest</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Redeemable noncontrolling interest</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Long-term debt, less current maturities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Total capitalization</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460" w:type="dxa"/>
            <w:vAlign w:val="bottom"/>
          </w:tcPr>
          <w:p>
            <w:pPr>
              <w:ind w:left="340"/>
              <w:spacing w:after="0"/>
              <w:rPr>
                <w:sz w:val="20"/>
                <w:szCs w:val="20"/>
                <w:color w:val="auto"/>
              </w:rPr>
            </w:pPr>
            <w:r>
              <w:rPr>
                <w:rFonts w:ascii="Arial" w:cs="Arial" w:eastAsia="Arial" w:hAnsi="Arial"/>
                <w:sz w:val="14"/>
                <w:szCs w:val="14"/>
                <w:color w:val="auto"/>
              </w:rPr>
              <w:t>Current maturities of long-term debt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Short-term debt</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Customer deposits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Income taxes payable</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Accrued general taxes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Accrued interest</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Deferred purchased gas costs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Other current liabilities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spacing w:after="0"/>
              <w:rPr>
                <w:sz w:val="20"/>
                <w:szCs w:val="20"/>
                <w:color w:val="auto"/>
              </w:rPr>
            </w:pPr>
            <w:r>
              <w:rPr>
                <w:rFonts w:ascii="Arial" w:cs="Arial" w:eastAsia="Arial" w:hAnsi="Arial"/>
                <w:sz w:val="14"/>
                <w:szCs w:val="14"/>
                <w:color w:val="auto"/>
              </w:rPr>
              <w:t>Deferred income taxes and other credits: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460" w:type="dxa"/>
            <w:vAlign w:val="bottom"/>
          </w:tcPr>
          <w:p>
            <w:pPr>
              <w:ind w:left="360"/>
              <w:spacing w:after="0"/>
              <w:rPr>
                <w:sz w:val="20"/>
                <w:szCs w:val="20"/>
                <w:color w:val="auto"/>
              </w:rPr>
            </w:pPr>
            <w:r>
              <w:rPr>
                <w:rFonts w:ascii="Arial" w:cs="Arial" w:eastAsia="Arial" w:hAnsi="Arial"/>
                <w:sz w:val="14"/>
                <w:szCs w:val="14"/>
                <w:color w:val="auto"/>
              </w:rPr>
              <w:t>Deferred income taxes and investment tax credits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Accumulated removal costs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Arial" w:cs="Arial" w:eastAsia="Arial" w:hAnsi="Arial"/>
                <w:sz w:val="14"/>
                <w:szCs w:val="14"/>
                <w:color w:val="auto"/>
              </w:rPr>
              <w:t>Other deferred credits and other long-term liabilities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680"/>
              <w:spacing w:after="0"/>
              <w:rPr>
                <w:sz w:val="20"/>
                <w:szCs w:val="20"/>
                <w:color w:val="auto"/>
              </w:rPr>
            </w:pPr>
            <w:r>
              <w:rPr>
                <w:rFonts w:ascii="Arial" w:cs="Arial" w:eastAsia="Arial" w:hAnsi="Arial"/>
                <w:sz w:val="14"/>
                <w:szCs w:val="14"/>
                <w:color w:val="auto"/>
              </w:rPr>
              <w:t>Total deferred income taxes and other credits</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46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-7898765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-7204075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-6861175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-6517640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-5823585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-5480050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-4777105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-4434205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-4090670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-3747770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-3404870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-2710180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-2367280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-2024380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-1681480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-1337945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-643255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-300355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-995045</wp:posOffset>
            </wp:positionV>
            <wp:extent cx="72294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-3061970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-5137150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-6174740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-7555865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Form 10-Q</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jc w:val="right"/>
              <w:ind w:right="488"/>
              <w:spacing w:after="0"/>
              <w:rPr>
                <w:sz w:val="20"/>
                <w:szCs w:val="20"/>
                <w:color w:val="auto"/>
              </w:rPr>
            </w:pPr>
            <w:r>
              <w:rPr>
                <w:rFonts w:ascii="Arial" w:cs="Arial" w:eastAsia="Arial" w:hAnsi="Arial"/>
                <w:sz w:val="14"/>
                <w:szCs w:val="14"/>
                <w:color w:val="auto"/>
                <w:w w:val="87"/>
              </w:rPr>
              <w:t>June 30, 2019</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7"/>
              </w:rPr>
              <w:t>December 31, 2018</w:t>
            </w:r>
          </w:p>
        </w:tc>
      </w:tr>
      <w:tr>
        <w:trPr>
          <w:trHeight w:val="798"/>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7,404,724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7,134,239</w:t>
            </w:r>
          </w:p>
        </w:tc>
      </w:tr>
      <w:tr>
        <w:trPr>
          <w:trHeight w:val="270"/>
        </w:trPr>
        <w:tc>
          <w:tcPr>
            <w:tcW w:w="1360" w:type="dxa"/>
            <w:vAlign w:val="bottom"/>
          </w:tcPr>
          <w:p>
            <w:pPr>
              <w:jc w:val="right"/>
              <w:ind w:right="88"/>
              <w:spacing w:after="0"/>
              <w:rPr>
                <w:sz w:val="20"/>
                <w:szCs w:val="20"/>
                <w:color w:val="auto"/>
              </w:rPr>
            </w:pPr>
            <w:r>
              <w:rPr>
                <w:rFonts w:ascii="Arial" w:cs="Arial" w:eastAsia="Arial" w:hAnsi="Arial"/>
                <w:sz w:val="14"/>
                <w:szCs w:val="14"/>
                <w:color w:val="auto"/>
              </w:rPr>
              <w:t>(2,282,770)</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(2,234,029)</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248,270</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193,028</w:t>
            </w:r>
          </w:p>
        </w:tc>
      </w:tr>
      <w:tr>
        <w:trPr>
          <w:trHeight w:val="25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5,370,224</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5,093,238</w:t>
            </w:r>
          </w:p>
        </w:tc>
      </w:tr>
      <w:tr>
        <w:trPr>
          <w:trHeight w:val="25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761,652</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623,551</w:t>
            </w:r>
          </w:p>
        </w:tc>
      </w:tr>
      <w:tr>
        <w:trPr>
          <w:trHeight w:val="528"/>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38,446</w:t>
            </w:r>
          </w:p>
        </w:tc>
        <w:tc>
          <w:tcPr>
            <w:tcW w:w="180" w:type="dxa"/>
            <w:vAlign w:val="bottom"/>
          </w:tcPr>
          <w:p>
            <w:pPr>
              <w:spacing w:after="0"/>
              <w:rPr>
                <w:sz w:val="24"/>
                <w:szCs w:val="24"/>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85,361</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417,639</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413,926</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34,900</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77,200</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15,190</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14,653</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58,240</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4,928</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187,666</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243,701</w:t>
            </w:r>
          </w:p>
        </w:tc>
      </w:tr>
      <w:tr>
        <w:trPr>
          <w:trHeight w:val="25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752,081</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839,769</w:t>
            </w:r>
          </w:p>
        </w:tc>
      </w:tr>
      <w:tr>
        <w:trPr>
          <w:trHeight w:val="528"/>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345,872</w:t>
            </w:r>
          </w:p>
        </w:tc>
        <w:tc>
          <w:tcPr>
            <w:tcW w:w="180" w:type="dxa"/>
            <w:vAlign w:val="bottom"/>
          </w:tcPr>
          <w:p>
            <w:pPr>
              <w:spacing w:after="0"/>
              <w:rPr>
                <w:sz w:val="24"/>
                <w:szCs w:val="24"/>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359,045</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1,021</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1,264</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436,035</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440,862</w:t>
            </w:r>
          </w:p>
        </w:tc>
      </w:tr>
      <w:tr>
        <w:trPr>
          <w:trHeight w:val="25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782,928</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801,171</w:t>
            </w:r>
          </w:p>
        </w:tc>
      </w:tr>
      <w:tr>
        <w:trPr>
          <w:trHeight w:val="237"/>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7,666,885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7,357,729</w:t>
            </w:r>
          </w:p>
        </w:tc>
      </w:tr>
      <w:tr>
        <w:trPr>
          <w:trHeight w:val="20"/>
        </w:trPr>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785"/>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55,951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54,656</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1,409,923</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1,305,769</w:t>
            </w:r>
          </w:p>
        </w:tc>
      </w:tr>
      <w:tr>
        <w:trPr>
          <w:trHeight w:val="270"/>
        </w:trPr>
        <w:tc>
          <w:tcPr>
            <w:tcW w:w="1360" w:type="dxa"/>
            <w:vAlign w:val="bottom"/>
          </w:tcPr>
          <w:p>
            <w:pPr>
              <w:jc w:val="right"/>
              <w:ind w:right="88"/>
              <w:spacing w:after="0"/>
              <w:rPr>
                <w:sz w:val="20"/>
                <w:szCs w:val="20"/>
                <w:color w:val="auto"/>
              </w:rPr>
            </w:pPr>
            <w:r>
              <w:rPr>
                <w:rFonts w:ascii="Arial" w:cs="Arial" w:eastAsia="Arial" w:hAnsi="Arial"/>
                <w:sz w:val="14"/>
                <w:szCs w:val="14"/>
                <w:color w:val="auto"/>
              </w:rPr>
              <w:t>(48,581)</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(52,668)</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1,002,070</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944,285</w:t>
            </w:r>
          </w:p>
        </w:tc>
      </w:tr>
      <w:tr>
        <w:trPr>
          <w:trHeight w:val="244"/>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2,419,363</w:t>
            </w: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2,252,042</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r>
      <w:tr>
        <w:trPr>
          <w:trHeight w:val="244"/>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2,419,363</w:t>
            </w: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2,251,590</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83,182</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81,831</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2,373,003</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2,107,258</w:t>
            </w:r>
          </w:p>
        </w:tc>
      </w:tr>
      <w:tr>
        <w:trPr>
          <w:trHeight w:val="25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4,875,548</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4,440,679</w:t>
            </w:r>
          </w:p>
        </w:tc>
      </w:tr>
      <w:tr>
        <w:trPr>
          <w:trHeight w:val="528"/>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36,807</w:t>
            </w:r>
          </w:p>
        </w:tc>
        <w:tc>
          <w:tcPr>
            <w:tcW w:w="180" w:type="dxa"/>
            <w:vAlign w:val="bottom"/>
          </w:tcPr>
          <w:p>
            <w:pPr>
              <w:spacing w:after="0"/>
              <w:rPr>
                <w:sz w:val="24"/>
                <w:szCs w:val="24"/>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33,060</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152,000</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196,915</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248,993</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69,165</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67,940</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1,083</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42,778</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43,560</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21,431</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21,369</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89,734</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79,762</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269,674</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290,878</w:t>
            </w:r>
          </w:p>
        </w:tc>
      </w:tr>
      <w:tr>
        <w:trPr>
          <w:trHeight w:val="25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726,504</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938,645</w:t>
            </w:r>
          </w:p>
        </w:tc>
      </w:tr>
      <w:tr>
        <w:trPr>
          <w:trHeight w:val="528"/>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563,478</w:t>
            </w:r>
          </w:p>
        </w:tc>
        <w:tc>
          <w:tcPr>
            <w:tcW w:w="180" w:type="dxa"/>
            <w:vAlign w:val="bottom"/>
          </w:tcPr>
          <w:p>
            <w:pPr>
              <w:spacing w:after="0"/>
              <w:rPr>
                <w:sz w:val="24"/>
                <w:szCs w:val="24"/>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529,201</w:t>
            </w:r>
          </w:p>
        </w:tc>
      </w:tr>
      <w:tr>
        <w:trPr>
          <w:trHeight w:val="27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389,000</w:t>
            </w: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383,000</w:t>
            </w:r>
          </w:p>
        </w:tc>
      </w:tr>
      <w:tr>
        <w:trPr>
          <w:trHeight w:val="276"/>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1,112,355</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1,066,204</w:t>
            </w:r>
          </w:p>
        </w:tc>
      </w:tr>
      <w:tr>
        <w:trPr>
          <w:trHeight w:val="25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2,064,833</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1,978,405</w:t>
            </w:r>
          </w:p>
        </w:tc>
      </w:tr>
      <w:tr>
        <w:trPr>
          <w:trHeight w:val="190"/>
        </w:trPr>
        <w:tc>
          <w:tcPr>
            <w:tcW w:w="1360" w:type="dxa"/>
            <w:vAlign w:val="bottom"/>
          </w:tcPr>
          <w:p>
            <w:pPr>
              <w:jc w:val="right"/>
              <w:ind w:right="148"/>
              <w:spacing w:after="0"/>
              <w:rPr>
                <w:sz w:val="20"/>
                <w:szCs w:val="20"/>
                <w:color w:val="auto"/>
              </w:rPr>
            </w:pPr>
            <w:r>
              <w:rPr>
                <w:rFonts w:ascii="Arial" w:cs="Arial" w:eastAsia="Arial" w:hAnsi="Arial"/>
                <w:sz w:val="14"/>
                <w:szCs w:val="14"/>
                <w:color w:val="auto"/>
              </w:rPr>
              <w:t>7,666,885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7,357,729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-128905</wp:posOffset>
            </wp:positionV>
            <wp:extent cx="1089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-1166495</wp:posOffset>
            </wp:positionV>
            <wp:extent cx="1089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-2890520</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-3576320</wp:posOffset>
            </wp:positionV>
            <wp:extent cx="1089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-3919220</wp:posOffset>
            </wp:positionV>
            <wp:extent cx="1089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-4957445</wp:posOffset>
            </wp:positionV>
            <wp:extent cx="1089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-5308600</wp:posOffset>
            </wp:positionV>
            <wp:extent cx="1089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-6003290</wp:posOffset>
            </wp:positionV>
            <wp:extent cx="1089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-7383780</wp:posOffset>
            </wp:positionV>
            <wp:extent cx="1089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-7727315</wp:posOffset>
            </wp:positionV>
            <wp:extent cx="10890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926" w:orient="portrait"/>
          <w:cols w:equalWidth="0" w:num="2">
            <w:col w:w="8020" w:space="340"/>
            <w:col w:w="3040"/>
          </w:cols>
          <w:pgMar w:left="240" w:top="287" w:right="259" w:bottom="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5165725</wp:posOffset>
            </wp:positionH>
            <wp:positionV relativeFrom="page">
              <wp:posOffset>234950</wp:posOffset>
            </wp:positionV>
            <wp:extent cx="222948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9485" cy="26035"/>
                    </a:xfrm>
                    <a:prstGeom prst="rect">
                      <a:avLst/>
                    </a:prstGeom>
                    <a:noFill/>
                  </pic:spPr>
                </pic:pic>
              </a:graphicData>
            </a:graphic>
          </wp:anchor>
        </w:drawing>
        <w:t>The accompanying notes are an integral part of these statements.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61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June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11"/>
          </w:tcPr>
          <w:p>
            <w:pPr>
              <w:jc w:val="center"/>
              <w:ind w:left="230"/>
              <w:spacing w:after="0"/>
              <w:rPr>
                <w:sz w:val="20"/>
                <w:szCs w:val="20"/>
                <w:color w:val="auto"/>
              </w:rPr>
            </w:pPr>
            <w:r>
              <w:rPr>
                <w:rFonts w:ascii="Arial" w:cs="Arial" w:eastAsia="Arial" w:hAnsi="Arial"/>
                <w:sz w:val="18"/>
                <w:szCs w:val="18"/>
                <w:color w:val="auto"/>
                <w:w w:val="96"/>
              </w:rPr>
              <w:t>SOUTHWEST GAS HOLDINGS, INC. AND SUBSIDIARIES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gridSpan w:val="11"/>
          </w:tcPr>
          <w:p>
            <w:pPr>
              <w:jc w:val="center"/>
              <w:ind w:left="230"/>
              <w:spacing w:after="0"/>
              <w:rPr>
                <w:sz w:val="20"/>
                <w:szCs w:val="20"/>
                <w:color w:val="auto"/>
              </w:rPr>
            </w:pPr>
            <w:r>
              <w:rPr>
                <w:rFonts w:ascii="Arial" w:cs="Arial" w:eastAsia="Arial" w:hAnsi="Arial"/>
                <w:sz w:val="18"/>
                <w:szCs w:val="18"/>
                <w:color w:val="auto"/>
                <w:w w:val="95"/>
              </w:rPr>
              <w:t>CONDENSED CONSOLIDATED STATEMENTS OF INCOME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40" w:type="dxa"/>
            <w:vAlign w:val="bottom"/>
            <w:gridSpan w:val="8"/>
          </w:tcPr>
          <w:p>
            <w:pPr>
              <w:jc w:val="center"/>
              <w:ind w:left="122"/>
              <w:spacing w:after="0"/>
              <w:rPr>
                <w:sz w:val="20"/>
                <w:szCs w:val="20"/>
                <w:color w:val="auto"/>
              </w:rPr>
            </w:pPr>
            <w:r>
              <w:rPr>
                <w:rFonts w:ascii="Arial" w:cs="Arial" w:eastAsia="Arial" w:hAnsi="Arial"/>
                <w:sz w:val="18"/>
                <w:szCs w:val="18"/>
                <w:color w:val="auto"/>
                <w:w w:val="88"/>
              </w:rPr>
              <w:t>(In thousands, except per share amounts)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center"/>
              <w:ind w:left="207"/>
              <w:spacing w:after="0"/>
              <w:rPr>
                <w:sz w:val="20"/>
                <w:szCs w:val="20"/>
                <w:color w:val="auto"/>
              </w:rPr>
            </w:pPr>
            <w:r>
              <w:rPr>
                <w:rFonts w:ascii="Arial" w:cs="Arial" w:eastAsia="Arial" w:hAnsi="Arial"/>
                <w:sz w:val="18"/>
                <w:szCs w:val="18"/>
                <w:color w:val="auto"/>
                <w:w w:val="91"/>
              </w:rPr>
              <w:t>(Unaudited)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4"/>
                <w:szCs w:val="24"/>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24"/>
                <w:szCs w:val="24"/>
                <w:color w:val="auto"/>
              </w:rPr>
            </w:pPr>
          </w:p>
        </w:tc>
        <w:tc>
          <w:tcPr>
            <w:tcW w:w="1920" w:type="dxa"/>
            <w:vAlign w:val="bottom"/>
            <w:gridSpan w:val="4"/>
          </w:tcPr>
          <w:p>
            <w:pPr>
              <w:jc w:val="right"/>
              <w:ind w:right="327"/>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747"/>
              <w:spacing w:after="0"/>
              <w:rPr>
                <w:sz w:val="20"/>
                <w:szCs w:val="20"/>
                <w:color w:val="auto"/>
              </w:rPr>
            </w:pPr>
            <w:r>
              <w:rPr>
                <w:rFonts w:ascii="Arial" w:cs="Arial" w:eastAsia="Arial" w:hAnsi="Arial"/>
                <w:sz w:val="14"/>
                <w:szCs w:val="14"/>
                <w:color w:val="auto"/>
              </w:rPr>
              <w:t>June 30,</w:t>
            </w: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color w:val="auto"/>
              </w:rPr>
              <w:t>2018</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Gas operating revenues</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258,711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275,679</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779,388</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769,992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1,367,124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1,349,536</w:t>
            </w:r>
          </w:p>
        </w:tc>
      </w:tr>
      <w:tr>
        <w:trPr>
          <w:trHeight w:val="270"/>
        </w:trPr>
        <w:tc>
          <w:tcPr>
            <w:tcW w:w="6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Utility infrastructure services revenues</w:t>
            </w:r>
          </w:p>
        </w:tc>
        <w:tc>
          <w:tcPr>
            <w:tcW w:w="7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454,300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395,204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767,162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655,221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1,634,226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1,409,263</w:t>
            </w:r>
          </w:p>
        </w:tc>
      </w:tr>
      <w:tr>
        <w:trPr>
          <w:trHeight w:val="250"/>
        </w:trPr>
        <w:tc>
          <w:tcPr>
            <w:tcW w:w="6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operating revenues</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713,011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670,883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1,546,550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1,425,213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3,001,350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2,758,799</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Net cost of gas sold</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65,182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83,466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257,786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269,198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407,976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407,943</w:t>
            </w:r>
          </w:p>
        </w:tc>
      </w:tr>
      <w:tr>
        <w:trPr>
          <w:trHeight w:val="276"/>
        </w:trPr>
        <w:tc>
          <w:tcPr>
            <w:tcW w:w="60" w:type="dxa"/>
            <w:vAlign w:val="bottom"/>
            <w:shd w:val="clear" w:color="auto" w:fill="CCEEFF"/>
          </w:tcPr>
          <w:p>
            <w:pPr>
              <w:spacing w:after="0"/>
              <w:rPr>
                <w:sz w:val="24"/>
                <w:szCs w:val="24"/>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Operations and maintenance</w:t>
            </w: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105,293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105,435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211,538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207,786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410,145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398,051</w:t>
            </w: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Depreciation and amortization</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70,342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61,307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147,881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123,785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273,308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244,176</w:t>
            </w:r>
          </w:p>
        </w:tc>
      </w:tr>
      <w:tr>
        <w:trPr>
          <w:trHeight w:val="276"/>
        </w:trPr>
        <w:tc>
          <w:tcPr>
            <w:tcW w:w="60" w:type="dxa"/>
            <w:vAlign w:val="bottom"/>
            <w:shd w:val="clear" w:color="auto" w:fill="CCEEFF"/>
          </w:tcPr>
          <w:p>
            <w:pPr>
              <w:spacing w:after="0"/>
              <w:rPr>
                <w:sz w:val="24"/>
                <w:szCs w:val="24"/>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Taxes other than income taxes</w:t>
            </w: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15,126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58,590</w:t>
            </w:r>
          </w:p>
        </w:tc>
      </w:tr>
      <w:tr>
        <w:trPr>
          <w:trHeight w:val="264"/>
        </w:trPr>
        <w:tc>
          <w:tcPr>
            <w:tcW w:w="6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Utility infrastructure services expenses</w:t>
            </w:r>
          </w:p>
        </w:tc>
        <w:tc>
          <w:tcPr>
            <w:tcW w:w="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402,199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352,671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702,664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611,623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1,478,730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1,296,629</w:t>
            </w:r>
          </w:p>
        </w:tc>
      </w:tr>
      <w:tr>
        <w:trPr>
          <w:trHeight w:val="250"/>
        </w:trPr>
        <w:tc>
          <w:tcPr>
            <w:tcW w:w="6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7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658,142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617,545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1,351,201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1,242,315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2,631,466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2,405,389</w:t>
            </w:r>
          </w:p>
        </w:tc>
      </w:tr>
      <w:tr>
        <w:trPr>
          <w:trHeight w:val="250"/>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Operating income</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54,869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195,349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182,898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369,884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353,410</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Other income and (expenses):</w:t>
            </w: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Net interest deductions</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(26,831)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(23,652)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(53,228)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(46,283)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(103,616)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(86,978)</w:t>
            </w:r>
          </w:p>
        </w:tc>
      </w:tr>
      <w:tr>
        <w:trPr>
          <w:trHeight w:val="270"/>
        </w:trPr>
        <w:tc>
          <w:tcPr>
            <w:tcW w:w="6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Other income (deductions)</w:t>
            </w:r>
          </w:p>
        </w:tc>
        <w:tc>
          <w:tcPr>
            <w:tcW w:w="7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1,146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(2,706)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7,985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(9,270)</w:t>
            </w:r>
          </w:p>
        </w:tc>
      </w:tr>
      <w:tr>
        <w:trPr>
          <w:trHeight w:val="250"/>
        </w:trPr>
        <w:tc>
          <w:tcPr>
            <w:tcW w:w="6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other income and (expenses)</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(25,685)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(26,358)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(53,323)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(106,017)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(96,248)</w:t>
            </w:r>
          </w:p>
        </w:tc>
      </w:tr>
      <w:tr>
        <w:trPr>
          <w:trHeight w:val="25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29,184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150,106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257,162</w:t>
            </w:r>
          </w:p>
        </w:tc>
      </w:tr>
      <w:tr>
        <w:trPr>
          <w:trHeight w:val="264"/>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Income tax expense</w:t>
            </w:r>
          </w:p>
        </w:tc>
        <w:tc>
          <w:tcPr>
            <w:tcW w:w="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6,352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31,890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63,844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50,501</w:t>
            </w:r>
          </w:p>
        </w:tc>
      </w:tr>
      <w:tr>
        <w:trPr>
          <w:trHeight w:val="25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22,832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206,661</w:t>
            </w:r>
          </w:p>
        </w:tc>
      </w:tr>
      <w:tr>
        <w:trPr>
          <w:trHeight w:val="264"/>
        </w:trPr>
        <w:tc>
          <w:tcPr>
            <w:tcW w:w="6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income (loss) attributable to noncontrolling interests</w:t>
            </w:r>
          </w:p>
        </w:tc>
        <w:tc>
          <w:tcPr>
            <w:tcW w:w="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w:t>
            </w:r>
          </w:p>
        </w:tc>
      </w:tr>
      <w:tr>
        <w:trPr>
          <w:trHeight w:val="243"/>
        </w:trPr>
        <w:tc>
          <w:tcPr>
            <w:tcW w:w="3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Net income attributable to Southwest Gas Holdings, Inc.</w:t>
            </w: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22,056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116,865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207,311</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Basic earnings per share</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0.41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4.29</w:t>
            </w:r>
          </w:p>
        </w:tc>
      </w:tr>
      <w:tr>
        <w:trPr>
          <w:trHeight w:val="21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0.41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4.28</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40" w:type="dxa"/>
            <w:vAlign w:val="bottom"/>
            <w:gridSpan w:val="4"/>
          </w:tcPr>
          <w:p>
            <w:pPr>
              <w:ind w:left="40"/>
              <w:spacing w:after="0"/>
              <w:rPr>
                <w:sz w:val="20"/>
                <w:szCs w:val="20"/>
                <w:color w:val="auto"/>
              </w:rPr>
            </w:pPr>
            <w:r>
              <w:rPr>
                <w:rFonts w:ascii="Arial" w:cs="Arial" w:eastAsia="Arial" w:hAnsi="Arial"/>
                <w:sz w:val="14"/>
                <w:szCs w:val="14"/>
                <w:color w:val="auto"/>
              </w:rPr>
              <w:t>Average number of common shares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53,935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48,826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53,654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48,622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48,338</w:t>
            </w:r>
          </w:p>
        </w:tc>
      </w:tr>
      <w:tr>
        <w:trPr>
          <w:trHeight w:val="27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Average shares (assuming dilution)</w:t>
            </w: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54,003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48,387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85"/>
              </w:rPr>
              <w:t>June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11"/>
          </w:tcPr>
          <w:p>
            <w:pPr>
              <w:jc w:val="center"/>
              <w:ind w:right="40"/>
              <w:spacing w:after="0"/>
              <w:rPr>
                <w:sz w:val="20"/>
                <w:szCs w:val="20"/>
                <w:color w:val="auto"/>
              </w:rPr>
            </w:pPr>
            <w:r>
              <w:rPr>
                <w:rFonts w:ascii="Arial" w:cs="Arial" w:eastAsia="Arial" w:hAnsi="Arial"/>
                <w:sz w:val="18"/>
                <w:szCs w:val="18"/>
                <w:color w:val="auto"/>
                <w:w w:val="96"/>
              </w:rPr>
              <w:t>SOUTHWEST GAS HOLDINGS, INC. AND SUBSIDIARIES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460" w:type="dxa"/>
            <w:vAlign w:val="bottom"/>
            <w:gridSpan w:val="16"/>
          </w:tcPr>
          <w:p>
            <w:pPr>
              <w:jc w:val="center"/>
              <w:ind w:left="17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80" w:type="dxa"/>
            <w:vAlign w:val="bottom"/>
            <w:gridSpan w:val="5"/>
          </w:tcPr>
          <w:p>
            <w:pPr>
              <w:jc w:val="center"/>
              <w:ind w:left="19"/>
              <w:spacing w:after="0"/>
              <w:rPr>
                <w:sz w:val="20"/>
                <w:szCs w:val="20"/>
                <w:color w:val="auto"/>
              </w:rPr>
            </w:pPr>
            <w:r>
              <w:rPr>
                <w:rFonts w:ascii="Arial" w:cs="Arial" w:eastAsia="Arial" w:hAnsi="Arial"/>
                <w:sz w:val="18"/>
                <w:szCs w:val="18"/>
                <w:color w:val="auto"/>
                <w:w w:val="90"/>
              </w:rPr>
              <w:t>(Thousands of dollars)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20" w:type="dxa"/>
            <w:vAlign w:val="bottom"/>
            <w:gridSpan w:val="4"/>
          </w:tcPr>
          <w:p>
            <w:pPr>
              <w:jc w:val="center"/>
              <w:ind w:left="279"/>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4"/>
                <w:szCs w:val="2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24"/>
                <w:szCs w:val="2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w w:val="96"/>
              </w:rPr>
              <w:t>June 30,</w:t>
            </w:r>
          </w:p>
        </w:tc>
        <w:tc>
          <w:tcPr>
            <w:tcW w:w="640" w:type="dxa"/>
            <w:vAlign w:val="bottom"/>
            <w:tcBorders>
              <w:bottom w:val="single" w:sz="8" w:color="auto"/>
            </w:tcBorders>
          </w:tcPr>
          <w:p>
            <w:pPr>
              <w:spacing w:after="0"/>
              <w:rPr>
                <w:sz w:val="16"/>
                <w:szCs w:val="16"/>
                <w:color w:val="auto"/>
              </w:rPr>
            </w:pPr>
          </w:p>
        </w:tc>
      </w:tr>
      <w:tr>
        <w:trPr>
          <w:trHeight w:val="264"/>
        </w:trPr>
        <w:tc>
          <w:tcPr>
            <w:tcW w:w="6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r>
      <w:tr>
        <w:trPr>
          <w:trHeight w:val="250"/>
        </w:trPr>
        <w:tc>
          <w:tcPr>
            <w:tcW w:w="462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22,832</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21,551</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118,216</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99,845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200,023</w:t>
            </w:r>
          </w:p>
        </w:tc>
        <w:tc>
          <w:tcPr>
            <w:tcW w:w="42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206,661</w:t>
            </w:r>
          </w:p>
        </w:tc>
      </w:tr>
      <w:tr>
        <w:trPr>
          <w:trHeight w:val="270"/>
        </w:trPr>
        <w:tc>
          <w:tcPr>
            <w:tcW w:w="462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7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w:t>
            </w:r>
          </w:p>
        </w:tc>
      </w:tr>
      <w:tr>
        <w:trPr>
          <w:trHeight w:val="264"/>
        </w:trPr>
        <w:tc>
          <w:tcPr>
            <w:tcW w:w="60" w:type="dxa"/>
            <w:vAlign w:val="bottom"/>
          </w:tcPr>
          <w:p>
            <w:pPr>
              <w:spacing w:after="0"/>
              <w:rPr>
                <w:sz w:val="22"/>
                <w:szCs w:val="22"/>
                <w:color w:val="auto"/>
              </w:rPr>
            </w:pPr>
          </w:p>
        </w:tc>
        <w:tc>
          <w:tcPr>
            <w:tcW w:w="456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922</w:t>
            </w: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20,662</w:t>
            </w:r>
          </w:p>
        </w:tc>
      </w:tr>
      <w:tr>
        <w:trPr>
          <w:trHeight w:val="264"/>
        </w:trPr>
        <w:tc>
          <w:tcPr>
            <w:tcW w:w="6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Regulatory adjustment</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8,212</w:t>
            </w:r>
          </w:p>
        </w:tc>
      </w:tr>
      <w:tr>
        <w:trPr>
          <w:trHeight w:val="256"/>
        </w:trPr>
        <w:tc>
          <w:tcPr>
            <w:tcW w:w="60" w:type="dxa"/>
            <w:vAlign w:val="bottom"/>
            <w:shd w:val="clear" w:color="auto" w:fill="CCEEFF"/>
          </w:tcPr>
          <w:p>
            <w:pPr>
              <w:spacing w:after="0"/>
              <w:rPr>
                <w:sz w:val="22"/>
                <w:szCs w:val="22"/>
                <w:color w:val="auto"/>
              </w:rPr>
            </w:pPr>
          </w:p>
        </w:tc>
        <w:tc>
          <w:tcPr>
            <w:tcW w:w="45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defined benefit pension plans</w:t>
            </w: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r>
      <w:tr>
        <w:trPr>
          <w:trHeight w:val="258"/>
        </w:trPr>
        <w:tc>
          <w:tcPr>
            <w:tcW w:w="60" w:type="dxa"/>
            <w:vAlign w:val="bottom"/>
          </w:tcPr>
          <w:p>
            <w:pPr>
              <w:spacing w:after="0"/>
              <w:rPr>
                <w:sz w:val="22"/>
                <w:szCs w:val="22"/>
                <w:color w:val="auto"/>
              </w:rPr>
            </w:pP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60" w:type="dxa"/>
            <w:vAlign w:val="bottom"/>
            <w:shd w:val="clear" w:color="auto" w:fill="CCEEFF"/>
          </w:tcPr>
          <w:p>
            <w:pPr>
              <w:spacing w:after="0"/>
              <w:rPr>
                <w:sz w:val="23"/>
                <w:szCs w:val="23"/>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Amounts reclassified into net income</w:t>
            </w:r>
          </w:p>
        </w:tc>
        <w:tc>
          <w:tcPr>
            <w:tcW w:w="7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2,308</w:t>
            </w:r>
          </w:p>
        </w:tc>
      </w:tr>
      <w:tr>
        <w:trPr>
          <w:trHeight w:val="250"/>
        </w:trPr>
        <w:tc>
          <w:tcPr>
            <w:tcW w:w="6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2,308</w:t>
            </w:r>
          </w:p>
        </w:tc>
      </w:tr>
      <w:tr>
        <w:trPr>
          <w:trHeight w:val="250"/>
        </w:trPr>
        <w:tc>
          <w:tcPr>
            <w:tcW w:w="6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7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w:t>
            </w:r>
          </w:p>
        </w:tc>
      </w:tr>
      <w:tr>
        <w:trPr>
          <w:trHeight w:val="250"/>
        </w:trPr>
        <w:tc>
          <w:tcPr>
            <w:tcW w:w="46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Total other comprehensive income (loss), net of tax</w:t>
            </w: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r>
      <w:tr>
        <w:trPr>
          <w:trHeight w:val="256"/>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122,303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101,307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206,962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205,385</w:t>
            </w:r>
          </w:p>
        </w:tc>
      </w:tr>
      <w:tr>
        <w:trPr>
          <w:trHeight w:val="264"/>
        </w:trPr>
        <w:tc>
          <w:tcPr>
            <w:tcW w:w="6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w:t>
            </w:r>
          </w:p>
        </w:tc>
      </w:tr>
      <w:tr>
        <w:trPr>
          <w:trHeight w:val="243"/>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Southwest Gas Holdings, Inc.</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205,439</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206,053</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60" w:top="270" w:right="259" w:bottom="6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-287020</wp:posOffset>
            </wp:positionV>
            <wp:extent cx="7229475"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 net of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Gains on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undistributed stock compensation</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Equity 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other assets and deferred charges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Changes in other liabilities and 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Construction expenditures and property additions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Miscellaneous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common stock,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long-term debt,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Retirement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credit facility and commercial paper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Principal payments on finance lease obligations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Redemption of Centuri shares from noncontrolling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Withholding remittance - share-based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color w:val="auto"/>
                <w:w w:val="95"/>
              </w:rPr>
              <w:t>Six Months Ended</w:t>
            </w:r>
          </w:p>
        </w:tc>
        <w:tc>
          <w:tcPr>
            <w:tcW w:w="180" w:type="dxa"/>
            <w:vAlign w:val="bottom"/>
          </w:tcPr>
          <w:p>
            <w:pPr>
              <w:spacing w:after="0"/>
              <w:rPr>
                <w:sz w:val="14"/>
                <w:szCs w:val="14"/>
                <w:color w:val="auto"/>
              </w:rPr>
            </w:pPr>
          </w:p>
        </w:tc>
        <w:tc>
          <w:tcPr>
            <w:tcW w:w="1940" w:type="dxa"/>
            <w:vAlign w:val="bottom"/>
            <w:gridSpan w:val="4"/>
          </w:tcPr>
          <w:p>
            <w:pPr>
              <w:jc w:val="center"/>
              <w:ind w:right="88"/>
              <w:spacing w:after="0"/>
              <w:rPr>
                <w:sz w:val="20"/>
                <w:szCs w:val="20"/>
                <w:color w:val="auto"/>
              </w:rPr>
            </w:pPr>
            <w:r>
              <w:rPr>
                <w:rFonts w:ascii="Arial" w:cs="Arial" w:eastAsia="Arial" w:hAnsi="Arial"/>
                <w:sz w:val="14"/>
                <w:szCs w:val="14"/>
                <w:color w:val="auto"/>
                <w:w w:val="93"/>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color w:val="auto"/>
                <w:w w:val="89"/>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color w:val="auto"/>
                <w:w w:val="89"/>
              </w:rPr>
              <w:t>June 30,</w:t>
            </w:r>
          </w:p>
        </w:tc>
        <w:tc>
          <w:tcPr>
            <w:tcW w:w="720" w:type="dxa"/>
            <w:vAlign w:val="bottom"/>
            <w:tcBorders>
              <w:bottom w:val="single" w:sz="8" w:color="auto"/>
            </w:tcBorders>
          </w:tcPr>
          <w:p>
            <w:pPr>
              <w:spacing w:after="0"/>
              <w:rPr>
                <w:sz w:val="16"/>
                <w:szCs w:val="16"/>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118,216</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99,845</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200,023</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206,661</w:t>
            </w:r>
          </w:p>
        </w:tc>
      </w:tr>
      <w:tr>
        <w:trPr>
          <w:trHeight w:val="540"/>
        </w:trPr>
        <w:tc>
          <w:tcPr>
            <w:tcW w:w="2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147,881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123,785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273,308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244,176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31,831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33,318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49,554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48,871</w:t>
            </w:r>
          </w:p>
        </w:tc>
      </w:tr>
      <w:tr>
        <w:trPr>
          <w:trHeight w:val="540"/>
        </w:trPr>
        <w:tc>
          <w:tcPr>
            <w:tcW w:w="2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(57,196)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42,300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(43,341)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34,105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11,693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(48,155)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8,088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25,943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(9,138)</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54,988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17,721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(45,399)</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(3,019)</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4,702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7,513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6,457</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(15,870)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(15,870)</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(6,454)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5,952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26,040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7,979</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278,416</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247,022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560,250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418,785</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(471,578)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(339,011)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(898,481)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(700,426)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(19,533)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(266,697)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(98,413)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9,483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8,158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14,788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9,911</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12,304</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(480,469)</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(332,498)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(1,147,454)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(776,624)</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102,743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69,139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388,006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110,390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(56,738)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(48,985)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(107,993)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(96,166)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421,594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455,398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531,368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781,882</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(53,604)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(100,776)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(190,586)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(379,704)</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(104,000)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(152,000)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(22,500)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20,000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270"/>
        </w:trPr>
        <w:tc>
          <w:tcPr>
            <w:tcW w:w="2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(2,910)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(2,936)</w:t>
            </w:r>
          </w:p>
        </w:tc>
      </w:tr>
    </w:tbl>
    <w:p>
      <w:pPr>
        <w:spacing w:after="0" w:line="1" w:lineRule="exact"/>
        <w:rPr>
          <w:sz w:val="20"/>
          <w:szCs w:val="20"/>
          <w:color w:val="auto"/>
        </w:rPr>
      </w:pPr>
    </w:p>
    <w:p>
      <w:pPr>
        <w:sectPr>
          <w:pgSz w:w="11900" w:h="16838" w:orient="portrait"/>
          <w:cols w:equalWidth="0" w:num="2">
            <w:col w:w="6240" w:space="720"/>
            <w:col w:w="4420"/>
          </w:cols>
          <w:pgMar w:left="260" w:top="270" w:right="259" w:bottom="672"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696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155,066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590,932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362,833</w:t>
            </w:r>
          </w:p>
        </w:tc>
        <w:tc>
          <w:tcPr>
            <w:tcW w:w="0" w:type="dxa"/>
            <w:vAlign w:val="bottom"/>
          </w:tcPr>
          <w:p>
            <w:pPr>
              <w:spacing w:after="0"/>
              <w:rPr>
                <w:sz w:val="1"/>
                <w:szCs w:val="1"/>
                <w:color w:val="auto"/>
              </w:rPr>
            </w:pPr>
          </w:p>
        </w:tc>
      </w:tr>
      <w:tr>
        <w:trPr>
          <w:trHeight w:val="171"/>
        </w:trPr>
        <w:tc>
          <w:tcPr>
            <w:tcW w:w="6960" w:type="dxa"/>
            <w:vAlign w:val="bottom"/>
          </w:tcPr>
          <w:p>
            <w:pPr>
              <w:ind w:left="380"/>
              <w:spacing w:after="0"/>
              <w:rPr>
                <w:sz w:val="20"/>
                <w:szCs w:val="20"/>
                <w:color w:val="auto"/>
              </w:rPr>
            </w:pPr>
            <w:r>
              <w:rPr>
                <w:rFonts w:ascii="Arial" w:cs="Arial" w:eastAsia="Arial" w:hAnsi="Arial"/>
                <w:sz w:val="14"/>
                <w:szCs w:val="14"/>
                <w:color w:val="auto"/>
              </w:rPr>
              <w:t>Effects of currency translation on cash and cash equivalents</w:t>
            </w: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4"/>
        </w:trPr>
        <w:tc>
          <w:tcPr>
            <w:tcW w:w="69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cash and cash equivalents</w:t>
            </w: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(46,915)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(8,892)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3,716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80"/>
        </w:trPr>
        <w:tc>
          <w:tcPr>
            <w:tcW w:w="6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60" w:type="dxa"/>
            <w:vAlign w:val="bottom"/>
          </w:tcPr>
          <w:p>
            <w:pPr>
              <w:ind w:left="38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Pr>
          <w:p>
            <w:pPr>
              <w:spacing w:after="0"/>
              <w:rPr>
                <w:sz w:val="16"/>
                <w:szCs w:val="16"/>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85,361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43,622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34,730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29,702</w:t>
            </w:r>
          </w:p>
        </w:tc>
        <w:tc>
          <w:tcPr>
            <w:tcW w:w="0" w:type="dxa"/>
            <w:vAlign w:val="bottom"/>
          </w:tcPr>
          <w:p>
            <w:pPr>
              <w:spacing w:after="0"/>
              <w:rPr>
                <w:sz w:val="1"/>
                <w:szCs w:val="1"/>
                <w:color w:val="auto"/>
              </w:rPr>
            </w:pPr>
          </w:p>
        </w:tc>
      </w:tr>
      <w:tr>
        <w:trPr>
          <w:trHeight w:val="74"/>
        </w:trPr>
        <w:tc>
          <w:tcPr>
            <w:tcW w:w="69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38,446</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34,730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38,446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34,730</w:t>
            </w:r>
          </w:p>
        </w:tc>
        <w:tc>
          <w:tcPr>
            <w:tcW w:w="0" w:type="dxa"/>
            <w:vAlign w:val="bottom"/>
          </w:tcPr>
          <w:p>
            <w:pPr>
              <w:spacing w:after="0"/>
              <w:rPr>
                <w:sz w:val="1"/>
                <w:szCs w:val="1"/>
                <w:color w:val="auto"/>
              </w:rPr>
            </w:pPr>
          </w:p>
        </w:tc>
      </w:tr>
      <w:tr>
        <w:trPr>
          <w:trHeight w:val="60"/>
        </w:trPr>
        <w:tc>
          <w:tcPr>
            <w:tcW w:w="69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80"/>
              <w:spacing w:after="0"/>
              <w:rPr>
                <w:sz w:val="20"/>
                <w:szCs w:val="20"/>
                <w:color w:val="auto"/>
              </w:rPr>
            </w:pPr>
            <w:r>
              <w:rPr>
                <w:rFonts w:ascii="Arial" w:cs="Arial" w:eastAsia="Arial" w:hAnsi="Arial"/>
                <w:sz w:val="14"/>
                <w:szCs w:val="14"/>
                <w:color w:val="auto"/>
              </w:rPr>
              <w:t>Supplemental information:</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paid, net of amounts capitalized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49,996</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40,082</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96,476</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76,843</w:t>
            </w:r>
          </w:p>
        </w:tc>
        <w:tc>
          <w:tcPr>
            <w:tcW w:w="0" w:type="dxa"/>
            <w:vAlign w:val="bottom"/>
          </w:tcPr>
          <w:p>
            <w:pPr>
              <w:spacing w:after="0"/>
              <w:rPr>
                <w:sz w:val="1"/>
                <w:szCs w:val="1"/>
                <w:color w:val="auto"/>
              </w:rPr>
            </w:pPr>
          </w:p>
        </w:tc>
      </w:tr>
      <w:tr>
        <w:trPr>
          <w:trHeight w:val="60"/>
        </w:trPr>
        <w:tc>
          <w:tcPr>
            <w:tcW w:w="69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80"/>
              <w:spacing w:after="0"/>
              <w:rPr>
                <w:sz w:val="20"/>
                <w:szCs w:val="20"/>
                <w:color w:val="auto"/>
              </w:rPr>
            </w:pPr>
            <w:r>
              <w:rPr>
                <w:rFonts w:ascii="Arial" w:cs="Arial" w:eastAsia="Arial" w:hAnsi="Arial"/>
                <w:sz w:val="14"/>
                <w:szCs w:val="14"/>
                <w:color w:val="auto"/>
              </w:rPr>
              <w:t>Income taxes paid (received)</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1,832</w:t>
            </w:r>
          </w:p>
        </w:tc>
        <w:tc>
          <w:tcPr>
            <w:tcW w:w="120" w:type="dxa"/>
            <w:vAlign w:val="bottom"/>
          </w:tcPr>
          <w:p>
            <w:pPr>
              <w:spacing w:after="0"/>
              <w:rPr>
                <w:sz w:val="13"/>
                <w:szCs w:val="13"/>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16,507</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(13,454)</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19,137</w:t>
            </w:r>
          </w:p>
        </w:tc>
        <w:tc>
          <w:tcPr>
            <w:tcW w:w="0" w:type="dxa"/>
            <w:vAlign w:val="bottom"/>
          </w:tcPr>
          <w:p>
            <w:pPr>
              <w:spacing w:after="0"/>
              <w:rPr>
                <w:sz w:val="1"/>
                <w:szCs w:val="1"/>
                <w:color w:val="auto"/>
              </w:rPr>
            </w:pPr>
          </w:p>
        </w:tc>
      </w:tr>
      <w:tr>
        <w:trPr>
          <w:trHeight w:val="65"/>
        </w:trPr>
        <w:tc>
          <w:tcPr>
            <w:tcW w:w="696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380"/>
          </w:cols>
          <w:pgMar w:left="260" w:top="270" w:right="259" w:bottom="672"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60" w:top="270" w:right="259" w:bottom="672"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2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June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5"/>
          </w:tcPr>
          <w:p>
            <w:pPr>
              <w:jc w:val="center"/>
              <w:ind w:left="230"/>
              <w:spacing w:after="0"/>
              <w:rPr>
                <w:sz w:val="20"/>
                <w:szCs w:val="20"/>
                <w:color w:val="auto"/>
              </w:rPr>
            </w:pPr>
            <w:r>
              <w:rPr>
                <w:rFonts w:ascii="Arial" w:cs="Arial" w:eastAsia="Arial" w:hAnsi="Arial"/>
                <w:sz w:val="18"/>
                <w:szCs w:val="18"/>
                <w:color w:val="auto"/>
                <w:w w:val="96"/>
              </w:rPr>
              <w:t>SOUTHWEST GAS HOLDINGS, INC. AND SUBSIDIARIES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gridSpan w:val="5"/>
          </w:tcPr>
          <w:p>
            <w:pPr>
              <w:jc w:val="center"/>
              <w:ind w:left="230"/>
              <w:spacing w:after="0"/>
              <w:rPr>
                <w:sz w:val="20"/>
                <w:szCs w:val="20"/>
                <w:color w:val="auto"/>
              </w:rPr>
            </w:pPr>
            <w:r>
              <w:rPr>
                <w:rFonts w:ascii="Arial" w:cs="Arial" w:eastAsia="Arial" w:hAnsi="Arial"/>
                <w:sz w:val="18"/>
                <w:szCs w:val="18"/>
                <w:color w:val="auto"/>
                <w:w w:val="95"/>
              </w:rPr>
              <w:t>CONDENSED CONSOLIDATED STATEMENTS OF EQUITY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88"/>
              </w:rPr>
              <w:t>(In thousands, except per share amounts)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1"/>
              </w:rPr>
              <w:t>(Unaudited)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5"/>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5"/>
          </w:tcPr>
          <w:p>
            <w:pPr>
              <w:ind w:left="18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24"/>
                <w:szCs w:val="24"/>
                <w:color w:val="auto"/>
              </w:rPr>
            </w:pPr>
          </w:p>
        </w:tc>
        <w:tc>
          <w:tcPr>
            <w:tcW w:w="1960" w:type="dxa"/>
            <w:vAlign w:val="bottom"/>
            <w:gridSpan w:val="4"/>
          </w:tcPr>
          <w:p>
            <w:pPr>
              <w:jc w:val="right"/>
              <w:ind w:right="379"/>
              <w:spacing w:after="0"/>
              <w:rPr>
                <w:sz w:val="20"/>
                <w:szCs w:val="20"/>
                <w:color w:val="auto"/>
              </w:rPr>
            </w:pPr>
            <w:r>
              <w:rPr>
                <w:rFonts w:ascii="Arial" w:cs="Arial" w:eastAsia="Arial" w:hAnsi="Arial"/>
                <w:sz w:val="16"/>
                <w:szCs w:val="16"/>
                <w:color w:val="auto"/>
              </w:rPr>
              <w:t>Six Months Ended</w:t>
            </w: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4"/>
          </w:tcPr>
          <w:p>
            <w:pPr>
              <w:jc w:val="right"/>
              <w:ind w:right="699"/>
              <w:spacing w:after="0"/>
              <w:rPr>
                <w:sz w:val="20"/>
                <w:szCs w:val="20"/>
                <w:color w:val="auto"/>
              </w:rPr>
            </w:pPr>
            <w:r>
              <w:rPr>
                <w:rFonts w:ascii="Arial" w:cs="Arial" w:eastAsia="Arial" w:hAnsi="Arial"/>
                <w:sz w:val="16"/>
                <w:szCs w:val="16"/>
                <w:color w:val="auto"/>
              </w:rPr>
              <w:t>June 30,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2018</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53,391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48,090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Common stock issuances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r>
      <w:tr>
        <w:trPr>
          <w:trHeight w:val="284"/>
        </w:trPr>
        <w:tc>
          <w:tcPr>
            <w:tcW w:w="6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54,321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49,126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54,321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49,126</w:t>
            </w:r>
          </w:p>
        </w:tc>
      </w:tr>
      <w:tr>
        <w:trPr>
          <w:trHeight w:val="237"/>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2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30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55,021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49,967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54,656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49,720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Common stock issuances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55,951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50,756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55,951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50,756</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1,332,793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965,480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1,305,769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955,332</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Common stock issuances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68,886</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rPr>
              <w:t>Change in ownership of noncontrolling interest</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1,409,923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1,021,508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1,021,508</w:t>
            </w:r>
          </w:p>
        </w:tc>
      </w:tr>
      <w:tr>
        <w:trPr>
          <w:trHeight w:val="231"/>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(47,682)</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w w:val="96"/>
              </w:rPr>
              <w:t>Foreign currency exchange translation adjustment</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(1,601)</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0" w:type="dxa"/>
            <w:vAlign w:val="bottom"/>
            <w:shd w:val="clear" w:color="auto" w:fill="CCEEFF"/>
          </w:tcPr>
          <w:p>
            <w:pPr>
              <w:spacing w:after="0"/>
              <w:rPr>
                <w:sz w:val="19"/>
                <w:szCs w:val="19"/>
                <w:color w:val="auto"/>
              </w:rPr>
            </w:pPr>
          </w:p>
        </w:tc>
        <w:tc>
          <w:tcPr>
            <w:tcW w:w="718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Net actuarial gain (loss) arising during period, less amortization of unamortized benefit plan</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6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6"/>
                <w:szCs w:val="16"/>
                <w:color w:val="auto"/>
              </w:rPr>
              <w:t>cost, net of tax</w:t>
            </w:r>
          </w:p>
        </w:tc>
        <w:tc>
          <w:tcPr>
            <w:tcW w:w="2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1,792</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w w:val="92"/>
              </w:rPr>
              <w:t>FSIRS amounts reclassified to net income, net of tax</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1,271</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(48,581)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(48,581)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(55,520)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1,009,809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920,454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944,285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857,398</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Net income</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100,642</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rPr>
              <w:t>Dividends declared</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(51,065)</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9,300</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2"/>
              </w:rPr>
              <w:t>1,002,070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916,275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1,002,070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916,275</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9"/>
              </w:rPr>
              <w:t>Total Southwest Gas Holdings, Inc. equity ending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2,419,363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1,933,019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2,419,363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1,933,019</w:t>
            </w:r>
          </w:p>
        </w:tc>
      </w:tr>
      <w:tr>
        <w:trPr>
          <w:trHeight w:val="231"/>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Noncontrolling interest</w:t>
            </w:r>
          </w:p>
        </w:tc>
        <w:tc>
          <w:tcPr>
            <w:tcW w:w="2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rPr>
              <w:t>Net income (loss)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Change in ownership of noncontrolling interest</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2,710</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equity ending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2,419,363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1,932,567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2,419,363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1,932,567</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Dividends declared per common share</w:t>
            </w:r>
          </w:p>
        </w:tc>
        <w:tc>
          <w:tcPr>
            <w:tcW w:w="30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0.545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70"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SOUTHWEST GAS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SOUTHWEST GAS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0"/>
        <w:spacing w:after="0"/>
        <w:rPr>
          <w:sz w:val="20"/>
          <w:szCs w:val="20"/>
          <w:color w:val="auto"/>
        </w:rPr>
      </w:pPr>
      <w:r>
        <w:rPr>
          <w:rFonts w:ascii="Arial" w:cs="Arial" w:eastAsia="Arial" w:hAnsi="Arial"/>
          <w:sz w:val="17"/>
          <w:szCs w:val="17"/>
          <w:color w:val="auto"/>
        </w:rPr>
        <w:t>SOUTHWEST GAS CORPORATION AND SUBSIDIARIES</w:t>
      </w:r>
    </w:p>
    <w:p>
      <w:pPr>
        <w:spacing w:after="0" w:line="35"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262890</wp:posOffset>
            </wp:positionV>
            <wp:extent cx="703199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199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ASSETS</w:t>
      </w:r>
    </w:p>
    <w:p>
      <w:pPr>
        <w:spacing w:after="0" w:line="1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64135</wp:posOffset>
            </wp:positionV>
            <wp:extent cx="703199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89"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6300" w:type="dxa"/>
            <w:vAlign w:val="bottom"/>
          </w:tcPr>
          <w:p>
            <w:pPr>
              <w:ind w:left="360"/>
              <w:spacing w:after="0"/>
              <w:rPr>
                <w:sz w:val="20"/>
                <w:szCs w:val="20"/>
                <w:color w:val="auto"/>
              </w:rPr>
            </w:pPr>
            <w:r>
              <w:rPr>
                <w:rFonts w:ascii="Arial" w:cs="Arial" w:eastAsia="Arial" w:hAnsi="Arial"/>
                <w:sz w:val="14"/>
                <w:szCs w:val="14"/>
                <w:color w:val="auto"/>
              </w:rPr>
              <w:t>Gas plant</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4"/>
                <w:szCs w:val="14"/>
                <w:color w:val="auto"/>
              </w:rPr>
              <w:t>Less: accumulated depreciation</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Construction work in progress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680"/>
              <w:spacing w:after="0"/>
              <w:rPr>
                <w:sz w:val="20"/>
                <w:szCs w:val="20"/>
                <w:color w:val="auto"/>
              </w:rPr>
            </w:pPr>
            <w:r>
              <w:rPr>
                <w:rFonts w:ascii="Arial" w:cs="Arial" w:eastAsia="Arial" w:hAnsi="Arial"/>
                <w:sz w:val="14"/>
                <w:szCs w:val="14"/>
                <w:color w:val="auto"/>
              </w:rPr>
              <w:t>Net utility plant</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Other property and investments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Current assets: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30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Accounts receivable, net of allowances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Accrued utility revenue</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Deferred purchased gas costs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Prepaid and other current assets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Noncurrent assets: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300" w:type="dxa"/>
            <w:vAlign w:val="bottom"/>
          </w:tcPr>
          <w:p>
            <w:pPr>
              <w:ind w:left="360"/>
              <w:spacing w:after="0"/>
              <w:rPr>
                <w:sz w:val="20"/>
                <w:szCs w:val="20"/>
                <w:color w:val="auto"/>
              </w:rPr>
            </w:pPr>
            <w:r>
              <w:rPr>
                <w:rFonts w:ascii="Arial" w:cs="Arial" w:eastAsia="Arial" w:hAnsi="Arial"/>
                <w:sz w:val="14"/>
                <w:szCs w:val="14"/>
                <w:color w:val="auto"/>
              </w:rPr>
              <w:t>Goodwill</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Deferred charges and other assets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680"/>
              <w:spacing w:after="0"/>
              <w:rPr>
                <w:sz w:val="20"/>
                <w:szCs w:val="20"/>
                <w:color w:val="auto"/>
              </w:rPr>
            </w:pPr>
            <w:r>
              <w:rPr>
                <w:rFonts w:ascii="Arial" w:cs="Arial" w:eastAsia="Arial" w:hAnsi="Arial"/>
                <w:sz w:val="14"/>
                <w:szCs w:val="14"/>
                <w:color w:val="auto"/>
              </w:rPr>
              <w:t>Total noncurrent assets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Total assets</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300" w:type="dxa"/>
            <w:vAlign w:val="bottom"/>
          </w:tcPr>
          <w:p>
            <w:pPr>
              <w:ind w:left="2560"/>
              <w:spacing w:after="0"/>
              <w:rPr>
                <w:sz w:val="20"/>
                <w:szCs w:val="20"/>
                <w:color w:val="auto"/>
              </w:rPr>
            </w:pPr>
            <w:r>
              <w:rPr>
                <w:rFonts w:ascii="Arial" w:cs="Arial" w:eastAsia="Arial" w:hAnsi="Arial"/>
                <w:sz w:val="14"/>
                <w:szCs w:val="14"/>
                <w:color w:val="auto"/>
              </w:rPr>
              <w:t>CAPITALIZATION AND LIABILITIES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20"/>
                <w:szCs w:val="20"/>
                <w:color w:val="auto"/>
              </w:rPr>
            </w:pPr>
            <w:r>
              <w:rPr>
                <w:rFonts w:ascii="Arial" w:cs="Arial" w:eastAsia="Arial" w:hAnsi="Arial"/>
                <w:sz w:val="14"/>
                <w:szCs w:val="14"/>
                <w:color w:val="auto"/>
              </w:rPr>
              <w:t>Capitalization:</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Common stock</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
              <w:spacing w:after="0"/>
              <w:rPr>
                <w:sz w:val="20"/>
                <w:szCs w:val="20"/>
                <w:color w:val="auto"/>
              </w:rPr>
            </w:pPr>
            <w:r>
              <w:rPr>
                <w:rFonts w:ascii="Arial" w:cs="Arial" w:eastAsia="Arial" w:hAnsi="Arial"/>
                <w:sz w:val="14"/>
                <w:szCs w:val="14"/>
                <w:color w:val="auto"/>
              </w:rPr>
              <w:t>Accumulated other comprehensive income (loss), net</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Retained earnings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Long-term debt, less current maturities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680"/>
              <w:spacing w:after="0"/>
              <w:rPr>
                <w:sz w:val="20"/>
                <w:szCs w:val="20"/>
                <w:color w:val="auto"/>
              </w:rPr>
            </w:pPr>
            <w:r>
              <w:rPr>
                <w:rFonts w:ascii="Arial" w:cs="Arial" w:eastAsia="Arial" w:hAnsi="Arial"/>
                <w:sz w:val="14"/>
                <w:szCs w:val="14"/>
                <w:color w:val="auto"/>
              </w:rPr>
              <w:t>Total capitalization</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Current liabilities: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300" w:type="dxa"/>
            <w:vAlign w:val="bottom"/>
          </w:tcPr>
          <w:p>
            <w:pPr>
              <w:ind w:left="360"/>
              <w:spacing w:after="0"/>
              <w:rPr>
                <w:sz w:val="20"/>
                <w:szCs w:val="20"/>
                <w:color w:val="auto"/>
              </w:rPr>
            </w:pPr>
            <w:r>
              <w:rPr>
                <w:rFonts w:ascii="Arial" w:cs="Arial" w:eastAsia="Arial" w:hAnsi="Arial"/>
                <w:sz w:val="14"/>
                <w:szCs w:val="14"/>
                <w:color w:val="auto"/>
              </w:rPr>
              <w:t>Short-term debt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Customer deposits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Accrued general taxes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Accrued interest</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Deferred purchased gas costs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Payable to parent</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Other current liabilities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Deferred income taxes and other credits: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300" w:type="dxa"/>
            <w:vAlign w:val="bottom"/>
          </w:tcPr>
          <w:p>
            <w:pPr>
              <w:ind w:left="360"/>
              <w:spacing w:after="0"/>
              <w:rPr>
                <w:sz w:val="20"/>
                <w:szCs w:val="20"/>
                <w:color w:val="auto"/>
              </w:rPr>
            </w:pPr>
            <w:r>
              <w:rPr>
                <w:rFonts w:ascii="Arial" w:cs="Arial" w:eastAsia="Arial" w:hAnsi="Arial"/>
                <w:sz w:val="14"/>
                <w:szCs w:val="14"/>
                <w:color w:val="auto"/>
              </w:rPr>
              <w:t>Deferred income taxes and investment tax credits, net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Accumulated removal costs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360"/>
              <w:spacing w:after="0"/>
              <w:rPr>
                <w:sz w:val="20"/>
                <w:szCs w:val="20"/>
                <w:color w:val="auto"/>
              </w:rPr>
            </w:pPr>
            <w:r>
              <w:rPr>
                <w:rFonts w:ascii="Arial" w:cs="Arial" w:eastAsia="Arial" w:hAnsi="Arial"/>
                <w:sz w:val="14"/>
                <w:szCs w:val="14"/>
                <w:color w:val="auto"/>
              </w:rPr>
              <w:t>Other deferred credits and other long-term liabilities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680"/>
              <w:spacing w:after="0"/>
              <w:rPr>
                <w:sz w:val="20"/>
                <w:szCs w:val="20"/>
                <w:color w:val="auto"/>
              </w:rPr>
            </w:pPr>
            <w:r>
              <w:rPr>
                <w:rFonts w:ascii="Arial" w:cs="Arial" w:eastAsia="Arial" w:hAnsi="Arial"/>
                <w:sz w:val="14"/>
                <w:szCs w:val="14"/>
                <w:color w:val="auto"/>
              </w:rPr>
              <w:t>Total deferred income taxes and other credits</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-7066915</wp:posOffset>
            </wp:positionV>
            <wp:extent cx="703199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-6372225</wp:posOffset>
            </wp:positionV>
            <wp:extent cx="703199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-6029325</wp:posOffset>
            </wp:positionV>
            <wp:extent cx="703199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-5685790</wp:posOffset>
            </wp:positionV>
            <wp:extent cx="703199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-4991735</wp:posOffset>
            </wp:positionV>
            <wp:extent cx="703199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-3945255</wp:posOffset>
            </wp:positionV>
            <wp:extent cx="703199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-3602355</wp:posOffset>
            </wp:positionV>
            <wp:extent cx="703199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-2564765</wp:posOffset>
            </wp:positionV>
            <wp:extent cx="703199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-2221230</wp:posOffset>
            </wp:positionV>
            <wp:extent cx="703199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-1878330</wp:posOffset>
            </wp:positionV>
            <wp:extent cx="703199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-1535430</wp:posOffset>
            </wp:positionV>
            <wp:extent cx="703199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-840740</wp:posOffset>
            </wp:positionV>
            <wp:extent cx="703199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-497840</wp:posOffset>
            </wp:positionV>
            <wp:extent cx="703199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-154940</wp:posOffset>
            </wp:positionV>
            <wp:extent cx="703199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-1192530</wp:posOffset>
            </wp:positionV>
            <wp:extent cx="703199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-2915920</wp:posOffset>
            </wp:positionV>
            <wp:extent cx="703199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-3258820</wp:posOffset>
            </wp:positionV>
            <wp:extent cx="703199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-4305300</wp:posOffset>
            </wp:positionV>
            <wp:extent cx="703199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1990" cy="188595"/>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-4648200</wp:posOffset>
            </wp:positionV>
            <wp:extent cx="703199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-5342890</wp:posOffset>
            </wp:positionV>
            <wp:extent cx="703199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78740</wp:posOffset>
            </wp:positionH>
            <wp:positionV relativeFrom="paragraph">
              <wp:posOffset>-6724015</wp:posOffset>
            </wp:positionV>
            <wp:extent cx="703199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Form 10-Q</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jc w:val="right"/>
              <w:ind w:right="488"/>
              <w:spacing w:after="0"/>
              <w:rPr>
                <w:sz w:val="20"/>
                <w:szCs w:val="20"/>
                <w:color w:val="auto"/>
              </w:rPr>
            </w:pPr>
            <w:r>
              <w:rPr>
                <w:rFonts w:ascii="Arial" w:cs="Arial" w:eastAsia="Arial" w:hAnsi="Arial"/>
                <w:sz w:val="14"/>
                <w:szCs w:val="14"/>
                <w:color w:val="auto"/>
                <w:w w:val="87"/>
              </w:rPr>
              <w:t>June 30, 2019</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7"/>
              </w:rPr>
              <w:t>December 31, 2018</w:t>
            </w:r>
          </w:p>
        </w:tc>
      </w:tr>
      <w:tr>
        <w:trPr>
          <w:trHeight w:val="798"/>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7,404,724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7,134,239</w:t>
            </w:r>
          </w:p>
        </w:tc>
      </w:tr>
      <w:tr>
        <w:trPr>
          <w:trHeight w:val="270"/>
        </w:trPr>
        <w:tc>
          <w:tcPr>
            <w:tcW w:w="1360" w:type="dxa"/>
            <w:vAlign w:val="bottom"/>
          </w:tcPr>
          <w:p>
            <w:pPr>
              <w:jc w:val="right"/>
              <w:ind w:right="108"/>
              <w:spacing w:after="0"/>
              <w:rPr>
                <w:sz w:val="20"/>
                <w:szCs w:val="20"/>
                <w:color w:val="auto"/>
              </w:rPr>
            </w:pPr>
            <w:r>
              <w:rPr>
                <w:rFonts w:ascii="Arial" w:cs="Arial" w:eastAsia="Arial" w:hAnsi="Arial"/>
                <w:sz w:val="14"/>
                <w:szCs w:val="14"/>
                <w:color w:val="auto"/>
              </w:rPr>
              <w:t>(2,282,770)</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(2,234,029)</w:t>
            </w:r>
          </w:p>
        </w:tc>
      </w:tr>
      <w:tr>
        <w:trPr>
          <w:trHeight w:val="276"/>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248,270</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193,028</w:t>
            </w:r>
          </w:p>
        </w:tc>
      </w:tr>
      <w:tr>
        <w:trPr>
          <w:trHeight w:val="25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5,370,224</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5,093,238</w:t>
            </w:r>
          </w:p>
        </w:tc>
      </w:tr>
      <w:tr>
        <w:trPr>
          <w:trHeight w:val="25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127,211</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116,146</w:t>
            </w:r>
          </w:p>
        </w:tc>
      </w:tr>
      <w:tr>
        <w:trPr>
          <w:trHeight w:val="528"/>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32,443</w:t>
            </w:r>
          </w:p>
        </w:tc>
        <w:tc>
          <w:tcPr>
            <w:tcW w:w="160" w:type="dxa"/>
            <w:vAlign w:val="bottom"/>
          </w:tcPr>
          <w:p>
            <w:pPr>
              <w:spacing w:after="0"/>
              <w:rPr>
                <w:sz w:val="24"/>
                <w:szCs w:val="2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31,962</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93,430</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140,057</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34,900</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77,200</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12,713</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13,444</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58,240</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4,928</w:t>
            </w:r>
          </w:p>
        </w:tc>
      </w:tr>
      <w:tr>
        <w:trPr>
          <w:trHeight w:val="276"/>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167,906</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229,562</w:t>
            </w:r>
          </w:p>
        </w:tc>
      </w:tr>
      <w:tr>
        <w:trPr>
          <w:trHeight w:val="25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399,632</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497,153</w:t>
            </w:r>
          </w:p>
        </w:tc>
      </w:tr>
      <w:tr>
        <w:trPr>
          <w:trHeight w:val="528"/>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10,095</w:t>
            </w:r>
          </w:p>
        </w:tc>
        <w:tc>
          <w:tcPr>
            <w:tcW w:w="160" w:type="dxa"/>
            <w:vAlign w:val="bottom"/>
          </w:tcPr>
          <w:p>
            <w:pPr>
              <w:spacing w:after="0"/>
              <w:rPr>
                <w:sz w:val="24"/>
                <w:szCs w:val="2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10,095</w:t>
            </w:r>
          </w:p>
        </w:tc>
      </w:tr>
      <w:tr>
        <w:trPr>
          <w:trHeight w:val="276"/>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417,231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424,952</w:t>
            </w:r>
          </w:p>
        </w:tc>
      </w:tr>
      <w:tr>
        <w:trPr>
          <w:trHeight w:val="25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427,326</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435,047</w:t>
            </w:r>
          </w:p>
        </w:tc>
      </w:tr>
      <w:tr>
        <w:trPr>
          <w:trHeight w:val="237"/>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6,324,393</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6,141,584</w:t>
            </w:r>
          </w:p>
        </w:tc>
      </w:tr>
      <w:tr>
        <w:trPr>
          <w:trHeight w:val="20"/>
        </w:trPr>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85"/>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49,112</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49,112</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1,169,549</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1,065,242</w:t>
            </w:r>
          </w:p>
        </w:tc>
      </w:tr>
      <w:tr>
        <w:trPr>
          <w:trHeight w:val="270"/>
        </w:trPr>
        <w:tc>
          <w:tcPr>
            <w:tcW w:w="1360" w:type="dxa"/>
            <w:vAlign w:val="bottom"/>
          </w:tcPr>
          <w:p>
            <w:pPr>
              <w:jc w:val="right"/>
              <w:ind w:right="108"/>
              <w:spacing w:after="0"/>
              <w:rPr>
                <w:sz w:val="20"/>
                <w:szCs w:val="20"/>
                <w:color w:val="auto"/>
              </w:rPr>
            </w:pPr>
            <w:r>
              <w:rPr>
                <w:rFonts w:ascii="Arial" w:cs="Arial" w:eastAsia="Arial" w:hAnsi="Arial"/>
                <w:sz w:val="14"/>
                <w:szCs w:val="14"/>
                <w:color w:val="auto"/>
              </w:rPr>
              <w:t>(46,540)</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(49,049)</w:t>
            </w:r>
          </w:p>
        </w:tc>
      </w:tr>
      <w:tr>
        <w:trPr>
          <w:trHeight w:val="276"/>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776,101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717,155</w:t>
            </w:r>
          </w:p>
        </w:tc>
      </w:tr>
      <w:tr>
        <w:trPr>
          <w:trHeight w:val="244"/>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1,948,222</w:t>
            </w:r>
          </w:p>
        </w:tc>
        <w:tc>
          <w:tcPr>
            <w:tcW w:w="16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1,782,460</w:t>
            </w:r>
          </w:p>
        </w:tc>
      </w:tr>
      <w:tr>
        <w:trPr>
          <w:trHeight w:val="276"/>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2,011,559</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1,818,669</w:t>
            </w:r>
          </w:p>
        </w:tc>
      </w:tr>
      <w:tr>
        <w:trPr>
          <w:trHeight w:val="25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3,959,781</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3,601,129</w:t>
            </w:r>
          </w:p>
        </w:tc>
      </w:tr>
      <w:tr>
        <w:trPr>
          <w:trHeight w:val="528"/>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152,000</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106,773</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184,982</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69,165</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67,940</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42,778</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43,560</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21,258</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20,243</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89,734</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79,762</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580</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472</w:t>
            </w:r>
          </w:p>
        </w:tc>
      </w:tr>
      <w:tr>
        <w:trPr>
          <w:trHeight w:val="276"/>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110,851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94,136</w:t>
            </w:r>
          </w:p>
        </w:tc>
      </w:tr>
      <w:tr>
        <w:trPr>
          <w:trHeight w:val="25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441,139</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643,095</w:t>
            </w:r>
          </w:p>
        </w:tc>
      </w:tr>
      <w:tr>
        <w:trPr>
          <w:trHeight w:val="528"/>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519,432</w:t>
            </w:r>
          </w:p>
        </w:tc>
        <w:tc>
          <w:tcPr>
            <w:tcW w:w="160" w:type="dxa"/>
            <w:vAlign w:val="bottom"/>
          </w:tcPr>
          <w:p>
            <w:pPr>
              <w:spacing w:after="0"/>
              <w:rPr>
                <w:sz w:val="24"/>
                <w:szCs w:val="24"/>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490,458</w:t>
            </w:r>
          </w:p>
        </w:tc>
      </w:tr>
      <w:tr>
        <w:trPr>
          <w:trHeight w:val="27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389,000</w:t>
            </w:r>
          </w:p>
        </w:tc>
        <w:tc>
          <w:tcPr>
            <w:tcW w:w="16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383,000</w:t>
            </w:r>
          </w:p>
        </w:tc>
      </w:tr>
      <w:tr>
        <w:trPr>
          <w:trHeight w:val="276"/>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1,015,041</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1,023,902</w:t>
            </w:r>
          </w:p>
        </w:tc>
      </w:tr>
      <w:tr>
        <w:trPr>
          <w:trHeight w:val="250"/>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1,923,473</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1,897,360</w:t>
            </w:r>
          </w:p>
        </w:tc>
      </w:tr>
      <w:tr>
        <w:trPr>
          <w:trHeight w:val="237"/>
        </w:trPr>
        <w:tc>
          <w:tcPr>
            <w:tcW w:w="1360" w:type="dxa"/>
            <w:vAlign w:val="bottom"/>
          </w:tcPr>
          <w:p>
            <w:pPr>
              <w:jc w:val="right"/>
              <w:ind w:right="168"/>
              <w:spacing w:after="0"/>
              <w:rPr>
                <w:sz w:val="20"/>
                <w:szCs w:val="20"/>
                <w:color w:val="auto"/>
              </w:rPr>
            </w:pPr>
            <w:r>
              <w:rPr>
                <w:rFonts w:ascii="Arial" w:cs="Arial" w:eastAsia="Arial" w:hAnsi="Arial"/>
                <w:sz w:val="14"/>
                <w:szCs w:val="14"/>
                <w:color w:val="auto"/>
              </w:rPr>
              <w:t>6,324,393</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6,141,584</w:t>
            </w:r>
          </w:p>
        </w:tc>
      </w:tr>
      <w:tr>
        <w:trPr>
          <w:trHeight w:val="20"/>
        </w:trPr>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-8255</wp:posOffset>
            </wp:positionV>
            <wp:extent cx="10547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-359410</wp:posOffset>
            </wp:positionV>
            <wp:extent cx="10547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-1054100</wp:posOffset>
            </wp:positionV>
            <wp:extent cx="10547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-2778125</wp:posOffset>
            </wp:positionV>
            <wp:extent cx="10547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-4347210</wp:posOffset>
            </wp:positionV>
            <wp:extent cx="10547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-4510405</wp:posOffset>
            </wp:positionV>
            <wp:extent cx="10547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-5205095</wp:posOffset>
            </wp:positionV>
            <wp:extent cx="10547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-6585585</wp:posOffset>
            </wp:positionV>
            <wp:extent cx="10547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-265430</wp:posOffset>
            </wp:positionH>
            <wp:positionV relativeFrom="paragraph">
              <wp:posOffset>-6928485</wp:posOffset>
            </wp:positionV>
            <wp:extent cx="10547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900" w:space="300"/>
            <w:col w:w="3100"/>
          </w:cols>
          <w:pgMar w:left="300" w:top="287" w:right="299" w:bottom="470" w:gutter="0" w:footer="0" w:header="0"/>
        </w:sectPr>
      </w:pPr>
    </w:p>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300"/>
          </w:cols>
          <w:pgMar w:left="300" w:top="287" w:right="299" w:bottom="47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287" w:right="299" w:bottom="470" w:gutter="0" w:footer="0" w:header="0"/>
          <w:type w:val="continuous"/>
        </w:sectPr>
      </w:pPr>
    </w:p>
    <w:bookmarkStart w:id="9" w:name="page10"/>
    <w:bookmarkEnd w:id="9"/>
    <w:tbl>
      <w:tblPr>
        <w:tblLayout w:type="fixed"/>
        <w:tblInd w:w="2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8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Gas operating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cost of gas sold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Operations and maintenance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operating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income and (expenses):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interest deductions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income (deductions)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other income and (expenses)</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Income from continuing operations before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000" w:type="dxa"/>
            <w:vAlign w:val="bottom"/>
            <w:gridSpan w:val="5"/>
          </w:tcPr>
          <w:p>
            <w:pPr>
              <w:ind w:left="300"/>
              <w:spacing w:after="0"/>
              <w:rPr>
                <w:sz w:val="20"/>
                <w:szCs w:val="20"/>
                <w:color w:val="auto"/>
              </w:rPr>
            </w:pPr>
            <w:r>
              <w:rPr>
                <w:rFonts w:ascii="Arial" w:cs="Arial" w:eastAsia="Arial" w:hAnsi="Arial"/>
                <w:sz w:val="14"/>
                <w:szCs w:val="14"/>
                <w:color w:val="auto"/>
              </w:rPr>
              <w:t>Six Months Ended</w:t>
            </w:r>
          </w:p>
        </w:tc>
        <w:tc>
          <w:tcPr>
            <w:tcW w:w="220" w:type="dxa"/>
            <w:vAlign w:val="bottom"/>
          </w:tcPr>
          <w:p>
            <w:pPr>
              <w:spacing w:after="0"/>
              <w:rPr>
                <w:sz w:val="14"/>
                <w:szCs w:val="14"/>
                <w:color w:val="auto"/>
              </w:rPr>
            </w:pPr>
          </w:p>
        </w:tc>
        <w:tc>
          <w:tcPr>
            <w:tcW w:w="192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250"/>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258,711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275,679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779,388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769,992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1,367,124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1,349,536</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65,182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83,466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257,786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269,198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407,976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407,943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104,991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105,208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210,533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207,398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407,948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397,251</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49,343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47,664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106,955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97,625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201,146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192,098</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15,126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14,666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31,332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29,923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61,307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58,590</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234,642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251,004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606,606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604,144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1,078,377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1,055,882</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24,069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24,675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172,782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165,848</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288,747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293,654</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(23,345)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(20,149)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(46,444)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(39,404)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(88,780)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(74,936)</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(9,036)</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(21,753)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(22,243)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(38,906)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(46,101)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(91,785)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(83,972)</w:t>
            </w:r>
          </w:p>
        </w:tc>
      </w:tr>
      <w:tr>
        <w:trPr>
          <w:trHeight w:val="244"/>
        </w:trPr>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133,876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119,747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196,962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209,682</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27,118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26,776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44,333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46,353</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106,758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92,971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152,629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163,329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-2786380</wp:posOffset>
            </wp:positionV>
            <wp:extent cx="7246620"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-2434590</wp:posOffset>
            </wp:positionV>
            <wp:extent cx="724662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-2083435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-1740535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-1397000</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-1045845</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-702310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-359410</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720"/>
          </w:cols>
          <w:pgMar w:left="280" w:top="270"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80" w:top="27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85"/>
              </w:rPr>
              <w:t>June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80" w:type="dxa"/>
            <w:vAlign w:val="bottom"/>
            <w:gridSpan w:val="10"/>
          </w:tcPr>
          <w:p>
            <w:pPr>
              <w:jc w:val="center"/>
              <w:ind w:right="340"/>
              <w:spacing w:after="0"/>
              <w:rPr>
                <w:sz w:val="20"/>
                <w:szCs w:val="20"/>
                <w:color w:val="auto"/>
              </w:rPr>
            </w:pPr>
            <w:r>
              <w:rPr>
                <w:rFonts w:ascii="Arial" w:cs="Arial" w:eastAsia="Arial" w:hAnsi="Arial"/>
                <w:sz w:val="18"/>
                <w:szCs w:val="18"/>
                <w:color w:val="auto"/>
                <w:w w:val="95"/>
              </w:rPr>
              <w:t>SOUTHWEST GAS CORPORATION AND SUBSIDIARIES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460" w:type="dxa"/>
            <w:vAlign w:val="bottom"/>
            <w:gridSpan w:val="16"/>
          </w:tcPr>
          <w:p>
            <w:pPr>
              <w:jc w:val="center"/>
              <w:ind w:left="17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gridSpan w:val="5"/>
          </w:tcPr>
          <w:p>
            <w:pPr>
              <w:jc w:val="center"/>
              <w:ind w:left="1397"/>
              <w:spacing w:after="0"/>
              <w:rPr>
                <w:sz w:val="20"/>
                <w:szCs w:val="20"/>
                <w:color w:val="auto"/>
              </w:rPr>
            </w:pPr>
            <w:r>
              <w:rPr>
                <w:rFonts w:ascii="Arial" w:cs="Arial" w:eastAsia="Arial" w:hAnsi="Arial"/>
                <w:sz w:val="18"/>
                <w:szCs w:val="18"/>
                <w:color w:val="auto"/>
                <w:w w:val="90"/>
              </w:rPr>
              <w:t>(Thousands of dollars)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gridSpan w:val="4"/>
          </w:tcPr>
          <w:p>
            <w:pPr>
              <w:jc w:val="center"/>
              <w:ind w:left="1657"/>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4"/>
                <w:szCs w:val="2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24"/>
                <w:szCs w:val="2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w w:val="96"/>
              </w:rPr>
              <w:t>June 30,</w:t>
            </w:r>
          </w:p>
        </w:tc>
        <w:tc>
          <w:tcPr>
            <w:tcW w:w="640" w:type="dxa"/>
            <w:vAlign w:val="bottom"/>
            <w:tcBorders>
              <w:bottom w:val="single" w:sz="8" w:color="auto"/>
            </w:tcBorders>
          </w:tcPr>
          <w:p>
            <w:pPr>
              <w:spacing w:after="0"/>
              <w:rPr>
                <w:sz w:val="16"/>
                <w:szCs w:val="16"/>
                <w:color w:val="auto"/>
              </w:rPr>
            </w:pPr>
          </w:p>
        </w:tc>
      </w:tr>
      <w:tr>
        <w:trPr>
          <w:trHeight w:val="264"/>
        </w:trPr>
        <w:tc>
          <w:tcPr>
            <w:tcW w:w="6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r>
      <w:tr>
        <w:trPr>
          <w:trHeight w:val="250"/>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2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3,369</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2,622</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106,758</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92,971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152,629</w:t>
            </w:r>
          </w:p>
        </w:tc>
        <w:tc>
          <w:tcPr>
            <w:tcW w:w="42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163,329</w:t>
            </w:r>
          </w:p>
        </w:tc>
      </w:tr>
      <w:tr>
        <w:trPr>
          <w:trHeight w:val="270"/>
        </w:trPr>
        <w:tc>
          <w:tcPr>
            <w:tcW w:w="324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2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18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2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w:t>
            </w:r>
          </w:p>
        </w:tc>
      </w:tr>
      <w:tr>
        <w:trPr>
          <w:trHeight w:val="264"/>
        </w:trPr>
        <w:tc>
          <w:tcPr>
            <w:tcW w:w="60" w:type="dxa"/>
            <w:vAlign w:val="bottom"/>
          </w:tcPr>
          <w:p>
            <w:pPr>
              <w:spacing w:after="0"/>
              <w:rPr>
                <w:sz w:val="22"/>
                <w:szCs w:val="22"/>
                <w:color w:val="auto"/>
              </w:rPr>
            </w:pPr>
          </w:p>
        </w:tc>
        <w:tc>
          <w:tcPr>
            <w:tcW w:w="318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922</w:t>
            </w:r>
          </w:p>
        </w:tc>
      </w:tr>
      <w:tr>
        <w:trPr>
          <w:trHeight w:val="276"/>
        </w:trPr>
        <w:tc>
          <w:tcPr>
            <w:tcW w:w="60" w:type="dxa"/>
            <w:vAlign w:val="bottom"/>
            <w:shd w:val="clear" w:color="auto" w:fill="CCEEFF"/>
          </w:tcPr>
          <w:p>
            <w:pPr>
              <w:spacing w:after="0"/>
              <w:rPr>
                <w:sz w:val="24"/>
                <w:szCs w:val="24"/>
                <w:color w:val="auto"/>
              </w:rPr>
            </w:pP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21,658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20,662</w:t>
            </w:r>
          </w:p>
        </w:tc>
      </w:tr>
      <w:tr>
        <w:trPr>
          <w:trHeight w:val="264"/>
        </w:trPr>
        <w:tc>
          <w:tcPr>
            <w:tcW w:w="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Regulatory adjustment</w:t>
            </w:r>
          </w:p>
        </w:tc>
        <w:tc>
          <w:tcPr>
            <w:tcW w:w="2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8,212</w:t>
            </w:r>
          </w:p>
        </w:tc>
      </w:tr>
      <w:tr>
        <w:trPr>
          <w:trHeight w:val="256"/>
        </w:trPr>
        <w:tc>
          <w:tcPr>
            <w:tcW w:w="60" w:type="dxa"/>
            <w:vAlign w:val="bottom"/>
            <w:shd w:val="clear" w:color="auto" w:fill="CCEEFF"/>
          </w:tcPr>
          <w:p>
            <w:pPr>
              <w:spacing w:after="0"/>
              <w:rPr>
                <w:sz w:val="22"/>
                <w:szCs w:val="22"/>
                <w:color w:val="auto"/>
              </w:rPr>
            </w:pPr>
          </w:p>
        </w:tc>
        <w:tc>
          <w:tcPr>
            <w:tcW w:w="31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defined benefit pension plans</w:t>
            </w:r>
          </w:p>
        </w:tc>
        <w:tc>
          <w:tcPr>
            <w:tcW w:w="2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(2,905)</w:t>
            </w:r>
          </w:p>
        </w:tc>
      </w:tr>
      <w:tr>
        <w:trPr>
          <w:trHeight w:val="258"/>
        </w:trPr>
        <w:tc>
          <w:tcPr>
            <w:tcW w:w="60" w:type="dxa"/>
            <w:vAlign w:val="bottom"/>
          </w:tcPr>
          <w:p>
            <w:pPr>
              <w:spacing w:after="0"/>
              <w:rPr>
                <w:sz w:val="22"/>
                <w:szCs w:val="22"/>
                <w:color w:val="auto"/>
              </w:rPr>
            </w:pPr>
          </w:p>
        </w:tc>
        <w:tc>
          <w:tcPr>
            <w:tcW w:w="3180" w:type="dxa"/>
            <w:vAlign w:val="bottom"/>
            <w:gridSpan w:val="3"/>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60" w:type="dxa"/>
            <w:vAlign w:val="bottom"/>
            <w:shd w:val="clear" w:color="auto" w:fill="CCEEFF"/>
          </w:tcPr>
          <w:p>
            <w:pPr>
              <w:spacing w:after="0"/>
              <w:rPr>
                <w:sz w:val="23"/>
                <w:szCs w:val="23"/>
                <w:color w:val="auto"/>
              </w:rPr>
            </w:pP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Amounts reclassified into net income</w:t>
            </w:r>
          </w:p>
        </w:tc>
        <w:tc>
          <w:tcPr>
            <w:tcW w:w="2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2,308</w:t>
            </w:r>
          </w:p>
        </w:tc>
      </w:tr>
      <w:tr>
        <w:trPr>
          <w:trHeight w:val="250"/>
        </w:trPr>
        <w:tc>
          <w:tcPr>
            <w:tcW w:w="60" w:type="dxa"/>
            <w:vAlign w:val="bottom"/>
            <w:tcBorders>
              <w:bottom w:val="single" w:sz="8" w:color="CCEEFF"/>
            </w:tcBorders>
          </w:tcPr>
          <w:p>
            <w:pPr>
              <w:spacing w:after="0"/>
              <w:rPr>
                <w:sz w:val="21"/>
                <w:szCs w:val="21"/>
                <w:color w:val="auto"/>
              </w:rPr>
            </w:pPr>
          </w:p>
        </w:tc>
        <w:tc>
          <w:tcPr>
            <w:tcW w:w="31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2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2,308</w:t>
            </w:r>
          </w:p>
        </w:tc>
      </w:tr>
      <w:tr>
        <w:trPr>
          <w:trHeight w:val="250"/>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9"/>
              </w:rPr>
              <w:t>Total other comprehensive income (loss), net of tax</w:t>
            </w:r>
          </w:p>
        </w:tc>
        <w:tc>
          <w:tcPr>
            <w:tcW w:w="2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r>
      <w:tr>
        <w:trPr>
          <w:trHeight w:val="243"/>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Comprehensive income</w:t>
            </w:r>
          </w:p>
        </w:tc>
        <w:tc>
          <w:tcPr>
            <w:tcW w:w="2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4,624</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4,155</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109,267</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96,034</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159,399</w:t>
            </w:r>
          </w:p>
        </w:tc>
        <w:tc>
          <w:tcPr>
            <w:tcW w:w="420" w:type="dxa"/>
            <w:vAlign w:val="bottom"/>
            <w:gridSpan w:val="3"/>
          </w:tcPr>
          <w:p>
            <w:pPr>
              <w:ind w:left="2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162,732</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8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-287020</wp:posOffset>
            </wp:positionV>
            <wp:extent cx="724662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Accounts receivable, net of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undistributed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Equity AFUDC</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other assets and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Changes in other liabilities and deferred credits</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Construction expenditures and property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Miscellaneous inflows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Contributions from parent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Issuance of long-term debt,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credit facility and commercial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short-term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Withholding remittance -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paid,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 paid (received)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40" w:type="dxa"/>
            <w:vAlign w:val="bottom"/>
            <w:gridSpan w:val="5"/>
          </w:tcPr>
          <w:p>
            <w:pPr>
              <w:ind w:left="320"/>
              <w:spacing w:after="0"/>
              <w:rPr>
                <w:sz w:val="20"/>
                <w:szCs w:val="20"/>
                <w:color w:val="auto"/>
              </w:rPr>
            </w:pPr>
            <w:r>
              <w:rPr>
                <w:rFonts w:ascii="Arial" w:cs="Arial" w:eastAsia="Arial" w:hAnsi="Arial"/>
                <w:sz w:val="14"/>
                <w:szCs w:val="14"/>
                <w:color w:val="auto"/>
              </w:rPr>
              <w:t>Six Months Ended</w:t>
            </w:r>
          </w:p>
        </w:tc>
        <w:tc>
          <w:tcPr>
            <w:tcW w:w="240" w:type="dxa"/>
            <w:vAlign w:val="bottom"/>
          </w:tcPr>
          <w:p>
            <w:pPr>
              <w:spacing w:after="0"/>
              <w:rPr>
                <w:sz w:val="14"/>
                <w:szCs w:val="14"/>
                <w:color w:val="auto"/>
              </w:rPr>
            </w:pPr>
          </w:p>
        </w:tc>
        <w:tc>
          <w:tcPr>
            <w:tcW w:w="190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6"/>
                <w:szCs w:val="16"/>
                <w:color w:val="auto"/>
              </w:rPr>
            </w:pPr>
          </w:p>
        </w:tc>
      </w:tr>
      <w:tr>
        <w:trPr>
          <w:trHeight w:val="264"/>
        </w:trPr>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528"/>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106,758</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92,971</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152,629</w:t>
            </w:r>
          </w:p>
        </w:tc>
        <w:tc>
          <w:tcPr>
            <w:tcW w:w="1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163,329</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106,955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97,625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201,146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192,098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28,183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27,371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47,666</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46,626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36,104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(9,787)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(9,282)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(43,341)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34,105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11,693</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(74,787)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(52,095)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8,157</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(12,776)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74,589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(62,357)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5,577</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(1,773)</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(20,336)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(16,607)</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25,356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7,323</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261,852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245,560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398,794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345,654</w:t>
            </w:r>
          </w:p>
        </w:tc>
      </w:tr>
      <w:tr>
        <w:trPr>
          <w:trHeight w:val="528"/>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(365,251)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(285,999)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(762,121)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(622,362)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9,483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8,158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9,911</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2,165</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(355,817)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(277,063)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(748,146)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(610,286)</w:t>
            </w:r>
          </w:p>
        </w:tc>
      </w:tr>
      <w:tr>
        <w:trPr>
          <w:trHeight w:val="528"/>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102,092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56,596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159,045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97,955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(90,300)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(84,601)</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297,222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297,495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297,222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297,495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(44,000)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(191,000)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(2,911)</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94,446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14,457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360,895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263,088</w:t>
            </w:r>
          </w:p>
        </w:tc>
      </w:tr>
      <w:tr>
        <w:trPr>
          <w:trHeight w:val="501"/>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(17,046)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11,543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(1,544)</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31,962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37,946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20,900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22,444</w:t>
            </w:r>
          </w:p>
        </w:tc>
      </w:tr>
      <w:tr>
        <w:trPr>
          <w:trHeight w:val="237"/>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32,443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20,900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32,443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20,900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07"/>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42,853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33,452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83,206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66,037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0"/>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3,013</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420"/>
          </w:cols>
          <w:pgMar w:left="280" w:top="270"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380"/>
          </w:cols>
          <w:pgMar w:left="28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80"/>
          </w:cols>
          <w:pgMar w:left="280" w:top="27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June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4"/>
          </w:tcPr>
          <w:p>
            <w:pPr>
              <w:jc w:val="center"/>
              <w:ind w:left="210"/>
              <w:spacing w:after="0"/>
              <w:rPr>
                <w:sz w:val="20"/>
                <w:szCs w:val="20"/>
                <w:color w:val="auto"/>
              </w:rPr>
            </w:pPr>
            <w:r>
              <w:rPr>
                <w:rFonts w:ascii="Arial" w:cs="Arial" w:eastAsia="Arial" w:hAnsi="Arial"/>
                <w:sz w:val="18"/>
                <w:szCs w:val="18"/>
                <w:color w:val="auto"/>
                <w:w w:val="95"/>
              </w:rPr>
              <w:t>SOUTHWEST GAS CORPORATION AND SUBSIDIARIES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gridSpan w:val="4"/>
          </w:tcPr>
          <w:p>
            <w:pPr>
              <w:jc w:val="center"/>
              <w:ind w:left="230"/>
              <w:spacing w:after="0"/>
              <w:rPr>
                <w:sz w:val="20"/>
                <w:szCs w:val="20"/>
                <w:color w:val="auto"/>
              </w:rPr>
            </w:pPr>
            <w:r>
              <w:rPr>
                <w:rFonts w:ascii="Arial" w:cs="Arial" w:eastAsia="Arial" w:hAnsi="Arial"/>
                <w:sz w:val="18"/>
                <w:szCs w:val="18"/>
                <w:color w:val="auto"/>
                <w:w w:val="95"/>
              </w:rPr>
              <w:t>CONDENSED CONSOLIDATED STATEMENTS OF EQUITY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ind w:left="139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jc w:val="center"/>
              <w:ind w:left="137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5"/>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240"/>
              <w:spacing w:after="0"/>
              <w:rPr>
                <w:sz w:val="20"/>
                <w:szCs w:val="20"/>
                <w:color w:val="auto"/>
              </w:rPr>
            </w:pPr>
            <w:r>
              <w:rPr>
                <w:rFonts w:ascii="Arial" w:cs="Arial" w:eastAsia="Arial" w:hAnsi="Arial"/>
                <w:sz w:val="16"/>
                <w:szCs w:val="16"/>
                <w:color w:val="auto"/>
              </w:rPr>
              <w:t>Three Months Ended</w:t>
            </w:r>
          </w:p>
        </w:tc>
        <w:tc>
          <w:tcPr>
            <w:tcW w:w="180" w:type="dxa"/>
            <w:vAlign w:val="bottom"/>
          </w:tcPr>
          <w:p>
            <w:pPr>
              <w:spacing w:after="0"/>
              <w:rPr>
                <w:sz w:val="24"/>
                <w:szCs w:val="24"/>
                <w:color w:val="auto"/>
              </w:rPr>
            </w:pPr>
          </w:p>
        </w:tc>
        <w:tc>
          <w:tcPr>
            <w:tcW w:w="1960" w:type="dxa"/>
            <w:vAlign w:val="bottom"/>
            <w:gridSpan w:val="4"/>
          </w:tcPr>
          <w:p>
            <w:pPr>
              <w:jc w:val="right"/>
              <w:ind w:right="379"/>
              <w:spacing w:after="0"/>
              <w:rPr>
                <w:sz w:val="20"/>
                <w:szCs w:val="20"/>
                <w:color w:val="auto"/>
              </w:rPr>
            </w:pPr>
            <w:r>
              <w:rPr>
                <w:rFonts w:ascii="Arial" w:cs="Arial" w:eastAsia="Arial" w:hAnsi="Arial"/>
                <w:sz w:val="16"/>
                <w:szCs w:val="16"/>
                <w:color w:val="auto"/>
              </w:rPr>
              <w:t>Six Months Ended</w:t>
            </w: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4"/>
          </w:tcPr>
          <w:p>
            <w:pPr>
              <w:jc w:val="right"/>
              <w:ind w:right="699"/>
              <w:spacing w:after="0"/>
              <w:rPr>
                <w:sz w:val="20"/>
                <w:szCs w:val="20"/>
                <w:color w:val="auto"/>
              </w:rPr>
            </w:pPr>
            <w:r>
              <w:rPr>
                <w:rFonts w:ascii="Arial" w:cs="Arial" w:eastAsia="Arial" w:hAnsi="Arial"/>
                <w:sz w:val="16"/>
                <w:szCs w:val="16"/>
                <w:color w:val="auto"/>
              </w:rPr>
              <w:t>June 30,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2018</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Beginning and ending balances</w:t>
            </w:r>
          </w:p>
        </w:tc>
        <w:tc>
          <w:tcPr>
            <w:tcW w:w="1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47,482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r>
      <w:tr>
        <w:trPr>
          <w:trHeight w:val="257"/>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17"/>
        </w:trPr>
        <w:tc>
          <w:tcPr>
            <w:tcW w:w="60" w:type="dxa"/>
            <w:vAlign w:val="bottom"/>
          </w:tcPr>
          <w:p>
            <w:pPr>
              <w:spacing w:after="0"/>
              <w:rPr>
                <w:sz w:val="18"/>
                <w:szCs w:val="18"/>
                <w:color w:val="auto"/>
              </w:rPr>
            </w:pPr>
          </w:p>
        </w:tc>
        <w:tc>
          <w:tcPr>
            <w:tcW w:w="6940" w:type="dxa"/>
            <w:vAlign w:val="bottom"/>
            <w:gridSpan w:val="3"/>
          </w:tcPr>
          <w:p>
            <w:pPr>
              <w:ind w:left="320"/>
              <w:spacing w:after="0"/>
              <w:rPr>
                <w:sz w:val="20"/>
                <w:szCs w:val="20"/>
                <w:color w:val="auto"/>
              </w:rPr>
            </w:pPr>
            <w:r>
              <w:rPr>
                <w:rFonts w:ascii="Arial" w:cs="Arial" w:eastAsia="Arial" w:hAnsi="Arial"/>
                <w:sz w:val="16"/>
                <w:szCs w:val="16"/>
                <w:color w:val="auto"/>
              </w:rPr>
              <w:t>Beginning and ending balances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49,112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9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1,089,002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948,199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1,065,242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948,767</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Contributions from Southwest Gas Holdings, Inc.</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79,250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102,092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56,596</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1,169,549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1,006,065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1,169,549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1,006,065</w:t>
            </w:r>
          </w:p>
        </w:tc>
      </w:tr>
      <w:tr>
        <w:trPr>
          <w:trHeight w:val="231"/>
        </w:trPr>
        <w:tc>
          <w:tcPr>
            <w:tcW w:w="7000" w:type="dxa"/>
            <w:vAlign w:val="bottom"/>
            <w:gridSpan w:val="4"/>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(47,073)</w:t>
            </w:r>
          </w:p>
        </w:tc>
      </w:tr>
      <w:tr>
        <w:trPr>
          <w:trHeight w:val="220"/>
        </w:trPr>
        <w:tc>
          <w:tcPr>
            <w:tcW w:w="60" w:type="dxa"/>
            <w:vAlign w:val="bottom"/>
          </w:tcPr>
          <w:p>
            <w:pPr>
              <w:spacing w:after="0"/>
              <w:rPr>
                <w:sz w:val="19"/>
                <w:szCs w:val="19"/>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w w:val="96"/>
              </w:rPr>
              <w:t>Net actuarial gain (loss) arising during period, less amortization of unamortized benefit plan</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60" w:type="dxa"/>
            <w:vAlign w:val="bottom"/>
          </w:tcPr>
          <w:p>
            <w:pPr>
              <w:spacing w:after="0"/>
              <w:rPr>
                <w:sz w:val="17"/>
                <w:szCs w:val="17"/>
                <w:color w:val="auto"/>
              </w:rPr>
            </w:pPr>
          </w:p>
        </w:tc>
        <w:tc>
          <w:tcPr>
            <w:tcW w:w="6940" w:type="dxa"/>
            <w:vAlign w:val="bottom"/>
            <w:gridSpan w:val="3"/>
          </w:tcPr>
          <w:p>
            <w:pPr>
              <w:ind w:left="840"/>
              <w:spacing w:after="0"/>
              <w:rPr>
                <w:sz w:val="20"/>
                <w:szCs w:val="20"/>
                <w:color w:val="auto"/>
              </w:rPr>
            </w:pPr>
            <w:r>
              <w:rPr>
                <w:rFonts w:ascii="Arial" w:cs="Arial" w:eastAsia="Arial" w:hAnsi="Arial"/>
                <w:sz w:val="16"/>
                <w:szCs w:val="16"/>
                <w:color w:val="auto"/>
              </w:rPr>
              <w:t>cost, net of tax</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1,792</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FSIRS amounts reclassified to net income,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(9,300)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(53,310)</w:t>
            </w:r>
          </w:p>
        </w:tc>
      </w:tr>
      <w:tr>
        <w:trPr>
          <w:trHeight w:val="231"/>
        </w:trPr>
        <w:tc>
          <w:tcPr>
            <w:tcW w:w="7000" w:type="dxa"/>
            <w:vAlign w:val="bottom"/>
            <w:gridSpan w:val="4"/>
          </w:tcPr>
          <w:p>
            <w:pPr>
              <w:ind w:left="40"/>
              <w:spacing w:after="0"/>
              <w:rPr>
                <w:sz w:val="20"/>
                <w:szCs w:val="20"/>
                <w:color w:val="auto"/>
              </w:rPr>
            </w:pPr>
            <w:r>
              <w:rPr>
                <w:rFonts w:ascii="Arial" w:cs="Arial" w:eastAsia="Arial" w:hAnsi="Arial"/>
                <w:sz w:val="16"/>
                <w:szCs w:val="16"/>
                <w:color w:val="auto"/>
              </w:rPr>
              <w:t>Retained earnings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659,193</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106,758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92,971</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Dividends declared to Southwest Gas Holdings, Inc.</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(44,000)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9,300</w:t>
            </w:r>
          </w:p>
        </w:tc>
      </w:tr>
      <w:tr>
        <w:trPr>
          <w:trHeight w:val="217"/>
        </w:trPr>
        <w:tc>
          <w:tcPr>
            <w:tcW w:w="60" w:type="dxa"/>
            <w:vAlign w:val="bottom"/>
          </w:tcPr>
          <w:p>
            <w:pPr>
              <w:spacing w:after="0"/>
              <w:rPr>
                <w:sz w:val="18"/>
                <w:szCs w:val="18"/>
                <w:color w:val="auto"/>
              </w:rPr>
            </w:pPr>
          </w:p>
        </w:tc>
        <w:tc>
          <w:tcPr>
            <w:tcW w:w="69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776,101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717,126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776,101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717,126</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Total Southwest Gas Corporation equity ending balances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1,948,222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2"/>
              </w:rPr>
              <w:t>1,718,993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1,948,222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1,718,993</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or the “natural gas operations” segment) and all of the shares of common stock of Centuri Group, Inc. (“Centuri,” or the “utility infrastructure services” segment). At the annual meeting of shareholders of Southwest Gas Holdings, Inc., held on May 2, 2019, shareholders voted to approve changing the state of incorporation for Southwest Gas Holdings, Inc. from California to Delaware. The reincorporation remains subject to certain regulatory approvals, which are currently pending.</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 In November 2017, Centuri acquired Neuco, thereby expanding its core services in the northeast region of the U.S. Additionally, in November 2018, Centuri expanded its operations in the southeast region of the U.S. through the acquisition of an 80% interest in Linetec. See </w:t>
      </w:r>
      <w:r>
        <w:rPr>
          <w:rFonts w:ascii="Arial" w:cs="Arial" w:eastAsia="Arial" w:hAnsi="Arial"/>
          <w:sz w:val="18"/>
          <w:szCs w:val="18"/>
          <w:b w:val="1"/>
          <w:bCs w:val="1"/>
          <w:color w:val="auto"/>
        </w:rPr>
        <w:t>Note 12 – Business Acquisitions</w:t>
      </w:r>
      <w:r>
        <w:rPr>
          <w:rFonts w:ascii="Arial" w:cs="Arial" w:eastAsia="Arial" w:hAnsi="Arial"/>
          <w:sz w:val="18"/>
          <w:szCs w:val="18"/>
          <w:color w:val="auto"/>
        </w:rPr>
        <w:t xml:space="preserve"> for more information.</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for Southwest Gas Holdings, Inc. and subsidiaries (the “Company”) and Southwest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herein 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or in the primary businesses comprising those segments as a result of the foregoing acquisitions of Neuco and Linetec.</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It is suggested that these condensed consolidated financial statements be read in conjunction with the consolidated financial statements and the notes thereto included in the 2018 Annual Report to Shareholders, which is incorporated by reference into the 2018 Form 10-K.</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Centuri, through its subsidiary, NPL, had historically held a 65% interest in a venture to market natural gas engine-driven heating, ventilating, and air conditioning technology and products. During the second quarter of 2018, an additional $1 million of capital was contributed by NPL, thereby increasing NPL’s ownership interest to 95%. During the second quarter of 2019, the remaining 5% ownership interest was assumed by NPL. The carrying amount of the noncontrolling interest has been adjusted with a corresponding charge to Additional paid-in capital on the Company’s Consolidated Balance Sheet.</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primarily used quoted market prices and other observable market pricing information in valuing cash and cash equivalents, derivatives, long-term debt outstanding, and assets of the qualified pension plan and postretirement benefit plans required to be recorded and/or disclosed at fair value.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Property and Investments. </w:t>
      </w:r>
      <w:r>
        <w:rPr>
          <w:rFonts w:ascii="Arial" w:cs="Arial" w:eastAsia="Arial" w:hAnsi="Arial"/>
          <w:sz w:val="17"/>
          <w:szCs w:val="17"/>
          <w:color w:val="auto"/>
        </w:rPr>
        <w:t>Other property and investments on the Condensed Consolidated Balance Sheets includes (thousands of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June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surrender value of COLI policies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125,491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114,405</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Southwest Gas Corporation</w:t>
            </w:r>
          </w:p>
        </w:tc>
        <w:tc>
          <w:tcPr>
            <w:tcW w:w="3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127,211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116,146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property, equipment, and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792,191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Centuri accumulated depreciation/amortization</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(332,683)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(298,939)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14,153</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Southwest Gas Holdings, Inc.</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761,652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623,551</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for Southwest and the Company also include money market fund investments totaling approximately $19.6 million and $23.8 million, respectively, at June 30, 2019, and $18 million and $59.9 million, respectively, at December 31, 2018, which fall within Level 2 of the fair value hierarchy, due to the asset valuation methods used by money market funds.</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Typical non-cash investing activities for Southwest include customer advances applied as contributions toward utility construction activity and capital expenditures that were not paid as of quarter end that are included in accounts payable. Amounts related to such activities were immaterial for the periods presented herein. Non-cash investing activities for the twelve months ended June 30, 2019 included $31.3 million of purchase consideration related to the Linetec acquisition by Centuri, in the form of liabilities incurred that remained unpaid as of June 30, 2019; such amounts are included in Other current liabilities on the Condensed Consolidated Balance Sheets of the Company. Also, see </w:t>
      </w:r>
      <w:r>
        <w:rPr>
          <w:rFonts w:ascii="Arial" w:cs="Arial" w:eastAsia="Arial" w:hAnsi="Arial"/>
          <w:sz w:val="17"/>
          <w:szCs w:val="17"/>
          <w:i w:val="1"/>
          <w:iCs w:val="1"/>
          <w:color w:val="auto"/>
        </w:rPr>
        <w:t>Recent Accounting Standards Updates</w:t>
      </w:r>
      <w:r>
        <w:rPr>
          <w:rFonts w:ascii="Arial" w:cs="Arial" w:eastAsia="Arial" w:hAnsi="Arial"/>
          <w:sz w:val="17"/>
          <w:szCs w:val="17"/>
          <w:color w:val="auto"/>
        </w:rPr>
        <w:t xml:space="preserve"> and </w:t>
      </w:r>
      <w:r>
        <w:rPr>
          <w:rFonts w:ascii="Arial" w:cs="Arial" w:eastAsia="Arial" w:hAnsi="Arial"/>
          <w:sz w:val="17"/>
          <w:szCs w:val="17"/>
          <w:b w:val="1"/>
          <w:bCs w:val="1"/>
          <w:color w:val="auto"/>
        </w:rPr>
        <w:t>Note 4 – Leases</w:t>
      </w:r>
      <w:r>
        <w:rPr>
          <w:rFonts w:ascii="Arial" w:cs="Arial" w:eastAsia="Arial" w:hAnsi="Arial"/>
          <w:sz w:val="17"/>
          <w:szCs w:val="17"/>
          <w:color w:val="auto"/>
        </w:rPr>
        <w:t xml:space="preserve"> for information related to right-of-use assets obtained in exchange for lease liabilities, which are non-cash investing and financing activities.</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10 – 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June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accounts receivable for services provided to Southwest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18,830</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2017, the Tax Cuts and Jobs Act (the “TCJA”) was enacted. The TCJA had significant impacts on the taxation of business entities,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provisions related to regulated public utilities. The more significant changes that impacted the Company and Southwest include the reduction in the corporate federal income tax rate from 35% to 21%, and limiting the utilization of net operating losses (“NOLs”) to 80% of taxable income, with the ability to indefinitely carryforward unutilized NOLs to reduce future taxable income.</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Prepaid and Other Current Assets. </w:t>
      </w:r>
      <w:r>
        <w:rPr>
          <w:rFonts w:ascii="Arial" w:cs="Arial" w:eastAsia="Arial" w:hAnsi="Arial"/>
          <w:sz w:val="18"/>
          <w:szCs w:val="18"/>
          <w:color w:val="auto"/>
        </w:rPr>
        <w:t>Prepaid and other current assets includes gas pipe materials and operating supplies of $62 million at June 30,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$56 million at December 31, 2018 (carried at weighted average cost), in addition to $52 million at June 30, 2019 and $74 million at December 31, 2018 related to a regulatory asset associated with the Arizona decoupling mechanism (an alternative revenue program).</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as of October 1</w:t>
      </w:r>
      <w:r>
        <w:rPr>
          <w:rFonts w:ascii="Arial" w:cs="Arial" w:eastAsia="Arial" w:hAnsi="Arial"/>
          <w:sz w:val="16"/>
          <w:szCs w:val="16"/>
          <w:color w:val="auto"/>
        </w:rPr>
        <w:t>st</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for impairment, or more frequently, if circumstances indicate an impairment to the carrying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goodwill may have occurred.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No impairment was deemed to have occurred in the first six months of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Natural Gas</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1"/>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8"/>
              </w:rPr>
              <w:t>Operations</w:t>
            </w: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6"/>
              </w:rPr>
              <w:t>Services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6"/>
              </w:rPr>
              <w:t>Total Company</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359,045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Measurement-period adjustments - Linetec acquisition (a)</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(17,511)</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4,338</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335,777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 See </w:t>
      </w:r>
      <w:r>
        <w:rPr>
          <w:rFonts w:ascii="Arial" w:cs="Arial" w:eastAsia="Arial" w:hAnsi="Arial"/>
          <w:sz w:val="16"/>
          <w:szCs w:val="16"/>
          <w:b w:val="1"/>
          <w:bCs w:val="1"/>
          <w:color w:val="auto"/>
        </w:rPr>
        <w:t>Note 12 – Business Acquisitions</w:t>
      </w:r>
      <w:r>
        <w:rPr>
          <w:rFonts w:ascii="Arial" w:cs="Arial" w:eastAsia="Arial" w:hAnsi="Arial"/>
          <w:sz w:val="16"/>
          <w:szCs w:val="16"/>
          <w:color w:val="auto"/>
        </w:rPr>
        <w:t xml:space="preserve"> for details regarding Linetec measurement-period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-116205</wp:posOffset>
            </wp:positionV>
            <wp:extent cx="3404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Other current liabilities for Southwest include $24.7 million and $23.5 million of dividends declared by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but not yet paid to Southwest Gas Holdings, Inc. at June 30, 2019 and December 31, 2018, respectively. In addition, the balances in both periods include amounts payable under regulatory mechanisms in the next twelve months and miscellaneous other accrued liabilities.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17"/>
                <w:szCs w:val="17"/>
                <w:color w:val="auto"/>
              </w:rPr>
            </w:pPr>
          </w:p>
        </w:tc>
        <w:tc>
          <w:tcPr>
            <w:tcW w:w="1800" w:type="dxa"/>
            <w:vAlign w:val="bottom"/>
            <w:gridSpan w:val="5"/>
          </w:tcPr>
          <w:p>
            <w:pPr>
              <w:ind w:left="160"/>
              <w:spacing w:after="0"/>
              <w:rPr>
                <w:sz w:val="20"/>
                <w:szCs w:val="20"/>
                <w:color w:val="auto"/>
              </w:rPr>
            </w:pPr>
            <w:r>
              <w:rPr>
                <w:rFonts w:ascii="Arial" w:cs="Arial" w:eastAsia="Arial" w:hAnsi="Arial"/>
                <w:sz w:val="16"/>
                <w:szCs w:val="16"/>
                <w:color w:val="auto"/>
              </w:rPr>
              <w:t>Six Months Ended</w:t>
            </w:r>
          </w:p>
        </w:tc>
        <w:tc>
          <w:tcPr>
            <w:tcW w:w="240" w:type="dxa"/>
            <w:vAlign w:val="bottom"/>
          </w:tcPr>
          <w:p>
            <w:pPr>
              <w:spacing w:after="0"/>
              <w:rPr>
                <w:sz w:val="17"/>
                <w:szCs w:val="17"/>
                <w:color w:val="auto"/>
              </w:rPr>
            </w:pPr>
          </w:p>
        </w:tc>
        <w:tc>
          <w:tcPr>
            <w:tcW w:w="1900" w:type="dxa"/>
            <w:vAlign w:val="bottom"/>
            <w:gridSpan w:val="4"/>
          </w:tcPr>
          <w:p>
            <w:pPr>
              <w:ind w:left="120"/>
              <w:spacing w:after="0"/>
              <w:rPr>
                <w:sz w:val="20"/>
                <w:szCs w:val="20"/>
                <w:color w:val="auto"/>
              </w:rPr>
            </w:pPr>
            <w:r>
              <w:rPr>
                <w:rFonts w:ascii="Arial" w:cs="Arial" w:eastAsia="Arial" w:hAnsi="Arial"/>
                <w:sz w:val="16"/>
                <w:szCs w:val="16"/>
                <w:color w:val="auto"/>
              </w:rPr>
              <w:t>Twelve Months Ended</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ind w:left="580"/>
              <w:spacing w:after="0"/>
              <w:rPr>
                <w:sz w:val="20"/>
                <w:szCs w:val="20"/>
                <w:color w:val="auto"/>
              </w:rPr>
            </w:pPr>
            <w:r>
              <w:rPr>
                <w:rFonts w:ascii="Arial" w:cs="Arial" w:eastAsia="Arial" w:hAnsi="Arial"/>
                <w:sz w:val="16"/>
                <w:szCs w:val="16"/>
                <w:color w:val="auto"/>
                <w:w w:val="94"/>
              </w:rPr>
              <w:t>June 30,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95"/>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04"/>
        </w:trPr>
        <w:tc>
          <w:tcPr>
            <w:tcW w:w="4920" w:type="dxa"/>
            <w:vAlign w:val="bottom"/>
          </w:tcPr>
          <w:p>
            <w:pPr>
              <w:ind w:left="40"/>
              <w:spacing w:after="0"/>
              <w:rPr>
                <w:sz w:val="20"/>
                <w:szCs w:val="20"/>
                <w:color w:val="auto"/>
              </w:rPr>
            </w:pPr>
            <w:r>
              <w:rPr>
                <w:rFonts w:ascii="Arial" w:cs="Arial" w:eastAsia="Arial" w:hAnsi="Arial"/>
                <w:sz w:val="16"/>
                <w:szCs w:val="16"/>
                <w:color w:val="auto"/>
              </w:rPr>
              <w:t>Southwest Gas Corporation - natural gas operations segment:</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COLI policies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6,900</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4,401</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AFUDC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Other components of net periodic benefit cost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(10,529)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(20,241)</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Miscellaneous income and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color w:val="auto"/>
              </w:rPr>
              <w:t>Southwest Gas Corporation - total other income (deductions)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(6,697)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(9,036)</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Utility infrastructure services segment: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transaction gain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Miscellaneous income and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Centuri - total other income (deductions)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color w:val="auto"/>
              </w:rPr>
              <w:t>Corporate and administrative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Consolidated Southwest Gas Holdings, Inc. - total other income</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1,146</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7,985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(9,270)</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(deductions)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also to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2019:</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(“FASB”) issued the update “Leases (Topic 842).” Under the update, lessees were required to recognize a lease liability for the obligation to make lease payments, measured on a discounted basis; and a right-of-use asset for the right to use, or control the use of, a specified asset for the lease term. The Company and Southwest adopted Topic 842 in the first quarter of 2019 through an optional transition method, which was elected, permitting the application of the provisions of the standard at the adoption date, rather than to earlier comparative periods. As a result, the Company and Southwest have not recast prior periods to reflect the adoption of this standard. See </w:t>
      </w:r>
      <w:r>
        <w:rPr>
          <w:rFonts w:ascii="Arial" w:cs="Arial" w:eastAsia="Arial" w:hAnsi="Arial"/>
          <w:sz w:val="16"/>
          <w:szCs w:val="16"/>
          <w:b w:val="1"/>
          <w:bCs w:val="1"/>
          <w:color w:val="auto"/>
        </w:rPr>
        <w:t>Note 4 – Leases</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that will be effective after 2019:</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FASB issued Accounting Standards Update (“ASU”) 2016-13 update “Financial Instruments — 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inputs currently used to estimate credit losses will still be used; however, they may be adapted to reflect the full amount of expected losses.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the Company’s and Southwest’s consolidated financial statements and disclosures.</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Currently, unless meeting the criteria for qualitative assessment only, an entity is required to perform a two-step test to determine the amount, if any, of goodwill impairment. In Step 1, an entity compares the fair value of a reporting unit with its carrying amount, including goodwill. If the carrying amount of the reporting unit exceeds its fair value, the entity performs Step 2 and compares the implied fair value of goodwill with the carrying amount of that goodwill for that reporting unit, requiring a hypothetical purchase price allocation to measure the amount of a goodwill impairment. An impairment charge equal to the amount by which the carrying amount of goodwill for the reporting unit exceeds the implied fair value of that goodwill is recorded, limited to the amount of goodwill allocated to that reporting unit. Under the update,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The amount of any goodwill impairment calculated under the update could vary from the calculation under existing guidance, largely due to the consideration to be given to unrecognized differences between the fair value and carrying values of the other assets and liabilities in the reporting unit under the new guidance. The amendments should be applied on a prospective basis. The update is effective for fiscal and interim periods beginning after December 15, 2019. Early adoption has been permitted for interim or annual goodwill impairment tests performed on testing dates after January 1, 2017. Management is evaluating the impacts this update might have on the Company’s and Southwest’s consolidated financial statements and disclosures.</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Once capitalized, the update requires the entity to expense the amount capitalized over the term of the hosting arrangement, including reasonably certain renewal periods. The update is effective for fiscal years beginning after December 15, 2019, including interim periods within those fiscal years. Early adoption of the amendments in this update is permitted for interim and related annual fiscal periods after December 15, 2018. Management is evaluating the impacts this update might have on the Company’s and Southwest’s consolidated financial statements and disclosures.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FASB issued ASU 2018-14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update is effective for fiscal years ending after December 15, 2020. Upon adoption, the Company and Southwest will modify their disclosures to conform to the requirements of the update.</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FASB issued ASU 2018-13 “Fair Value Measurement: Disclosure Framework—Changes to the Disclosure Requirements for Fair Value Measurement.” The update is intended to improve the effectiveness of fair value measurement disclosures and removes the following disclosure requirements: the amount of and reasons for transfers between Level 1 and Level 2 of the fair value hierarchy; the policy for timing of transfers between levels; and the valuation processes for Level 3 fair value measurements. The update also modifies or clarifies for investments in certain entities that calculate net asset value, a</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requirement to disclose the timing of liquidation of an investee’s assets and the date when restrictions from redemption might lapse (in cases when the timing has been communicated or announced publicly). It also clarifies communication requirements about measurement uncertainty as of the reporting date. For certain unobservable inputs, an entity may disclose other quantitative information in lieu of the weighted average if it would be a more reasonable and rational method to reflect the distribution of inputs to the measurements. The update is effective for fiscal years, and interim periods within those fiscal years, beginning after December 15, 2019. Management is evaluating the impacts this update might have on its disclosures.</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service cost component of net periodic benefit costs included in the table below are components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color w:val="auto"/>
                <w:w w:val="92"/>
              </w:rPr>
              <w:t>Qualified Retirement Plan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Period Ended June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20"/>
                <w:szCs w:val="20"/>
                <w:color w:val="auto"/>
              </w:rPr>
            </w:pPr>
          </w:p>
        </w:tc>
        <w:tc>
          <w:tcPr>
            <w:tcW w:w="1520" w:type="dxa"/>
            <w:vAlign w:val="bottom"/>
            <w:gridSpan w:val="3"/>
          </w:tcPr>
          <w:p>
            <w:pPr>
              <w:jc w:val="center"/>
              <w:ind w:left="550"/>
              <w:spacing w:after="0"/>
              <w:rPr>
                <w:sz w:val="20"/>
                <w:szCs w:val="20"/>
                <w:color w:val="auto"/>
              </w:rPr>
            </w:pPr>
            <w:r>
              <w:rPr>
                <w:rFonts w:ascii="Arial" w:cs="Arial" w:eastAsia="Arial" w:hAnsi="Arial"/>
                <w:sz w:val="18"/>
                <w:szCs w:val="18"/>
                <w:color w:val="auto"/>
                <w:w w:val="94"/>
              </w:rPr>
              <w:t>Six Months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24,503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22,087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45,129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(56,975)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16,057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jc w:val="center"/>
              <w:ind w:left="530"/>
              <w:spacing w:after="0"/>
              <w:rPr>
                <w:sz w:val="20"/>
                <w:szCs w:val="20"/>
                <w:color w:val="auto"/>
              </w:rPr>
            </w:pPr>
            <w:r>
              <w:rPr>
                <w:rFonts w:ascii="Arial" w:cs="Arial" w:eastAsia="Arial" w:hAnsi="Arial"/>
                <w:sz w:val="18"/>
                <w:szCs w:val="18"/>
                <w:color w:val="auto"/>
                <w:w w:val="85"/>
              </w:rPr>
              <w:t>SERP</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Period Ended June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20"/>
                <w:szCs w:val="20"/>
                <w:color w:val="auto"/>
              </w:rPr>
            </w:pPr>
          </w:p>
        </w:tc>
        <w:tc>
          <w:tcPr>
            <w:tcW w:w="1520" w:type="dxa"/>
            <w:vAlign w:val="bottom"/>
            <w:gridSpan w:val="3"/>
          </w:tcPr>
          <w:p>
            <w:pPr>
              <w:jc w:val="center"/>
              <w:ind w:left="550"/>
              <w:spacing w:after="0"/>
              <w:rPr>
                <w:sz w:val="20"/>
                <w:szCs w:val="20"/>
                <w:color w:val="auto"/>
              </w:rPr>
            </w:pPr>
            <w:r>
              <w:rPr>
                <w:rFonts w:ascii="Arial" w:cs="Arial" w:eastAsia="Arial" w:hAnsi="Arial"/>
                <w:sz w:val="18"/>
                <w:szCs w:val="18"/>
                <w:color w:val="auto"/>
                <w:w w:val="94"/>
              </w:rPr>
              <w:t>Six Months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PBOP</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Period Ended June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20"/>
                <w:szCs w:val="20"/>
                <w:color w:val="auto"/>
              </w:rPr>
            </w:pPr>
          </w:p>
        </w:tc>
        <w:tc>
          <w:tcPr>
            <w:tcW w:w="1520" w:type="dxa"/>
            <w:vAlign w:val="bottom"/>
            <w:gridSpan w:val="3"/>
          </w:tcPr>
          <w:p>
            <w:pPr>
              <w:jc w:val="center"/>
              <w:ind w:left="550"/>
              <w:spacing w:after="0"/>
              <w:rPr>
                <w:sz w:val="20"/>
                <w:szCs w:val="20"/>
                <w:color w:val="auto"/>
              </w:rPr>
            </w:pPr>
            <w:r>
              <w:rPr>
                <w:rFonts w:ascii="Arial" w:cs="Arial" w:eastAsia="Arial" w:hAnsi="Arial"/>
                <w:sz w:val="18"/>
                <w:szCs w:val="18"/>
                <w:color w:val="auto"/>
                <w:w w:val="94"/>
              </w:rPr>
              <w:t>Six Months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0" w:right="239" w:bottom="1440" w:gutter="0" w:footer="0" w:header="0"/>
          <w:type w:val="continuous"/>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about the Company’s revenues is presented by segment. Southwest encompasses one segment – natural gas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30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7"/>
                <w:szCs w:val="17"/>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color w:val="auto"/>
              </w:rPr>
              <w:t>Six Months Ended</w:t>
            </w:r>
          </w:p>
        </w:tc>
        <w:tc>
          <w:tcPr>
            <w:tcW w:w="220" w:type="dxa"/>
            <w:vAlign w:val="bottom"/>
          </w:tcPr>
          <w:p>
            <w:pPr>
              <w:spacing w:after="0"/>
              <w:rPr>
                <w:sz w:val="17"/>
                <w:szCs w:val="17"/>
                <w:color w:val="auto"/>
              </w:rPr>
            </w:pPr>
          </w:p>
        </w:tc>
        <w:tc>
          <w:tcPr>
            <w:tcW w:w="2120" w:type="dxa"/>
            <w:vAlign w:val="bottom"/>
            <w:gridSpan w:val="4"/>
          </w:tcPr>
          <w:p>
            <w:pPr>
              <w:jc w:val="right"/>
              <w:ind w:right="339"/>
              <w:spacing w:after="0"/>
              <w:rPr>
                <w:sz w:val="20"/>
                <w:szCs w:val="20"/>
                <w:color w:val="auto"/>
              </w:rPr>
            </w:pPr>
            <w:r>
              <w:rPr>
                <w:rFonts w:ascii="Arial" w:cs="Arial" w:eastAsia="Arial" w:hAnsi="Arial"/>
                <w:sz w:val="16"/>
                <w:szCs w:val="16"/>
                <w:color w:val="auto"/>
              </w:rPr>
              <w:t>Twelve Months Ended</w:t>
            </w: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20" w:type="dxa"/>
            <w:vAlign w:val="bottom"/>
          </w:tcPr>
          <w:p>
            <w:pPr>
              <w:spacing w:after="0"/>
              <w:rPr>
                <w:sz w:val="18"/>
                <w:szCs w:val="18"/>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(Thousands of dollars)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2018</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164,873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166,702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582,101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511,313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958,008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867,338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Small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254,966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Large commercial</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11,123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13,134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25,085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28,574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49,703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54,577</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23,533</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Transportation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21,815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20,719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46,717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44,773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88,934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88,842</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253,408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261,699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805,588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740,257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1,371,305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1,289,256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Alternative revenue program revenues (deferrals)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10,393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(31,153)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37,602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67,046</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 (a)</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(6,766)</w:t>
            </w:r>
          </w:p>
        </w:tc>
      </w:tr>
      <w:tr>
        <w:trPr>
          <w:trHeight w:val="231"/>
        </w:trPr>
        <w:tc>
          <w:tcPr>
            <w:tcW w:w="4000" w:type="dxa"/>
            <w:vAlign w:val="bottom"/>
          </w:tcPr>
          <w:p>
            <w:pPr>
              <w:ind w:left="380"/>
              <w:spacing w:after="0"/>
              <w:rPr>
                <w:sz w:val="20"/>
                <w:szCs w:val="20"/>
                <w:color w:val="auto"/>
              </w:rPr>
            </w:pPr>
            <w:r>
              <w:rPr>
                <w:rFonts w:ascii="Arial" w:cs="Arial" w:eastAsia="Arial" w:hAnsi="Arial"/>
                <w:sz w:val="16"/>
                <w:szCs w:val="16"/>
                <w:color w:val="auto"/>
              </w:rPr>
              <w:t>Total Gas operating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258,711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275,679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779,388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769,992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1,367,124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1,349,536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07890" cy="26035"/>
                    </a:xfrm>
                    <a:prstGeom prst="rect">
                      <a:avLst/>
                    </a:prstGeom>
                    <a:noFill/>
                  </pic:spPr>
                </pic:pic>
              </a:graphicData>
            </a:graphic>
          </wp:anchor>
        </w:drawing>
      </w:r>
    </w:p>
    <w:p>
      <w:pPr>
        <w:spacing w:after="0" w:line="30" w:lineRule="exact"/>
        <w:rPr>
          <w:sz w:val="20"/>
          <w:szCs w:val="20"/>
          <w:color w:val="auto"/>
        </w:rPr>
      </w:pPr>
    </w:p>
    <w:p>
      <w:pPr>
        <w:jc w:val="both"/>
        <w:ind w:left="420" w:hanging="250"/>
        <w:spacing w:after="0" w:line="261" w:lineRule="auto"/>
        <w:tabs>
          <w:tab w:leader="none" w:pos="412"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Comprised of various other revenue impacts, including $(1.1) million, $(2.9) million, and $(3.9) million for the three, six, and twelve months ending June 30, 2019, respectively; and, $1.6 million during the three months, and $(12.5) million in both the six and twelve months ending June 30, 2018 related to tax reform savings reserves/adjustments.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Six Months Ended</w:t>
            </w:r>
          </w:p>
        </w:tc>
        <w:tc>
          <w:tcPr>
            <w:tcW w:w="280" w:type="dxa"/>
            <w:vAlign w:val="bottom"/>
          </w:tcPr>
          <w:p>
            <w:pPr>
              <w:spacing w:after="0"/>
              <w:rPr>
                <w:sz w:val="20"/>
                <w:szCs w:val="20"/>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Twelve Months Ended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Service Types: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infrastructure services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1,205,197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1,072,082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Electric power infrastructure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113,667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136,900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151,931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292,129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317,831</w:t>
            </w:r>
          </w:p>
        </w:tc>
        <w:tc>
          <w:tcPr>
            <w:tcW w:w="0" w:type="dxa"/>
            <w:vAlign w:val="bottom"/>
          </w:tcPr>
          <w:p>
            <w:pPr>
              <w:spacing w:after="0"/>
              <w:rPr>
                <w:sz w:val="1"/>
                <w:szCs w:val="1"/>
                <w:color w:val="auto"/>
              </w:rPr>
            </w:pPr>
          </w:p>
        </w:tc>
      </w:tr>
      <w:tr>
        <w:trPr>
          <w:trHeight w:val="209"/>
        </w:trPr>
        <w:tc>
          <w:tcPr>
            <w:tcW w:w="3340" w:type="dxa"/>
            <w:vAlign w:val="bottom"/>
          </w:tcPr>
          <w:p>
            <w:pPr>
              <w:ind w:left="380"/>
              <w:spacing w:after="0"/>
              <w:rPr>
                <w:sz w:val="20"/>
                <w:szCs w:val="20"/>
                <w:color w:val="auto"/>
              </w:rPr>
            </w:pPr>
            <w:r>
              <w:rPr>
                <w:rFonts w:ascii="Arial" w:cs="Arial" w:eastAsia="Arial" w:hAnsi="Arial"/>
                <w:sz w:val="18"/>
                <w:szCs w:val="18"/>
                <w:color w:val="auto"/>
              </w:rPr>
              <w:t>Total Utility infrastructure services</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454,300</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395,204</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767,162</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655,221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1,634,226</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1,409,263</w:t>
            </w:r>
          </w:p>
        </w:tc>
        <w:tc>
          <w:tcPr>
            <w:tcW w:w="0" w:type="dxa"/>
            <w:vAlign w:val="bottom"/>
          </w:tcPr>
          <w:p>
            <w:pPr>
              <w:spacing w:after="0"/>
              <w:rPr>
                <w:sz w:val="1"/>
                <w:szCs w:val="1"/>
                <w:color w:val="auto"/>
              </w:rPr>
            </w:pPr>
          </w:p>
        </w:tc>
      </w:tr>
      <w:tr>
        <w:trPr>
          <w:trHeight w:val="242"/>
        </w:trPr>
        <w:tc>
          <w:tcPr>
            <w:tcW w:w="334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color w:val="auto"/>
                <w:w w:val="91"/>
              </w:rPr>
              <w:t>Six Months Ended</w:t>
            </w:r>
          </w:p>
        </w:tc>
        <w:tc>
          <w:tcPr>
            <w:tcW w:w="280" w:type="dxa"/>
            <w:vAlign w:val="bottom"/>
          </w:tcPr>
          <w:p>
            <w:pPr>
              <w:spacing w:after="0"/>
              <w:rPr>
                <w:sz w:val="24"/>
                <w:szCs w:val="24"/>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Twelve Months Ended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Contract Types: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services agreement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611,515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1,229,388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1,014,517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Bid contract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155,647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170,682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404,838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394,746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454,300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395,204</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767,162</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655,221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1,634,226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1,409,263</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priced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1,323,034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1,102,335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Fixed priced contracts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42,965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138,658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materials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203,495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168,270</w:t>
            </w:r>
          </w:p>
        </w:tc>
        <w:tc>
          <w:tcPr>
            <w:tcW w:w="0" w:type="dxa"/>
            <w:vAlign w:val="bottom"/>
          </w:tcPr>
          <w:p>
            <w:pPr>
              <w:spacing w:after="0"/>
              <w:rPr>
                <w:sz w:val="1"/>
                <w:szCs w:val="1"/>
                <w:color w:val="auto"/>
              </w:rPr>
            </w:pPr>
          </w:p>
        </w:tc>
      </w:tr>
      <w:tr>
        <w:trPr>
          <w:trHeight w:val="209"/>
        </w:trPr>
        <w:tc>
          <w:tcPr>
            <w:tcW w:w="3340" w:type="dxa"/>
            <w:vAlign w:val="bottom"/>
          </w:tcPr>
          <w:p>
            <w:pPr>
              <w:ind w:left="380"/>
              <w:spacing w:after="0"/>
              <w:rPr>
                <w:sz w:val="20"/>
                <w:szCs w:val="20"/>
                <w:color w:val="auto"/>
              </w:rPr>
            </w:pPr>
            <w:r>
              <w:rPr>
                <w:rFonts w:ascii="Arial" w:cs="Arial" w:eastAsia="Arial" w:hAnsi="Arial"/>
                <w:sz w:val="18"/>
                <w:szCs w:val="18"/>
                <w:color w:val="auto"/>
              </w:rPr>
              <w:t>Total Utility infrastructure services</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454,300</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395,204</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767,162</w:t>
            </w:r>
          </w:p>
        </w:tc>
        <w:tc>
          <w:tcPr>
            <w:tcW w:w="12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655,221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1,634,226</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1,409,263</w:t>
            </w:r>
          </w:p>
        </w:tc>
        <w:tc>
          <w:tcPr>
            <w:tcW w:w="0" w:type="dxa"/>
            <w:vAlign w:val="bottom"/>
          </w:tcPr>
          <w:p>
            <w:pPr>
              <w:spacing w:after="0"/>
              <w:rPr>
                <w:sz w:val="1"/>
                <w:szCs w:val="1"/>
                <w:color w:val="auto"/>
              </w:rPr>
            </w:pPr>
          </w:p>
        </w:tc>
      </w:tr>
      <w:tr>
        <w:trPr>
          <w:trHeight w:val="242"/>
        </w:trPr>
        <w:tc>
          <w:tcPr>
            <w:tcW w:w="334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109"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70" w:right="239" w:bottom="1109" w:gutter="0" w:footer="0" w:header="0"/>
          <w:type w:val="continuous"/>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provides information about contracts receivable and revenue earned on contracts in progress in excess of billings (contract asset), which are both included within Accounts receivable, net of allowances, as well as amounts billed in excess of revenue earned on contracts (contract liability), which are included in Other current liabilities as of June 30, 2019 and December 31, 2018 on the Company’s Condensed Consolidated Balance Sheets: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20" w:type="dxa"/>
            <w:vAlign w:val="bottom"/>
          </w:tcPr>
          <w:p>
            <w:pPr>
              <w:spacing w:after="0"/>
              <w:rPr>
                <w:sz w:val="20"/>
                <w:szCs w:val="20"/>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June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receivable,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118,529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87,520</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billed in excess of revenue earned on contracts</w:t>
            </w:r>
          </w:p>
        </w:tc>
        <w:tc>
          <w:tcPr>
            <w:tcW w:w="3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r>
      <w:tr>
        <w:trPr>
          <w:trHeight w:val="27"/>
        </w:trPr>
        <w:tc>
          <w:tcPr>
            <w:tcW w:w="7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The amounts billed in excess of revenue earned (contract liability) primarily relates to the advance consideration received from customers for which work has not yet been completed. The change in this contract liability balance from December 31, 2018 to June 30, 2019 is due to revenue recognized of $4.2 million that was included in this item as of January 1, 2019, after which time it became earned and the balance was reduced, and to increases due to cash received, net of revenue recognized during the period related to contracts that commenced during the period.</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2019, Centuri has eighteen contracts that had an original duration of more than one year. The aggregate amount of the transaction price allocated to the unsatisfied performance obligations of these contracts as of June 30, 2019 is $64.8 million. Centuri expects to recognize the remaining performance obligations over the next three years; however, the timing of that recognition is largely within the control of the customer, including when the necessary equipment and materials required to complete the work are provided by the customer.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400" w:type="dxa"/>
            <w:vAlign w:val="bottom"/>
          </w:tcPr>
          <w:p>
            <w:pPr>
              <w:spacing w:after="0"/>
              <w:rPr>
                <w:sz w:val="20"/>
                <w:szCs w:val="20"/>
                <w:color w:val="auto"/>
              </w:rPr>
            </w:pPr>
          </w:p>
        </w:tc>
        <w:tc>
          <w:tcPr>
            <w:tcW w:w="2040" w:type="dxa"/>
            <w:vAlign w:val="bottom"/>
          </w:tcPr>
          <w:p>
            <w:pPr>
              <w:jc w:val="right"/>
              <w:ind w:right="650"/>
              <w:spacing w:after="0"/>
              <w:rPr>
                <w:sz w:val="20"/>
                <w:szCs w:val="20"/>
                <w:color w:val="auto"/>
              </w:rPr>
            </w:pPr>
            <w:r>
              <w:rPr>
                <w:rFonts w:ascii="Arial" w:cs="Arial" w:eastAsia="Arial" w:hAnsi="Arial"/>
                <w:sz w:val="18"/>
                <w:szCs w:val="18"/>
                <w:color w:val="auto"/>
              </w:rPr>
              <w:t>June 30, 2019</w:t>
            </w:r>
          </w:p>
        </w:tc>
        <w:tc>
          <w:tcPr>
            <w:tcW w:w="38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Arial" w:cs="Arial" w:eastAsia="Arial" w:hAnsi="Arial"/>
                <w:sz w:val="18"/>
                <w:szCs w:val="18"/>
                <w:color w:val="auto"/>
                <w:w w:val="99"/>
              </w:rPr>
              <w:t>December 31, 2018</w:t>
            </w:r>
          </w:p>
        </w:tc>
      </w:tr>
      <w:tr>
        <w:trPr>
          <w:trHeight w:val="27"/>
        </w:trPr>
        <w:tc>
          <w:tcPr>
            <w:tcW w:w="6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on completed contracts and contracts in progress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207,057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400" w:type="dxa"/>
            <w:vAlign w:val="bottom"/>
          </w:tcPr>
          <w:p>
            <w:pPr>
              <w:spacing w:after="0"/>
              <w:rPr>
                <w:sz w:val="21"/>
                <w:szCs w:val="21"/>
                <w:color w:val="auto"/>
              </w:rPr>
            </w:pP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1,863</w:t>
            </w:r>
          </w:p>
        </w:tc>
        <w:tc>
          <w:tcPr>
            <w:tcW w:w="38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gross</w:t>
            </w:r>
          </w:p>
        </w:tc>
        <w:tc>
          <w:tcPr>
            <w:tcW w:w="4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208,920</w:t>
            </w:r>
          </w:p>
        </w:tc>
        <w:tc>
          <w:tcPr>
            <w:tcW w:w="3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(3,349)</w:t>
            </w:r>
          </w:p>
        </w:tc>
        <w:tc>
          <w:tcPr>
            <w:tcW w:w="3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205,571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0"/>
        </w:trPr>
        <w:tc>
          <w:tcPr>
            <w:tcW w:w="6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and Southwest adopted FASB Topic 842 as of January 1, 2019. In association with the adoption, the Company recorded adjustments to its Condensed Consolidated Balance Sheet to record right-of-use (“ROU”) assets and lease liabilities of $58.4 million and $60.8 million, respectively. Included in those amounts, Southwest recorded $1.9 million related to both its ROU assets and lease liabilities. Neither the Company nor Southwest experienced a material impact to the Condensed Consolidated Statements of Income from the adoption and no cumulative-effect adjustment to the opening balance of retained earnings was recognized. Management elected to adopt the standard under the optional transition method (refer to </w:t>
      </w:r>
      <w:r>
        <w:rPr>
          <w:rFonts w:ascii="Arial" w:cs="Arial" w:eastAsia="Arial" w:hAnsi="Arial"/>
          <w:sz w:val="18"/>
          <w:szCs w:val="18"/>
          <w:i w:val="1"/>
          <w:iCs w:val="1"/>
          <w:color w:val="auto"/>
        </w:rPr>
        <w:t>Recent Accounting Standards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and elected the following Topic 842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expedients and accounting policy elections:</w:t>
      </w:r>
    </w:p>
    <w:p>
      <w:pPr>
        <w:spacing w:after="0" w:line="81"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use the “package”, which is a set of three practical expedients that must be elected as a package and applied consistently to all of Southwest’s and Centuri’s leases. These include: not reassessing whether any expired or existing contracts are or contain leases; not reassessing the lease classification for expired or existing leases (that is, existing operating and capital leases in accordance with current lease guidance will in each case be classified as operating and finance leases, respectively, under the updated guidance); and not reassessing initial direct costs for any existing leases.</w:t>
      </w:r>
    </w:p>
    <w:p>
      <w:pPr>
        <w:spacing w:after="0" w:line="1"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utilize the practical expedient to exclude all easements in place prior to January 1, 2019 from treatment under Topic 842. However, Southwest will evaluate new easements entered into after the effective date of the standard to determine if the arrangements should be accounted for as leases.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make an accounting policy election by asset class to include both the lease and non-lease components (as defined in the guidance) as a single component.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make an accounting policy election to not apply Topic 842 to short-term leases, as permitted.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not elect to use hindsight in determining the lease term and in assessing impairment of ROU assets.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utilize a portfolio approach to effectively account for the operating lease ROU assets and liabilities with regard to certain equipment leases at Centuri.</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and Centuri determine if an arrangement is a lease at inception. ROU assets represent the right to use an underlying asset for the lease term; lease liabilities represent obligations to make lease payments arising from the lease. Operating lease ROU assets and liabilities are recognized at the commencement date based on the present value of lease payments over the lease term. As most of Southwest’s and Centuri’s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Southwest’s leases are comprised primarily of operating leases of buildings, land, and equipment. Southwest has no finance leases and no significant short-term leases. Southwest’s leases have a remaining term of 1 to 10 years, some of which include options to extend the lease up to 3 years. Southwest is currently not a lessor in any significant lease arrangements. Southwest’s ROU assets are included in Gas plant, and its lease liabilities are included in, depending upon maturity, Other current liabilities or Other deferred credits and other long-term liabilities on the Company’s and Southwest’s Condensed Consolidated Balance Sheet as of June 30, 2019.</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Centuri has operating and finance leases for corporate and field offices, construction equipment, and transportation vehicles. Centuri is currently not a lessor in any significant lease arrangements. Centuri’s leases have remaining lease terms of 1 to 14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Due to the seasonality of Centuri’s business, expense for short-term leases will fluctuate throughout the year with higher expense incurred during the warmer months. Short-term leases of Centuri are not accounted for under the provisions of Topic 842, as permitted. Centuri’s ROU assets are included in Other property and investments, and its lease liabilities for operating and finance leases are included, depending upon maturity, in Other current liabilities or Other deferred credits and other long-term liabilities on the Company’s Condensed Consolidated Balance Sheet as of June 30, 2019.</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939"/>
        </w:trPr>
        <w:tc>
          <w:tcPr>
            <w:tcW w:w="6860" w:type="dxa"/>
            <w:vAlign w:val="bottom"/>
            <w:gridSpan w:val="4"/>
          </w:tcPr>
          <w:p>
            <w:pPr>
              <w:spacing w:after="0"/>
              <w:rPr>
                <w:sz w:val="20"/>
                <w:szCs w:val="20"/>
                <w:color w:val="auto"/>
              </w:rPr>
            </w:pPr>
            <w:r>
              <w:rPr>
                <w:rFonts w:ascii="Arial" w:cs="Arial" w:eastAsia="Arial" w:hAnsi="Arial"/>
                <w:sz w:val="18"/>
                <w:szCs w:val="18"/>
                <w:color w:val="auto"/>
              </w:rPr>
              <w:t>The components of lease expense were as follows:</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86"/>
        </w:trPr>
        <w:tc>
          <w:tcPr>
            <w:tcW w:w="60" w:type="dxa"/>
            <w:vAlign w:val="bottom"/>
          </w:tcPr>
          <w:p>
            <w:pPr>
              <w:spacing w:after="0"/>
              <w:rPr>
                <w:sz w:val="24"/>
                <w:szCs w:val="24"/>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24"/>
                <w:szCs w:val="24"/>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w w:val="96"/>
              </w:rPr>
              <w:t>Three Months Ended</w:t>
            </w:r>
          </w:p>
        </w:tc>
        <w:tc>
          <w:tcPr>
            <w:tcW w:w="320" w:type="dxa"/>
            <w:vAlign w:val="bottom"/>
          </w:tcPr>
          <w:p>
            <w:pPr>
              <w:spacing w:after="0"/>
              <w:rPr>
                <w:sz w:val="24"/>
                <w:szCs w:val="24"/>
                <w:color w:val="auto"/>
              </w:rPr>
            </w:pP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70"/>
        </w:trPr>
        <w:tc>
          <w:tcPr>
            <w:tcW w:w="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jc w:val="right"/>
              <w:ind w:right="510"/>
              <w:spacing w:after="0"/>
              <w:rPr>
                <w:sz w:val="20"/>
                <w:szCs w:val="20"/>
                <w:color w:val="auto"/>
              </w:rPr>
            </w:pPr>
            <w:r>
              <w:rPr>
                <w:rFonts w:ascii="Arial" w:cs="Arial" w:eastAsia="Arial" w:hAnsi="Arial"/>
                <w:sz w:val="18"/>
                <w:szCs w:val="18"/>
                <w:color w:val="auto"/>
              </w:rPr>
              <w:t>June 30, 2019</w:t>
            </w:r>
          </w:p>
        </w:tc>
        <w:tc>
          <w:tcPr>
            <w:tcW w:w="320" w:type="dxa"/>
            <w:vAlign w:val="bottom"/>
          </w:tcPr>
          <w:p>
            <w:pPr>
              <w:spacing w:after="0"/>
              <w:rPr>
                <w:sz w:val="23"/>
                <w:szCs w:val="23"/>
                <w:color w:val="auto"/>
              </w:rPr>
            </w:pPr>
          </w:p>
        </w:tc>
        <w:tc>
          <w:tcPr>
            <w:tcW w:w="2000" w:type="dxa"/>
            <w:vAlign w:val="bottom"/>
          </w:tcPr>
          <w:p>
            <w:pPr>
              <w:jc w:val="right"/>
              <w:ind w:right="550"/>
              <w:spacing w:after="0"/>
              <w:rPr>
                <w:sz w:val="20"/>
                <w:szCs w:val="20"/>
                <w:color w:val="auto"/>
              </w:rPr>
            </w:pPr>
            <w:r>
              <w:rPr>
                <w:rFonts w:ascii="Arial" w:cs="Arial" w:eastAsia="Arial" w:hAnsi="Arial"/>
                <w:sz w:val="18"/>
                <w:szCs w:val="18"/>
                <w:color w:val="auto"/>
              </w:rPr>
              <w:t>June 30, 2019</w:t>
            </w:r>
          </w:p>
        </w:tc>
      </w:tr>
      <w:tr>
        <w:trPr>
          <w:trHeight w:val="27"/>
        </w:trPr>
        <w:tc>
          <w:tcPr>
            <w:tcW w:w="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0" w:type="dxa"/>
            <w:vAlign w:val="bottom"/>
            <w:tcBorders>
              <w:right w:val="single" w:sz="8" w:color="CCEEFF"/>
            </w:tcBorders>
          </w:tcPr>
          <w:p>
            <w:pPr>
              <w:spacing w:after="0"/>
              <w:rPr>
                <w:sz w:val="21"/>
                <w:szCs w:val="21"/>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Southwest:</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800" w:type="dxa"/>
            <w:vAlign w:val="bottom"/>
            <w:gridSpan w:val="3"/>
          </w:tcPr>
          <w:p>
            <w:pPr>
              <w:ind w:left="80"/>
              <w:spacing w:after="0"/>
              <w:rPr>
                <w:sz w:val="20"/>
                <w:szCs w:val="20"/>
                <w:color w:val="auto"/>
              </w:rPr>
            </w:pPr>
            <w:r>
              <w:rPr>
                <w:rFonts w:ascii="Arial" w:cs="Arial" w:eastAsia="Arial" w:hAnsi="Arial"/>
                <w:sz w:val="18"/>
                <w:szCs w:val="18"/>
                <w:color w:val="auto"/>
              </w:rPr>
              <w:t>Operating lease cost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409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815</w:t>
            </w:r>
          </w:p>
        </w:tc>
      </w:tr>
      <w:tr>
        <w:trPr>
          <w:trHeight w:val="27"/>
        </w:trPr>
        <w:tc>
          <w:tcPr>
            <w:tcW w:w="6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91"/>
        </w:trPr>
        <w:tc>
          <w:tcPr>
            <w:tcW w:w="60" w:type="dxa"/>
            <w:vAlign w:val="bottom"/>
            <w:tcBorders>
              <w:right w:val="single" w:sz="8" w:color="CCEEFF"/>
            </w:tcBorders>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Centuri:</w:t>
            </w: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8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6,043</w:t>
            </w:r>
          </w:p>
        </w:tc>
      </w:tr>
      <w:tr>
        <w:trPr>
          <w:trHeight w:val="29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cost:</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800" w:type="dxa"/>
            <w:vAlign w:val="bottom"/>
            <w:gridSpan w:val="3"/>
          </w:tcPr>
          <w:p>
            <w:pPr>
              <w:ind w:left="340"/>
              <w:spacing w:after="0"/>
              <w:rPr>
                <w:sz w:val="20"/>
                <w:szCs w:val="20"/>
                <w:color w:val="auto"/>
              </w:rPr>
            </w:pPr>
            <w:r>
              <w:rPr>
                <w:rFonts w:ascii="Arial" w:cs="Arial" w:eastAsia="Arial" w:hAnsi="Arial"/>
                <w:sz w:val="18"/>
                <w:szCs w:val="18"/>
                <w:color w:val="auto"/>
              </w:rPr>
              <w:t>Amortization of ROU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8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Interest on lease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37"/>
        </w:trPr>
        <w:tc>
          <w:tcPr>
            <w:tcW w:w="60" w:type="dxa"/>
            <w:vAlign w:val="bottom"/>
          </w:tcPr>
          <w:p>
            <w:pPr>
              <w:spacing w:after="0"/>
              <w:rPr>
                <w:sz w:val="20"/>
                <w:szCs w:val="20"/>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6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68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3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5,932</w:t>
            </w:r>
          </w:p>
        </w:tc>
      </w:tr>
      <w:tr>
        <w:trPr>
          <w:trHeight w:val="257"/>
        </w:trPr>
        <w:tc>
          <w:tcPr>
            <w:tcW w:w="60" w:type="dxa"/>
            <w:vAlign w:val="bottom"/>
          </w:tcPr>
          <w:p>
            <w:pPr>
              <w:spacing w:after="0"/>
              <w:rPr>
                <w:sz w:val="22"/>
                <w:szCs w:val="22"/>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Total lease cost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12,873</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six months ended June 30, 2019 was as follows: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580" w:type="dxa"/>
            <w:vAlign w:val="bottom"/>
          </w:tcPr>
          <w:p>
            <w:pPr>
              <w:spacing w:after="0"/>
              <w:rPr>
                <w:sz w:val="20"/>
                <w:szCs w:val="20"/>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Southwest</w:t>
            </w:r>
          </w:p>
        </w:tc>
        <w:tc>
          <w:tcPr>
            <w:tcW w:w="4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Centuri</w:t>
            </w:r>
          </w:p>
        </w:tc>
        <w:tc>
          <w:tcPr>
            <w:tcW w:w="280" w:type="dxa"/>
            <w:vAlign w:val="bottom"/>
          </w:tcPr>
          <w:p>
            <w:pPr>
              <w:spacing w:after="0"/>
              <w:rPr>
                <w:sz w:val="20"/>
                <w:szCs w:val="20"/>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w w:val="93"/>
              </w:rPr>
              <w:t>Consolidated Total</w:t>
            </w:r>
          </w:p>
        </w:tc>
      </w:tr>
      <w:tr>
        <w:trPr>
          <w:trHeight w:val="27"/>
        </w:trPr>
        <w:tc>
          <w:tcPr>
            <w:tcW w:w="5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5,964</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5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97"/>
        </w:trPr>
        <w:tc>
          <w:tcPr>
            <w:tcW w:w="5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901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8,968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9,869</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7"/>
        </w:trPr>
        <w:tc>
          <w:tcPr>
            <w:tcW w:w="54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6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939"/>
        </w:trPr>
        <w:tc>
          <w:tcPr>
            <w:tcW w:w="9180" w:type="dxa"/>
            <w:vAlign w:val="bottom"/>
            <w:gridSpan w:val="4"/>
          </w:tcPr>
          <w:p>
            <w:pPr>
              <w:spacing w:after="0"/>
              <w:rPr>
                <w:sz w:val="20"/>
                <w:szCs w:val="20"/>
                <w:color w:val="auto"/>
              </w:rPr>
            </w:pPr>
            <w:r>
              <w:rPr>
                <w:rFonts w:ascii="Arial" w:cs="Arial" w:eastAsia="Arial" w:hAnsi="Arial"/>
                <w:sz w:val="18"/>
                <w:szCs w:val="18"/>
                <w:color w:val="auto"/>
                <w:w w:val="92"/>
              </w:rPr>
              <w:t>Supplemental information related to leases, including location in the Condensed Consolidated Balance Sheets, is as follows:</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60" w:type="dxa"/>
            <w:vAlign w:val="bottom"/>
          </w:tcPr>
          <w:p>
            <w:pPr>
              <w:spacing w:after="0"/>
              <w:rPr>
                <w:sz w:val="24"/>
                <w:szCs w:val="24"/>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June 30, 2019</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Net Utility Plant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2,072</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897</w:t>
            </w: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36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1,200</w:t>
            </w: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2,097</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3.81</w:t>
            </w: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97"/>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Centuri:</w:t>
            </w:r>
          </w:p>
        </w:tc>
        <w:tc>
          <w:tcPr>
            <w:tcW w:w="3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304"/>
        </w:trPr>
        <w:tc>
          <w:tcPr>
            <w:tcW w:w="60" w:type="dxa"/>
            <w:vAlign w:val="bottom"/>
            <w:tcBorders>
              <w:bottom w:val="single" w:sz="8" w:color="CCEEFF"/>
            </w:tcBorders>
          </w:tcPr>
          <w:p>
            <w:pPr>
              <w:spacing w:after="0"/>
              <w:rPr>
                <w:sz w:val="24"/>
                <w:szCs w:val="24"/>
                <w:color w:val="auto"/>
              </w:rPr>
            </w:pPr>
          </w:p>
        </w:tc>
        <w:tc>
          <w:tcPr>
            <w:tcW w:w="9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property and investments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60,301</w:t>
            </w:r>
          </w:p>
        </w:tc>
      </w:tr>
      <w:tr>
        <w:trPr>
          <w:trHeight w:val="284"/>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7,965</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55,185</w:t>
            </w:r>
          </w:p>
        </w:tc>
      </w:tr>
      <w:tr>
        <w:trPr>
          <w:trHeight w:val="297"/>
        </w:trPr>
        <w:tc>
          <w:tcPr>
            <w:tcW w:w="91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63,150</w:t>
            </w:r>
          </w:p>
        </w:tc>
      </w:tr>
      <w:tr>
        <w:trPr>
          <w:trHeight w:val="284"/>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and investments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854</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314</w:t>
            </w: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36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394</w:t>
            </w: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finance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708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9.07</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w:t>
            </w:r>
          </w:p>
        </w:tc>
      </w:tr>
      <w:tr>
        <w:trPr>
          <w:trHeight w:val="29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945"/>
        </w:trPr>
        <w:tc>
          <w:tcPr>
            <w:tcW w:w="9180" w:type="dxa"/>
            <w:vAlign w:val="bottom"/>
            <w:gridSpan w:val="4"/>
          </w:tcPr>
          <w:p>
            <w:pPr>
              <w:ind w:left="570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939"/>
        </w:trPr>
        <w:tc>
          <w:tcPr>
            <w:tcW w:w="6980" w:type="dxa"/>
            <w:vAlign w:val="bottom"/>
            <w:gridSpan w:val="4"/>
          </w:tcPr>
          <w:p>
            <w:pPr>
              <w:spacing w:after="0"/>
              <w:rPr>
                <w:sz w:val="20"/>
                <w:szCs w:val="20"/>
                <w:color w:val="auto"/>
              </w:rPr>
            </w:pPr>
            <w:r>
              <w:rPr>
                <w:rFonts w:ascii="Arial" w:cs="Arial" w:eastAsia="Arial" w:hAnsi="Arial"/>
                <w:sz w:val="18"/>
                <w:szCs w:val="18"/>
                <w:color w:val="auto"/>
              </w:rPr>
              <w:t>The following are schedules of maturities of lease liabilities as of June 30, 2019:</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86"/>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color w:val="auto"/>
                <w:w w:val="99"/>
              </w:rPr>
              <w:t>Operating leases</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7"/>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Total lease payments</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2,232</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57"/>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2,097</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08"/>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4"/>
                <w:szCs w:val="24"/>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Finance leases</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Centuri:</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8,736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 w:type="dxa"/>
            <w:vAlign w:val="bottom"/>
          </w:tcPr>
          <w:p>
            <w:pPr>
              <w:spacing w:after="0"/>
              <w:rPr>
                <w:sz w:val="20"/>
                <w:szCs w:val="20"/>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76,780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781</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57"/>
        </w:trPr>
        <w:tc>
          <w:tcPr>
            <w:tcW w:w="60" w:type="dxa"/>
            <w:vAlign w:val="bottom"/>
          </w:tcPr>
          <w:p>
            <w:pPr>
              <w:spacing w:after="0"/>
              <w:rPr>
                <w:sz w:val="22"/>
                <w:szCs w:val="22"/>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63,150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the Company and Southwest adopted Topic 842 using the optional transition method referred to in </w:t>
      </w:r>
      <w:r>
        <w:rPr>
          <w:rFonts w:ascii="Arial" w:cs="Arial" w:eastAsia="Arial" w:hAnsi="Arial"/>
          <w:sz w:val="18"/>
          <w:szCs w:val="18"/>
          <w:b w:val="1"/>
          <w:bCs w:val="1"/>
          <w:color w:val="auto"/>
        </w:rPr>
        <w:t>Note 1 – Background, Organization, and Summary</w:t>
      </w:r>
      <w:r>
        <w:rPr>
          <w:rFonts w:ascii="Arial" w:cs="Arial" w:eastAsia="Arial" w:hAnsi="Arial"/>
          <w:sz w:val="18"/>
          <w:szCs w:val="18"/>
          <w:color w:val="auto"/>
        </w:rPr>
        <w:t xml:space="preserve"> </w:t>
      </w:r>
      <w:r>
        <w:rPr>
          <w:rFonts w:ascii="Arial" w:cs="Arial" w:eastAsia="Arial" w:hAnsi="Arial"/>
          <w:sz w:val="18"/>
          <w:szCs w:val="18"/>
          <w:b w:val="1"/>
          <w:bCs w:val="1"/>
          <w:color w:val="auto"/>
        </w:rPr>
        <w:t>of Significant Accounting Policies</w:t>
      </w:r>
      <w:r>
        <w:rPr>
          <w:rFonts w:ascii="Arial" w:cs="Arial" w:eastAsia="Arial" w:hAnsi="Arial"/>
          <w:sz w:val="18"/>
          <w:szCs w:val="18"/>
          <w:color w:val="auto"/>
        </w:rPr>
        <w:t>, the recent annual disclosure of rental and lease payments as of December 31, 2018 in accordance with Topic 840 is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 the table below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Centuri</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59,491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62,310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rental payments/lease expense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64,047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schedule of future minimum lease payments for operating leases (with initial or remaining terms in excess of one year) as of December 31, 2018 (thousands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Southwest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Centuri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w w:val="95"/>
              </w:rPr>
              <w:t>Consolidated Total</w:t>
            </w:r>
          </w:p>
        </w:tc>
      </w:tr>
      <w:tr>
        <w:trPr>
          <w:trHeight w:val="27"/>
        </w:trPr>
        <w:tc>
          <w:tcPr>
            <w:tcW w:w="5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r>
      <w:tr>
        <w:trPr>
          <w:trHeight w:val="243"/>
        </w:trPr>
        <w:tc>
          <w:tcPr>
            <w:tcW w:w="538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1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8,019</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2021</w:t>
            </w: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w:t>
            </w:r>
          </w:p>
        </w:tc>
      </w:tr>
      <w:tr>
        <w:trPr>
          <w:trHeight w:val="243"/>
        </w:trPr>
        <w:tc>
          <w:tcPr>
            <w:tcW w:w="5380" w:type="dxa"/>
            <w:vAlign w:val="bottom"/>
          </w:tcPr>
          <w:p>
            <w:pPr>
              <w:jc w:val="right"/>
              <w:ind w:right="50"/>
              <w:spacing w:after="0"/>
              <w:rPr>
                <w:sz w:val="20"/>
                <w:szCs w:val="20"/>
                <w:color w:val="auto"/>
              </w:rPr>
            </w:pPr>
            <w:r>
              <w:rPr>
                <w:rFonts w:ascii="Arial" w:cs="Arial" w:eastAsia="Arial" w:hAnsi="Arial"/>
                <w:sz w:val="18"/>
                <w:szCs w:val="18"/>
                <w:color w:val="auto"/>
              </w:rPr>
              <w:t>2022</w:t>
            </w:r>
          </w:p>
        </w:tc>
        <w:tc>
          <w:tcPr>
            <w:tcW w:w="1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5,326</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2023</w:t>
            </w: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w:t>
            </w:r>
          </w:p>
        </w:tc>
      </w:tr>
      <w:tr>
        <w:trPr>
          <w:trHeight w:val="243"/>
        </w:trPr>
        <w:tc>
          <w:tcPr>
            <w:tcW w:w="5380" w:type="dxa"/>
            <w:vAlign w:val="bottom"/>
          </w:tcPr>
          <w:p>
            <w:pPr>
              <w:jc w:val="right"/>
              <w:ind w:right="4510"/>
              <w:spacing w:after="0"/>
              <w:rPr>
                <w:sz w:val="20"/>
                <w:szCs w:val="20"/>
                <w:color w:val="auto"/>
              </w:rPr>
            </w:pPr>
            <w:r>
              <w:rPr>
                <w:rFonts w:ascii="Arial" w:cs="Arial" w:eastAsia="Arial" w:hAnsi="Arial"/>
                <w:sz w:val="18"/>
                <w:szCs w:val="18"/>
                <w:color w:val="auto"/>
                <w:w w:val="91"/>
              </w:rPr>
              <w:t>Thereafter</w:t>
            </w:r>
          </w:p>
        </w:tc>
        <w:tc>
          <w:tcPr>
            <w:tcW w:w="1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10,511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10,688</w:t>
            </w:r>
          </w:p>
        </w:tc>
      </w:tr>
      <w:tr>
        <w:trPr>
          <w:trHeight w:val="27"/>
        </w:trPr>
        <w:tc>
          <w:tcPr>
            <w:tcW w:w="53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jc w:val="right"/>
              <w:ind w:right="2850"/>
              <w:spacing w:after="0"/>
              <w:rPr>
                <w:sz w:val="20"/>
                <w:szCs w:val="20"/>
                <w:color w:val="auto"/>
              </w:rPr>
            </w:pPr>
            <w:r>
              <w:rPr>
                <w:rFonts w:ascii="Arial" w:cs="Arial" w:eastAsia="Arial" w:hAnsi="Arial"/>
                <w:sz w:val="18"/>
                <w:szCs w:val="18"/>
                <w:color w:val="auto"/>
                <w:w w:val="97"/>
              </w:rPr>
              <w:t>Total minimum lease payments</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42,824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Centuri leased certain construction equipment under capital leases arrangements which were not significant.</w:t>
      </w:r>
    </w:p>
    <w:p>
      <w:pPr>
        <w:sectPr>
          <w:pgSz w:w="11900" w:h="16838" w:orient="portrait"/>
          <w:cols w:equalWidth="0" w:num="1">
            <w:col w:w="11420"/>
          </w:cols>
          <w:pgMar w:left="240" w:top="270" w:right="239" w:bottom="1136"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70" w:right="239" w:bottom="1136" w:gutter="0" w:footer="0" w:header="0"/>
          <w:type w:val="continuous"/>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managing its natural gas supply portfolios, Southwest has historically entered into fixed- and variable-price contracts, which qualify as 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prices are the prevailing prices at the future transaction dates, the contracts have no determinable fair value. The Swap contract prices are determined at the beginning of each month to reflect that month’s published first of month index price and are recorded at fair value. Southwest does not utilize derivative financial instruments for speculative purposes, nor does it have trading operations.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with the longest maturity date of the Swaps being October 2020.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280" w:type="dxa"/>
            <w:vAlign w:val="bottom"/>
            <w:gridSpan w:val="2"/>
          </w:tcPr>
          <w:p>
            <w:pPr>
              <w:ind w:left="580"/>
              <w:spacing w:after="0"/>
              <w:rPr>
                <w:sz w:val="20"/>
                <w:szCs w:val="20"/>
                <w:color w:val="auto"/>
              </w:rPr>
            </w:pPr>
            <w:r>
              <w:rPr>
                <w:rFonts w:ascii="Arial" w:cs="Arial" w:eastAsia="Arial" w:hAnsi="Arial"/>
                <w:sz w:val="18"/>
                <w:szCs w:val="18"/>
                <w:color w:val="auto"/>
              </w:rPr>
              <w:t>June 30, 2019</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December 31, 2018</w:t>
            </w: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notional amounts</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17,309</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13,387</w:t>
            </w: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Southwest paid to and received from counterparties for settlements of matured Swaps: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0"/>
                <w:szCs w:val="20"/>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Six Months Ended</w:t>
            </w:r>
          </w:p>
        </w:tc>
        <w:tc>
          <w:tcPr>
            <w:tcW w:w="20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w w:val="94"/>
              </w:rPr>
              <w:t>Twelve Months Ended</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3"/>
                <w:szCs w:val="23"/>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June 30, 2019</w:t>
            </w:r>
          </w:p>
        </w:tc>
        <w:tc>
          <w:tcPr>
            <w:tcW w:w="260" w:type="dxa"/>
            <w:vAlign w:val="bottom"/>
          </w:tcPr>
          <w:p>
            <w:pPr>
              <w:spacing w:after="0"/>
              <w:rPr>
                <w:sz w:val="23"/>
                <w:szCs w:val="23"/>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June 30, 2019</w:t>
            </w:r>
          </w:p>
        </w:tc>
        <w:tc>
          <w:tcPr>
            <w:tcW w:w="200" w:type="dxa"/>
            <w:vAlign w:val="bottom"/>
          </w:tcPr>
          <w:p>
            <w:pPr>
              <w:spacing w:after="0"/>
              <w:rPr>
                <w:sz w:val="23"/>
                <w:szCs w:val="23"/>
                <w:color w:val="auto"/>
              </w:rPr>
            </w:pP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June 30, 2019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 to counterparties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8,997</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Received from counterparties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1,647</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 gas adjustment (“PGA”) mechanism in determining the deferred PGA balances. Neither changes in fair value nor settled amounts of Swaps have a direct effect on earnings or other comprehensive income, since following settlement, amounts are reflected in Net cost of gas sold at the same time they are included in Gas operating revenues through updates to the PGA component of rates.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Southwest entered into forward-starting interest rate swaps (“FSIRS”), the settled positions for which are immaterial and continue to be amortized from Accumulated other comprehensive income (loss) into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estimated fair value of Southwest’s Swaps were determined at June 30, 2019 and December 31, 2018 using futures settlement prices for the delivery of natural gas at Henry Hub adjusted by the price of future settlement bases, which reflect the difference between the price of natural gas at a given delivery basin and the Henry Hub pricing points. These Level 2 inputs are observable in the marketplace throughout the full term of the Swaps and have been credit-risk adjusted with no significant impact to the overall fair value measurement. The following table sets forth the fair value of the Swaps and their location in the Condensed Consolidated Balance Sheets for both the Company and Southwest (thousands of dollars). It also sets forth the location of regulatory assets or liabilities offsetting, dollar-for-dollar, the fair value of the Swaps (pursuant to Southwest’s rate-regulation):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derivatives not designated as hedging instruments: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ind w:left="40"/>
              <w:spacing w:after="0"/>
              <w:rPr>
                <w:sz w:val="20"/>
                <w:szCs w:val="20"/>
                <w:color w:val="auto"/>
              </w:rPr>
            </w:pPr>
            <w:r>
              <w:rPr>
                <w:rFonts w:ascii="Arial" w:cs="Arial" w:eastAsia="Arial" w:hAnsi="Arial"/>
                <w:sz w:val="16"/>
                <w:szCs w:val="16"/>
                <w:color w:val="auto"/>
              </w:rPr>
              <w:t>June 30, 2019</w:t>
            </w: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3360" w:type="dxa"/>
            <w:vAlign w:val="bottom"/>
          </w:tcPr>
          <w:p>
            <w:pPr>
              <w:ind w:left="2060"/>
              <w:spacing w:after="0"/>
              <w:rPr>
                <w:sz w:val="20"/>
                <w:szCs w:val="20"/>
                <w:color w:val="auto"/>
              </w:rPr>
            </w:pPr>
            <w:r>
              <w:rPr>
                <w:rFonts w:ascii="Arial" w:cs="Arial" w:eastAsia="Arial" w:hAnsi="Arial"/>
                <w:sz w:val="16"/>
                <w:szCs w:val="16"/>
                <w:color w:val="auto"/>
              </w:rPr>
              <w:t>Swap Position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7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Asset</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2"/>
              </w:rPr>
              <w:t>Offsetting Balance Sheet Location</w:t>
            </w:r>
          </w:p>
        </w:tc>
        <w:tc>
          <w:tcPr>
            <w:tcW w:w="0" w:type="dxa"/>
            <w:vAlign w:val="bottom"/>
          </w:tcPr>
          <w:p>
            <w:pPr>
              <w:spacing w:after="0"/>
              <w:rPr>
                <w:sz w:val="1"/>
                <w:szCs w:val="1"/>
                <w:color w:val="auto"/>
              </w:rPr>
            </w:pPr>
          </w:p>
        </w:tc>
      </w:tr>
      <w:tr>
        <w:trPr>
          <w:trHeight w:val="206"/>
        </w:trPr>
        <w:tc>
          <w:tcPr>
            <w:tcW w:w="1700" w:type="dxa"/>
            <w:vAlign w:val="bottom"/>
          </w:tcPr>
          <w:p>
            <w:pPr>
              <w:ind w:left="40"/>
              <w:spacing w:after="0"/>
              <w:rPr>
                <w:sz w:val="20"/>
                <w:szCs w:val="20"/>
                <w:color w:val="auto"/>
              </w:rPr>
            </w:pPr>
            <w:r>
              <w:rPr>
                <w:rFonts w:ascii="Arial" w:cs="Arial" w:eastAsia="Arial" w:hAnsi="Arial"/>
                <w:sz w:val="16"/>
                <w:szCs w:val="16"/>
                <w:color w:val="auto"/>
              </w:rPr>
              <w:t>Instrument</w:t>
            </w:r>
          </w:p>
        </w:tc>
        <w:tc>
          <w:tcPr>
            <w:tcW w:w="3360" w:type="dxa"/>
            <w:vAlign w:val="bottom"/>
          </w:tcPr>
          <w:p>
            <w:pPr>
              <w:ind w:left="1040"/>
              <w:spacing w:after="0"/>
              <w:rPr>
                <w:sz w:val="20"/>
                <w:szCs w:val="20"/>
                <w:color w:val="auto"/>
              </w:rPr>
            </w:pPr>
            <w:r>
              <w:rPr>
                <w:rFonts w:ascii="Arial" w:cs="Arial" w:eastAsia="Arial" w:hAnsi="Arial"/>
                <w:sz w:val="16"/>
                <w:szCs w:val="16"/>
                <w:color w:val="auto"/>
              </w:rPr>
              <w:t>Balance Sheet Location</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Derivatives</w:t>
            </w: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92"/>
              </w:rPr>
              <w:t>Net Total</w:t>
            </w:r>
          </w:p>
        </w:tc>
        <w:tc>
          <w:tcPr>
            <w:tcW w:w="2960" w:type="dxa"/>
            <w:vAlign w:val="bottom"/>
          </w:tcPr>
          <w:p>
            <w:pPr>
              <w:jc w:val="center"/>
              <w:spacing w:after="0"/>
              <w:rPr>
                <w:sz w:val="20"/>
                <w:szCs w:val="20"/>
                <w:color w:val="auto"/>
              </w:rPr>
            </w:pPr>
            <w:r>
              <w:rPr>
                <w:rFonts w:ascii="Arial" w:cs="Arial" w:eastAsia="Arial" w:hAnsi="Arial"/>
                <w:sz w:val="16"/>
                <w:szCs w:val="16"/>
                <w:color w:val="auto"/>
                <w:w w:val="96"/>
              </w:rPr>
              <w:t>(Regulatory Asset/(Liability))</w:t>
            </w:r>
          </w:p>
        </w:tc>
        <w:tc>
          <w:tcPr>
            <w:tcW w:w="0" w:type="dxa"/>
            <w:vAlign w:val="bottom"/>
          </w:tcPr>
          <w:p>
            <w:pPr>
              <w:spacing w:after="0"/>
              <w:rPr>
                <w:sz w:val="1"/>
                <w:szCs w:val="1"/>
                <w:color w:val="auto"/>
              </w:rPr>
            </w:pPr>
          </w:p>
        </w:tc>
      </w:tr>
      <w:tr>
        <w:trPr>
          <w:trHeight w:val="33"/>
        </w:trPr>
        <w:tc>
          <w:tcPr>
            <w:tcW w:w="17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Deferred charges and 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deferred credits</w:t>
            </w:r>
          </w:p>
        </w:tc>
        <w:tc>
          <w:tcPr>
            <w:tcW w:w="0" w:type="dxa"/>
            <w:vAlign w:val="bottom"/>
          </w:tcPr>
          <w:p>
            <w:pPr>
              <w:spacing w:after="0"/>
              <w:rPr>
                <w:sz w:val="1"/>
                <w:szCs w:val="1"/>
                <w:color w:val="auto"/>
              </w:rPr>
            </w:pPr>
          </w:p>
        </w:tc>
      </w:tr>
      <w:tr>
        <w:trPr>
          <w:trHeight w:val="237"/>
        </w:trPr>
        <w:tc>
          <w:tcPr>
            <w:tcW w:w="1700" w:type="dxa"/>
            <w:vAlign w:val="bottom"/>
          </w:tcPr>
          <w:p>
            <w:pPr>
              <w:ind w:left="40"/>
              <w:spacing w:after="0"/>
              <w:rPr>
                <w:sz w:val="20"/>
                <w:szCs w:val="20"/>
                <w:color w:val="auto"/>
              </w:rPr>
            </w:pPr>
            <w:r>
              <w:rPr>
                <w:rFonts w:ascii="Arial" w:cs="Arial" w:eastAsia="Arial" w:hAnsi="Arial"/>
                <w:sz w:val="16"/>
                <w:szCs w:val="16"/>
                <w:color w:val="auto"/>
              </w:rPr>
              <w:t>Swaps</w:t>
            </w:r>
          </w:p>
        </w:tc>
        <w:tc>
          <w:tcPr>
            <w:tcW w:w="3360" w:type="dxa"/>
            <w:vAlign w:val="bottom"/>
          </w:tcPr>
          <w:p>
            <w:pPr>
              <w:ind w:left="40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(5,640)</w:t>
            </w:r>
          </w:p>
        </w:tc>
        <w:tc>
          <w:tcPr>
            <w:tcW w:w="2960" w:type="dxa"/>
            <w:vAlign w:val="bottom"/>
          </w:tcPr>
          <w:p>
            <w:pPr>
              <w:ind w:left="20"/>
              <w:spacing w:after="0"/>
              <w:rPr>
                <w:sz w:val="20"/>
                <w:szCs w:val="20"/>
                <w:color w:val="auto"/>
              </w:rPr>
            </w:pPr>
            <w:r>
              <w:rPr>
                <w:rFonts w:ascii="Arial" w:cs="Arial" w:eastAsia="Arial" w:hAnsi="Arial"/>
                <w:sz w:val="16"/>
                <w:szCs w:val="16"/>
                <w:color w:val="auto"/>
              </w:rPr>
              <w:t>Prepaid and other current assets</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Other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w:t>
            </w:r>
          </w:p>
        </w:tc>
        <w:tc>
          <w:tcPr>
            <w:tcW w:w="0" w:type="dxa"/>
            <w:vAlign w:val="bottom"/>
          </w:tcPr>
          <w:p>
            <w:pPr>
              <w:spacing w:after="0"/>
              <w:rPr>
                <w:sz w:val="1"/>
                <w:szCs w:val="1"/>
                <w:color w:val="auto"/>
              </w:rPr>
            </w:pPr>
          </w:p>
        </w:tc>
      </w:tr>
      <w:tr>
        <w:trPr>
          <w:trHeight w:val="244"/>
        </w:trPr>
        <w:tc>
          <w:tcPr>
            <w:tcW w:w="1700" w:type="dxa"/>
            <w:vAlign w:val="bottom"/>
          </w:tcPr>
          <w:p>
            <w:pPr>
              <w:ind w:left="40"/>
              <w:spacing w:after="0"/>
              <w:rPr>
                <w:sz w:val="20"/>
                <w:szCs w:val="20"/>
                <w:color w:val="auto"/>
              </w:rPr>
            </w:pPr>
            <w:r>
              <w:rPr>
                <w:rFonts w:ascii="Arial" w:cs="Arial" w:eastAsia="Arial" w:hAnsi="Arial"/>
                <w:sz w:val="16"/>
                <w:szCs w:val="16"/>
                <w:color w:val="auto"/>
              </w:rPr>
              <w:t>Total</w:t>
            </w:r>
          </w:p>
        </w:tc>
        <w:tc>
          <w:tcPr>
            <w:tcW w:w="33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(7,629)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(6,923)</w:t>
            </w: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40"/>
              <w:spacing w:after="0"/>
              <w:rPr>
                <w:sz w:val="20"/>
                <w:szCs w:val="20"/>
                <w:color w:val="auto"/>
              </w:rPr>
            </w:pPr>
            <w:r>
              <w:rPr>
                <w:rFonts w:ascii="Arial" w:cs="Arial" w:eastAsia="Arial" w:hAnsi="Arial"/>
                <w:sz w:val="16"/>
                <w:szCs w:val="16"/>
                <w:color w:val="auto"/>
              </w:rPr>
              <w:t>December 31, 2018</w:t>
            </w: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70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3360" w:type="dxa"/>
            <w:vAlign w:val="bottom"/>
          </w:tcPr>
          <w:p>
            <w:pPr>
              <w:ind w:left="2060"/>
              <w:spacing w:after="0"/>
              <w:rPr>
                <w:sz w:val="20"/>
                <w:szCs w:val="20"/>
                <w:color w:val="auto"/>
              </w:rPr>
            </w:pPr>
            <w:r>
              <w:rPr>
                <w:rFonts w:ascii="Arial" w:cs="Arial" w:eastAsia="Arial" w:hAnsi="Arial"/>
                <w:sz w:val="16"/>
                <w:szCs w:val="16"/>
                <w:color w:val="auto"/>
              </w:rPr>
              <w:t>Swap Position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7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Asset</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2"/>
              </w:rPr>
              <w:t>Offsetting Balance Sheet Location</w:t>
            </w:r>
          </w:p>
        </w:tc>
        <w:tc>
          <w:tcPr>
            <w:tcW w:w="0" w:type="dxa"/>
            <w:vAlign w:val="bottom"/>
          </w:tcPr>
          <w:p>
            <w:pPr>
              <w:spacing w:after="0"/>
              <w:rPr>
                <w:sz w:val="1"/>
                <w:szCs w:val="1"/>
                <w:color w:val="auto"/>
              </w:rPr>
            </w:pPr>
          </w:p>
        </w:tc>
      </w:tr>
      <w:tr>
        <w:trPr>
          <w:trHeight w:val="206"/>
        </w:trPr>
        <w:tc>
          <w:tcPr>
            <w:tcW w:w="1700" w:type="dxa"/>
            <w:vAlign w:val="bottom"/>
          </w:tcPr>
          <w:p>
            <w:pPr>
              <w:ind w:left="40"/>
              <w:spacing w:after="0"/>
              <w:rPr>
                <w:sz w:val="20"/>
                <w:szCs w:val="20"/>
                <w:color w:val="auto"/>
              </w:rPr>
            </w:pPr>
            <w:r>
              <w:rPr>
                <w:rFonts w:ascii="Arial" w:cs="Arial" w:eastAsia="Arial" w:hAnsi="Arial"/>
                <w:sz w:val="16"/>
                <w:szCs w:val="16"/>
                <w:color w:val="auto"/>
              </w:rPr>
              <w:t>Instrument</w:t>
            </w:r>
          </w:p>
        </w:tc>
        <w:tc>
          <w:tcPr>
            <w:tcW w:w="3360" w:type="dxa"/>
            <w:vAlign w:val="bottom"/>
          </w:tcPr>
          <w:p>
            <w:pPr>
              <w:ind w:left="1040"/>
              <w:spacing w:after="0"/>
              <w:rPr>
                <w:sz w:val="20"/>
                <w:szCs w:val="20"/>
                <w:color w:val="auto"/>
              </w:rPr>
            </w:pPr>
            <w:r>
              <w:rPr>
                <w:rFonts w:ascii="Arial" w:cs="Arial" w:eastAsia="Arial" w:hAnsi="Arial"/>
                <w:sz w:val="16"/>
                <w:szCs w:val="16"/>
                <w:color w:val="auto"/>
              </w:rPr>
              <w:t>Balance Sheet Location</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Derivatives</w:t>
            </w: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92"/>
              </w:rPr>
              <w:t>Net Total</w:t>
            </w:r>
          </w:p>
        </w:tc>
        <w:tc>
          <w:tcPr>
            <w:tcW w:w="2960" w:type="dxa"/>
            <w:vAlign w:val="bottom"/>
          </w:tcPr>
          <w:p>
            <w:pPr>
              <w:jc w:val="center"/>
              <w:spacing w:after="0"/>
              <w:rPr>
                <w:sz w:val="20"/>
                <w:szCs w:val="20"/>
                <w:color w:val="auto"/>
              </w:rPr>
            </w:pPr>
            <w:r>
              <w:rPr>
                <w:rFonts w:ascii="Arial" w:cs="Arial" w:eastAsia="Arial" w:hAnsi="Arial"/>
                <w:sz w:val="16"/>
                <w:szCs w:val="16"/>
                <w:color w:val="auto"/>
                <w:w w:val="96"/>
              </w:rPr>
              <w:t>(Regulatory Asset/(Liability))</w:t>
            </w:r>
          </w:p>
        </w:tc>
        <w:tc>
          <w:tcPr>
            <w:tcW w:w="0" w:type="dxa"/>
            <w:vAlign w:val="bottom"/>
          </w:tcPr>
          <w:p>
            <w:pPr>
              <w:spacing w:after="0"/>
              <w:rPr>
                <w:sz w:val="1"/>
                <w:szCs w:val="1"/>
                <w:color w:val="auto"/>
              </w:rPr>
            </w:pPr>
          </w:p>
        </w:tc>
      </w:tr>
      <w:tr>
        <w:trPr>
          <w:trHeight w:val="33"/>
        </w:trPr>
        <w:tc>
          <w:tcPr>
            <w:tcW w:w="17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37"/>
        </w:trPr>
        <w:tc>
          <w:tcPr>
            <w:tcW w:w="1700" w:type="dxa"/>
            <w:vAlign w:val="bottom"/>
          </w:tcPr>
          <w:p>
            <w:pPr>
              <w:ind w:left="40"/>
              <w:spacing w:after="0"/>
              <w:rPr>
                <w:sz w:val="20"/>
                <w:szCs w:val="20"/>
                <w:color w:val="auto"/>
              </w:rPr>
            </w:pPr>
            <w:r>
              <w:rPr>
                <w:rFonts w:ascii="Arial" w:cs="Arial" w:eastAsia="Arial" w:hAnsi="Arial"/>
                <w:sz w:val="16"/>
                <w:szCs w:val="16"/>
                <w:color w:val="auto"/>
              </w:rPr>
              <w:t>Swaps</w:t>
            </w:r>
          </w:p>
        </w:tc>
        <w:tc>
          <w:tcPr>
            <w:tcW w:w="3360" w:type="dxa"/>
            <w:vAlign w:val="bottom"/>
          </w:tcPr>
          <w:p>
            <w:pPr>
              <w:ind w:left="40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(1,752)</w:t>
            </w:r>
          </w:p>
        </w:tc>
        <w:tc>
          <w:tcPr>
            <w:tcW w:w="2960" w:type="dxa"/>
            <w:vAlign w:val="bottom"/>
          </w:tcPr>
          <w:p>
            <w:pPr>
              <w:ind w:left="20"/>
              <w:spacing w:after="0"/>
              <w:rPr>
                <w:sz w:val="20"/>
                <w:szCs w:val="20"/>
                <w:color w:val="auto"/>
              </w:rPr>
            </w:pPr>
            <w:r>
              <w:rPr>
                <w:rFonts w:ascii="Arial" w:cs="Arial" w:eastAsia="Arial" w:hAnsi="Arial"/>
                <w:sz w:val="16"/>
                <w:szCs w:val="16"/>
                <w:color w:val="auto"/>
              </w:rPr>
              <w:t>Prepaid and other current assets</w:t>
            </w:r>
          </w:p>
        </w:tc>
        <w:tc>
          <w:tcPr>
            <w:tcW w:w="0" w:type="dxa"/>
            <w:vAlign w:val="bottom"/>
          </w:tcPr>
          <w:p>
            <w:pPr>
              <w:spacing w:after="0"/>
              <w:rPr>
                <w:sz w:val="1"/>
                <w:szCs w:val="1"/>
                <w:color w:val="auto"/>
              </w:rPr>
            </w:pPr>
          </w:p>
        </w:tc>
      </w:tr>
      <w:tr>
        <w:trPr>
          <w:trHeight w:val="33"/>
        </w:trPr>
        <w:tc>
          <w:tcPr>
            <w:tcW w:w="1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Other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w:t>
            </w:r>
          </w:p>
        </w:tc>
        <w:tc>
          <w:tcPr>
            <w:tcW w:w="0" w:type="dxa"/>
            <w:vAlign w:val="bottom"/>
          </w:tcPr>
          <w:p>
            <w:pPr>
              <w:spacing w:after="0"/>
              <w:rPr>
                <w:sz w:val="1"/>
                <w:szCs w:val="1"/>
                <w:color w:val="auto"/>
              </w:rPr>
            </w:pPr>
          </w:p>
        </w:tc>
      </w:tr>
      <w:tr>
        <w:trPr>
          <w:trHeight w:val="244"/>
        </w:trPr>
        <w:tc>
          <w:tcPr>
            <w:tcW w:w="1700" w:type="dxa"/>
            <w:vAlign w:val="bottom"/>
          </w:tcPr>
          <w:p>
            <w:pPr>
              <w:ind w:left="40"/>
              <w:spacing w:after="0"/>
              <w:rPr>
                <w:sz w:val="20"/>
                <w:szCs w:val="20"/>
                <w:color w:val="auto"/>
              </w:rPr>
            </w:pPr>
            <w:r>
              <w:rPr>
                <w:rFonts w:ascii="Arial" w:cs="Arial" w:eastAsia="Arial" w:hAnsi="Arial"/>
                <w:sz w:val="16"/>
                <w:szCs w:val="16"/>
                <w:color w:val="auto"/>
              </w:rPr>
              <w:t>Total</w:t>
            </w:r>
          </w:p>
        </w:tc>
        <w:tc>
          <w:tcPr>
            <w:tcW w:w="33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Only shares of the Company’s common stock are publicly traded on the New York Stock Exchange, under the ticker symbol “SWX.” Share-based compensation related to Southwest is based on stock awards of Southwest Gas Corporation to be issued in shares of Southwest Gas Holdings, Inc.</w:t>
      </w:r>
    </w:p>
    <w:p>
      <w:pPr>
        <w:spacing w:after="0" w:line="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8,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8, 2019, between the Company and BNY Mellon Capital Markets, LLC (the “Equity Shelf Program”). The following table provides the activity under the Equity Shelf Program for the quarter and life-to-date ended June 30,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proceeds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74,999,771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Less: agent commissions</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(749,998)</w:t>
            </w:r>
          </w:p>
        </w:tc>
      </w:tr>
      <w:tr>
        <w:trPr>
          <w:trHeight w:val="27"/>
        </w:trPr>
        <w:tc>
          <w:tcPr>
            <w:tcW w:w="9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74,249,773</w:t>
            </w:r>
          </w:p>
        </w:tc>
      </w:tr>
      <w:tr>
        <w:trPr>
          <w:trHeight w:val="20"/>
        </w:trPr>
        <w:tc>
          <w:tcPr>
            <w:tcW w:w="9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9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sold</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873,361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Weighted average price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85.87</w:t>
            </w:r>
          </w:p>
        </w:tc>
      </w:tr>
    </w:tbl>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June 30, 2019, the Company had up to $225,000,229 of common stock available for sale under the program.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Net proceeds during the six months ended June 30, 2019 were contributed to, and reflected in the records of, Southwest (as a capital contribution from Southwest Gas Holdings, Inc.).</w:t>
      </w:r>
    </w:p>
    <w:p>
      <w:pPr>
        <w:sectPr>
          <w:pgSz w:w="11900" w:h="16838" w:orient="portrait"/>
          <w:cols w:equalWidth="0" w:num="1">
            <w:col w:w="11420"/>
          </w:cols>
          <w:pgMar w:left="240" w:top="270" w:right="239" w:bottom="1440" w:gutter="0" w:footer="0" w:header="0"/>
        </w:sect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70" w:right="239" w:bottom="1440" w:gutter="0" w:footer="0" w:header="0"/>
          <w:type w:val="continuous"/>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quarter ended March 31, 2019, the Company sold approximately 278,000 shares of common stock under a previously effective equity shelf program. Those issuances reflected the remaining shares available under that previous program.</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six months ended June 30, 2019, the Company issued approximately 76,000 shares of common stock through the Restricted Stock/Unit Plan and Management Incentive Plan.</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during the six months ended June 30, 2019, the Company issued 67,000 shares of common stock through the Dividend Reinvestment and Stock Purchase Plan (“DRSPP”), raising approximately $5.5 million.</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 2019, at the Company’s annual meeting of shareholders, the Company’s shareholders approved an amendment to the Company’s Articles of Incorporation to increase the number of shares of common stock available for issuance from 60,000,000 to 120,000,000. However, the Company has not filed such amendment to its Articles of Incorporation as it intends to cause such increase in availability of shares of common stock to take effect in connection with the Delaware reincorporation.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Long-term debt is recognized in the Company’s and Southwest’s balance sheets generally at the carrying value of the obligations outstanding. However, details surrounding the fair value and individual carrying values of instruments are discussed below or provided in the table that follows.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believes its revolving credit facility (including commercial paper) and the variable-rate Industrial Development Revenue Bonds (“IDRBs”) approximate their carrying values. The revolving credit facility and IDRBs are categorized as Level 1 due to Southwest’s ability to access similar debt arrangements at measurement dates with comparable terms, including variable/market rates. Additionally, the revolving credit facility is generally repaid quickly and the IDRBs have interest rates that reset frequently.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values of Southwest’s debentures (which includes senior and medium-term notes)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are categorized as Level 2 (observable market inputs based on market prices of similar securities).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Centuri secured revolving credit and term loan facility and Centuri’s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color w:val="auto"/>
              </w:rPr>
              <w:t>June 30, 2019</w:t>
            </w:r>
          </w:p>
        </w:tc>
        <w:tc>
          <w:tcPr>
            <w:tcW w:w="18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Market</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(Thousands of dollars)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4.45%, due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127,030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126,213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6.1%, due 2041</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150,728</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3.875%, due 2022</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257,128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254,195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4.875%, due 2043</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268,985</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 due 2046</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296,868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267,030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3.7%, due 2028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298,926</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4.15%, due 2049</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315,426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 Series, due 2026</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93,827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Medium-term notes, 7.78% series, due 2022</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27,774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27,497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Medium-term notes, 7.92% series, due 2027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30,016</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Medium-term notes, 6.76% series, due 2027</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1,767,398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1,470,693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and commercial paper</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color w:val="auto"/>
              </w:rPr>
              <w:t>Industrial development revenue bonds: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Variable-rate bonds: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Tax-exempt Series A, due 2028</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2003 Series A, due 2038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2008 Series A, due 2038</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2009 Series A, due 2039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Southwest Gas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2,011,559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Centuri:</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term loan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253,120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255,959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260,135</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secured revolving credit facility</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88,213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other debt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67,053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Centuri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288,589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Consolidated Southwest Gas Holdings, Inc.: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long-term debt</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321,649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2,373,003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2,107,258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70" w:right="239" w:bottom="1440" w:gutter="0" w:footer="0" w:header="0"/>
          <w:type w:val="continuous"/>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Southwest has a $400 million credit facility that is scheduled to expire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June 30, 2019, the applicable margin is 1% for loans bearing interest with reference to LIBOR and 0% for loans bearing interest with reference to the alternative base rate. At June 30, 2019, $46 million was outstanding on the long-term portion (including $0 under the commercial paper program, discussed below) and no borrowings were outstanding on the short-term portion of this credit facility (see </w:t>
      </w:r>
      <w:r>
        <w:rPr>
          <w:rFonts w:ascii="Arial" w:cs="Arial" w:eastAsia="Arial" w:hAnsi="Arial"/>
          <w:sz w:val="16"/>
          <w:szCs w:val="16"/>
          <w:b w:val="1"/>
          <w:bCs w:val="1"/>
          <w:color w:val="auto"/>
        </w:rPr>
        <w:t>Note 8 – Short-Term Debt</w:t>
      </w:r>
      <w:r>
        <w:rPr>
          <w:rFonts w:ascii="Arial" w:cs="Arial" w:eastAsia="Arial" w:hAnsi="Arial"/>
          <w:sz w:val="16"/>
          <w:szCs w:val="16"/>
          <w:color w:val="auto"/>
        </w:rPr>
        <w:t>).</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under the credit facility. Borrowings under the commercial paper program are designated as long-term debt. Interest rates for the program are calculated at the then current commercial paper rate. At June 30, 2019, as noted above, no borrowings were outstanding under the commercial paper program.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Southwest issued $300 million in 4.15% Senior Notes at a discount of 0.051%. The notes will mature in June 2049. The net proceeds were used to repay a portion of amounts then outstanding under its credit facility and commercial paper program.</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2018, Centuri, in association with the acquisition of Linetec, amended and restated its senior secured revolving credit and term loan facility, increasing the capacity from $450 million to $590 million; the amended facility is scheduled to expire in November 2023. This facility includes a revolving credit facility and a term loan facility. The line of credit portion of the facility is $325 million; amounts borrowed and repaid under the revolving credit facility are available to be re-borrowed. The term loan facility portion has a limit of approximately $265 million. The $590 million revolving credit and term loan facility is secured by substantially all of Centuri’s assets except those explicitly excluded under the terms of the agreement (including owned real estate and certain certificated vehicles). Centuri’s assets securing the facility at June 30, 2019 totaled $1.3 billion. At June 30, 2019, $341 million in borrowings were outstanding under the Centuri facility.</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It is currently anticipated that LIBOR may be discontinued as a benchmark or reference rate after 2021. As of June 30, 2019, no borrowings were outstanding for the holding company under its credit facility (see </w:t>
      </w:r>
      <w:r>
        <w:rPr>
          <w:rFonts w:ascii="Arial" w:cs="Arial" w:eastAsia="Arial" w:hAnsi="Arial"/>
          <w:sz w:val="18"/>
          <w:szCs w:val="18"/>
          <w:b w:val="1"/>
          <w:bCs w:val="1"/>
          <w:color w:val="auto"/>
        </w:rPr>
        <w:t>Note 8 – Short-Term Debt</w:t>
      </w:r>
      <w:r>
        <w:rPr>
          <w:rFonts w:ascii="Arial" w:cs="Arial" w:eastAsia="Arial" w:hAnsi="Arial"/>
          <w:sz w:val="18"/>
          <w:szCs w:val="18"/>
          <w:color w:val="auto"/>
        </w:rPr>
        <w:t>), and therefore, there was no related indebtedness with reference to LIBOR. However, all of Southwest’s outstanding borrowings of $46 million noted above under its credit facility and approximately $215 million of Centuri’s indebtedness under its facility have interest rates with reference to LIBOR and credit facility maturity dates that extend beyond 2021. The outstanding amounts reflect approximately 2% of total Southwest long-term debt and 11% of long-term debt (including current maturities) for the Company overall. The Company intends to continue to monitor developments with respect to alternative rates and take appropriate steps, that will include Southwest and Centuri working with lenders to determine the appropriate alternative reference rate for variable rate indebtedness, in order to mitigate the impact of the discontinuation on financial condition and results of operations.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Short-Term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scheduled to expire in March 2022. There were no borrowings outstanding under this credit facility at June 30, 2019.</w:t>
      </w:r>
    </w:p>
    <w:p>
      <w:pPr>
        <w:spacing w:after="0" w:line="5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b w:val="1"/>
          <w:bCs w:val="1"/>
          <w:color w:val="auto"/>
        </w:rPr>
        <w:t>Note 7 – Long-Term Debt,</w:t>
      </w:r>
      <w:r>
        <w:rPr>
          <w:rFonts w:ascii="Arial" w:cs="Arial" w:eastAsia="Arial" w:hAnsi="Arial"/>
          <w:sz w:val="16"/>
          <w:szCs w:val="16"/>
          <w:color w:val="auto"/>
        </w:rPr>
        <w:t xml:space="preserve"> Southwest has a $400 million credit facility that is scheduled to expire in March 2022, of which $250 million has been designated by management for working capital purposes. Southwest had no short-term borrowings outstanding at June 30, 2019 under this facility.</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 See </w:t>
      </w:r>
      <w:r>
        <w:rPr>
          <w:rFonts w:ascii="Arial" w:cs="Arial" w:eastAsia="Arial" w:hAnsi="Arial"/>
          <w:sz w:val="18"/>
          <w:szCs w:val="18"/>
          <w:b w:val="1"/>
          <w:bCs w:val="1"/>
          <w:color w:val="auto"/>
        </w:rPr>
        <w:t>Note 5 – Derivatives</w:t>
      </w:r>
      <w:r>
        <w:rPr>
          <w:rFonts w:ascii="Arial" w:cs="Arial" w:eastAsia="Arial" w:hAnsi="Arial"/>
          <w:sz w:val="18"/>
          <w:szCs w:val="18"/>
          <w:color w:val="auto"/>
        </w:rPr>
        <w:t xml:space="preserve"> for additional information on the FSIRS.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Defined benefit pension plans: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prior service cost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adjustment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Pension plans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FSIRS (designated hedging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into net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FSIRS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Corporation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Holdings, Inc.</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2"/>
              </w:rPr>
              <w:t>Three Months Ended June 30, 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1"/>
              </w:rPr>
              <w:t>Three Months Ended June 30, 2018</w:t>
            </w:r>
          </w:p>
        </w:tc>
      </w:tr>
      <w:tr>
        <w:trPr>
          <w:trHeight w:val="156"/>
        </w:trPr>
        <w:tc>
          <w:tcPr>
            <w:tcW w:w="14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8"/>
              </w:rPr>
              <w:t>Net-of-</w:t>
            </w:r>
          </w:p>
        </w:tc>
      </w:tr>
      <w:tr>
        <w:trPr>
          <w:trHeight w:val="149"/>
        </w:trPr>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Tax</w:t>
            </w:r>
          </w:p>
        </w:tc>
      </w:tr>
      <w:tr>
        <w:trPr>
          <w:trHeight w:val="188"/>
        </w:trPr>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r>
      <w:tr>
        <w:trPr>
          <w:trHeight w:val="528"/>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8,404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6,387</w:t>
            </w:r>
          </w:p>
        </w:tc>
      </w:tr>
      <w:tr>
        <w:trPr>
          <w:trHeight w:val="27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1,284</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(5,744)</w:t>
            </w:r>
          </w:p>
        </w:tc>
      </w:tr>
      <w:tr>
        <w:trPr>
          <w:trHeight w:val="244"/>
        </w:trPr>
        <w:tc>
          <w:tcPr>
            <w:tcW w:w="1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897</w:t>
            </w:r>
          </w:p>
        </w:tc>
      </w:tr>
      <w:tr>
        <w:trPr>
          <w:trHeight w:val="54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1,533</w:t>
            </w:r>
          </w:p>
        </w:tc>
      </w:tr>
      <w:tr>
        <w:trPr>
          <w:trHeight w:val="5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r>
      <w:tr>
        <w:trPr>
          <w:trHeight w:val="250"/>
        </w:trPr>
        <w:tc>
          <w:tcPr>
            <w:tcW w:w="1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(690)</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1,325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843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-2083435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-1740535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-1397000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-1054100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-711200</wp:posOffset>
            </wp:positionV>
            <wp:extent cx="724662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-359410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6040"/>
          </w:cols>
          <w:pgMar w:left="24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Defined benefit pension plans: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prior service cost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Pension plans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FSIRS (designated hedging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into 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FSIRS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Corporation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Holdings, Inc.</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2"/>
              </w:rPr>
              <w:t>Six Months Ended June 30, 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3"/>
              </w:rPr>
              <w:t>Six Months Ended June 30, 2018</w:t>
            </w:r>
          </w:p>
        </w:tc>
      </w:tr>
      <w:tr>
        <w:trPr>
          <w:trHeight w:val="156"/>
        </w:trPr>
        <w:tc>
          <w:tcPr>
            <w:tcW w:w="14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8"/>
              </w:rPr>
              <w:t>Net-of-</w:t>
            </w:r>
          </w:p>
        </w:tc>
      </w:tr>
      <w:tr>
        <w:trPr>
          <w:trHeight w:val="149"/>
        </w:trPr>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Tax</w:t>
            </w:r>
          </w:p>
        </w:tc>
      </w:tr>
      <w:tr>
        <w:trPr>
          <w:trHeight w:val="188"/>
        </w:trPr>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r>
      <w:tr>
        <w:trPr>
          <w:trHeight w:val="528"/>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4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508</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8,883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16,808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12,774</w:t>
            </w:r>
          </w:p>
        </w:tc>
      </w:tr>
      <w:tr>
        <w:trPr>
          <w:trHeight w:val="27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(10,695)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2,567</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(11,490)</w:t>
            </w:r>
          </w:p>
        </w:tc>
      </w:tr>
      <w:tr>
        <w:trPr>
          <w:trHeight w:val="244"/>
        </w:trPr>
        <w:tc>
          <w:tcPr>
            <w:tcW w:w="1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1,792</w:t>
            </w:r>
          </w:p>
        </w:tc>
      </w:tr>
      <w:tr>
        <w:trPr>
          <w:trHeight w:val="54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1,271</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1,672</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1,271</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3,063</w:t>
            </w:r>
          </w:p>
        </w:tc>
      </w:tr>
      <w:tr>
        <w:trPr>
          <w:trHeight w:val="5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w:t>
            </w:r>
          </w:p>
        </w:tc>
      </w:tr>
      <w:tr>
        <w:trPr>
          <w:trHeight w:val="250"/>
        </w:trPr>
        <w:tc>
          <w:tcPr>
            <w:tcW w:w="1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(1,601)</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4,878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4,087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-2263140</wp:posOffset>
            </wp:positionV>
            <wp:extent cx="7246620"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-1911985</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-1568450</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-1225550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-882650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-530860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-187960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6040"/>
          </w:cols>
          <w:pgMar w:left="240" w:top="270" w:right="239" w:bottom="1440" w:gutter="0" w:footer="0" w:header="0"/>
          <w:type w:val="continuous"/>
        </w:sect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270" w:right="239" w:bottom="1440" w:gutter="0" w:footer="0" w:header="0"/>
          <w:type w:val="continuous"/>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color w:val="auto"/>
                <w:w w:val="92"/>
              </w:rPr>
              <w:t>Twelve Months Ended June 30, 2019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8"/>
              <w:spacing w:after="0"/>
              <w:rPr>
                <w:sz w:val="20"/>
                <w:szCs w:val="20"/>
                <w:color w:val="auto"/>
              </w:rPr>
            </w:pPr>
            <w:r>
              <w:rPr>
                <w:rFonts w:ascii="Arial" w:cs="Arial" w:eastAsia="Arial" w:hAnsi="Arial"/>
                <w:sz w:val="14"/>
                <w:szCs w:val="14"/>
                <w:color w:val="auto"/>
                <w:w w:val="92"/>
              </w:rPr>
              <w:t>Twelve Months Ended June 30, 2018</w:t>
            </w: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3"/>
                <w:szCs w:val="13"/>
                <w:color w:val="auto"/>
              </w:rPr>
            </w:pPr>
          </w:p>
        </w:tc>
        <w:tc>
          <w:tcPr>
            <w:tcW w:w="660" w:type="dxa"/>
            <w:vAlign w:val="bottom"/>
          </w:tcPr>
          <w:p>
            <w:pPr>
              <w:jc w:val="center"/>
              <w:ind w:right="48"/>
              <w:spacing w:after="0" w:line="157"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7"/>
        </w:trPr>
        <w:tc>
          <w:tcPr>
            <w:tcW w:w="538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gain/(loss)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(20,426)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4,902</w:t>
            </w:r>
          </w:p>
        </w:tc>
        <w:tc>
          <w:tcPr>
            <w:tcW w:w="1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(43,027)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10,326</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(32,701)</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21,658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20,662</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Regulatory adjustment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(3,809)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8,691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8,212</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plans other comprehensive income (loss)</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5,564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(2,905)</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tcPr>
          <w:p>
            <w:pPr>
              <w:ind w:left="40"/>
              <w:spacing w:after="0"/>
              <w:rPr>
                <w:sz w:val="20"/>
                <w:szCs w:val="20"/>
                <w:color w:val="auto"/>
              </w:rPr>
            </w:pPr>
            <w:r>
              <w:rPr>
                <w:rFonts w:ascii="Arial" w:cs="Arial" w:eastAsia="Arial" w:hAnsi="Arial"/>
                <w:sz w:val="14"/>
                <w:szCs w:val="14"/>
                <w:color w:val="auto"/>
              </w:rPr>
              <w:t>FSIRS (designated hedging activities):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180"/>
              <w:spacing w:after="0"/>
              <w:rPr>
                <w:sz w:val="20"/>
                <w:szCs w:val="20"/>
                <w:color w:val="auto"/>
              </w:rPr>
            </w:pPr>
            <w:r>
              <w:rPr>
                <w:rFonts w:ascii="Arial" w:cs="Arial" w:eastAsia="Arial" w:hAnsi="Arial"/>
                <w:sz w:val="14"/>
                <w:szCs w:val="14"/>
                <w:color w:val="auto"/>
              </w:rPr>
              <w:t>FSIRS other comprehensive income</w:t>
            </w: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8,908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adjustments</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80"/>
        </w:trPr>
        <w:tc>
          <w:tcPr>
            <w:tcW w:w="53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380" w:type="dxa"/>
            <w:vAlign w:val="bottom"/>
          </w:tcPr>
          <w:p>
            <w:pPr>
              <w:ind w:left="180"/>
              <w:spacing w:after="0"/>
              <w:rPr>
                <w:sz w:val="20"/>
                <w:szCs w:val="20"/>
                <w:color w:val="auto"/>
              </w:rPr>
            </w:pPr>
            <w:r>
              <w:rPr>
                <w:rFonts w:ascii="Arial" w:cs="Arial" w:eastAsia="Arial" w:hAnsi="Arial"/>
                <w:sz w:val="14"/>
                <w:szCs w:val="14"/>
                <w:color w:val="auto"/>
              </w:rPr>
              <w:t>Foreign currency other comprehensive income (loss)</w:t>
            </w: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40" w:hanging="316"/>
        <w:spacing w:after="0" w:line="269"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Tax amounts are calculated using a 24% rate following the December 22, 2017 enactment date of U.S. tax reform. For periods prior to the enactment date (and included in specific line items of the tables for the twelve months ended June 30, 2018), tax amounts were calculated using a 38% rate. The tax effect of before-tax amounts remaining in the balance of Accumulated other comprehensive income (loss) as of June 30, 2019 is effectively computed using a 24% tax rate overall. With regard to foreign currency translation adjustments, the Company has elected to indefinitely reinvest the earnings of Centuri’s Canadian subsidiaries in Canada, thus preventing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Approximately $2.5 million of realized losses (net of tax) related to the FSIRS, reported in Accumulated other comprehensive income (loss) at June 30, 2019, will be reclassified into interest expense within the next 12 months as the related interest payments on long-term debt occur.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AOCI, presented on the Company’s Condensed Consolidated Balance Sheets (thousands of dollars):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FSIRS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center"/>
              <w:ind w:right="80"/>
              <w:spacing w:after="0"/>
              <w:rPr>
                <w:sz w:val="20"/>
                <w:szCs w:val="20"/>
                <w:color w:val="auto"/>
              </w:rPr>
            </w:pPr>
            <w:r>
              <w:rPr>
                <w:rFonts w:ascii="Arial" w:cs="Arial" w:eastAsia="Arial" w:hAnsi="Arial"/>
                <w:sz w:val="13"/>
                <w:szCs w:val="13"/>
                <w:color w:val="auto"/>
                <w:w w:val="88"/>
              </w:rPr>
              <w:t>Foreign Currency Items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40"/>
              <w:spacing w:after="0" w:line="148" w:lineRule="exact"/>
              <w:rPr>
                <w:sz w:val="20"/>
                <w:szCs w:val="20"/>
                <w:color w:val="auto"/>
              </w:rPr>
            </w:pPr>
            <w:r>
              <w:rPr>
                <w:rFonts w:ascii="Arial" w:cs="Arial" w:eastAsia="Arial" w:hAnsi="Arial"/>
                <w:sz w:val="13"/>
                <w:szCs w:val="13"/>
                <w:color w:val="auto"/>
                <w:w w:val="92"/>
              </w:rPr>
              <w:t>Tax</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(Expense)</w:t>
            </w:r>
          </w:p>
        </w:tc>
        <w:tc>
          <w:tcPr>
            <w:tcW w:w="8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After-Tax</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(Expense)</w:t>
            </w:r>
          </w:p>
        </w:tc>
        <w:tc>
          <w:tcPr>
            <w:tcW w:w="7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After-Tax</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(Expense)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0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3"/>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0"/>
              </w:rPr>
              <w:t>Benefit (4,5)</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0"/>
              </w:rPr>
              <w:t>Benefit (4,5)</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3"/>
              </w:rPr>
              <w:t>Benefit</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After-Tax</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 AOCI December 31, 2018</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5"/>
              </w:rPr>
              <w:t>$  (55,227)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13,254</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8"/>
              </w:rPr>
              <w:t>$  (41,973)</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(9,310)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2,234</w:t>
            </w:r>
          </w:p>
        </w:tc>
        <w:tc>
          <w:tcPr>
            <w:tcW w:w="12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(7,076)</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(3,619)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(3,619)</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 (52,668)</w:t>
            </w:r>
          </w:p>
        </w:tc>
        <w:tc>
          <w:tcPr>
            <w:tcW w:w="0" w:type="dxa"/>
            <w:vAlign w:val="bottom"/>
          </w:tcPr>
          <w:p>
            <w:pPr>
              <w:spacing w:after="0"/>
              <w:rPr>
                <w:sz w:val="1"/>
                <w:szCs w:val="1"/>
                <w:color w:val="auto"/>
              </w:rPr>
            </w:pPr>
          </w:p>
        </w:tc>
      </w:tr>
      <w:tr>
        <w:trPr>
          <w:trHeight w:val="153"/>
        </w:trPr>
        <w:tc>
          <w:tcPr>
            <w:tcW w:w="3000" w:type="dxa"/>
            <w:vAlign w:val="bottom"/>
          </w:tcPr>
          <w:p>
            <w:pPr>
              <w:ind w:left="40"/>
              <w:spacing w:after="0"/>
              <w:rPr>
                <w:sz w:val="20"/>
                <w:szCs w:val="20"/>
                <w:color w:val="auto"/>
              </w:rPr>
            </w:pPr>
            <w:r>
              <w:rPr>
                <w:rFonts w:ascii="Arial" w:cs="Arial" w:eastAsia="Arial" w:hAnsi="Arial"/>
                <w:sz w:val="13"/>
                <w:szCs w:val="13"/>
                <w:color w:val="auto"/>
              </w:rPr>
              <w:t>Translation adjustments</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1,578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1,578</w:t>
            </w:r>
          </w:p>
        </w:tc>
        <w:tc>
          <w:tcPr>
            <w:tcW w:w="100" w:type="dxa"/>
            <w:vAlign w:val="bottom"/>
          </w:tcPr>
          <w:p>
            <w:pPr>
              <w:spacing w:after="0"/>
              <w:rPr>
                <w:sz w:val="13"/>
                <w:szCs w:val="13"/>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1,578</w:t>
            </w:r>
          </w:p>
        </w:tc>
        <w:tc>
          <w:tcPr>
            <w:tcW w:w="0" w:type="dxa"/>
            <w:vAlign w:val="bottom"/>
          </w:tcPr>
          <w:p>
            <w:pPr>
              <w:spacing w:after="0"/>
              <w:rPr>
                <w:sz w:val="1"/>
                <w:szCs w:val="1"/>
                <w:color w:val="auto"/>
              </w:rPr>
            </w:pPr>
          </w:p>
        </w:tc>
      </w:tr>
      <w:tr>
        <w:trPr>
          <w:trHeight w:val="91"/>
        </w:trPr>
        <w:tc>
          <w:tcPr>
            <w:tcW w:w="30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000" w:type="dxa"/>
            <w:vAlign w:val="bottom"/>
            <w:tcBorders>
              <w:top w:val="single" w:sz="8" w:color="CCEEFF"/>
            </w:tcBorders>
            <w:shd w:val="clear" w:color="auto" w:fill="CCEEFF"/>
          </w:tcPr>
          <w:p>
            <w:pPr>
              <w:ind w:left="180"/>
              <w:spacing w:after="0" w:line="134" w:lineRule="exact"/>
              <w:rPr>
                <w:sz w:val="20"/>
                <w:szCs w:val="20"/>
                <w:color w:val="auto"/>
              </w:rPr>
            </w:pPr>
            <w:r>
              <w:rPr>
                <w:rFonts w:ascii="Arial" w:cs="Arial" w:eastAsia="Arial" w:hAnsi="Arial"/>
                <w:sz w:val="13"/>
                <w:szCs w:val="13"/>
                <w:color w:val="auto"/>
              </w:rPr>
              <w:t>Other comprehensive income (loss) before</w:t>
            </w: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reclassifications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1,578</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270" w:right="239" w:bottom="1440" w:gutter="0" w:footer="0" w:header="0"/>
        </w:sectPr>
      </w:pPr>
    </w:p>
    <w:p>
      <w:pPr>
        <w:ind w:left="40"/>
        <w:spacing w:after="0"/>
        <w:rPr>
          <w:sz w:val="20"/>
          <w:szCs w:val="20"/>
          <w:color w:val="auto"/>
        </w:rPr>
      </w:pPr>
      <w:r>
        <w:rPr>
          <w:rFonts w:ascii="Arial" w:cs="Arial" w:eastAsia="Arial" w:hAnsi="Arial"/>
          <w:sz w:val="13"/>
          <w:szCs w:val="13"/>
          <w:color w:val="auto"/>
        </w:rPr>
        <w:t>FSIRS amounts reclassified from AOCI (1)</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(2)</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(3)</w:t>
      </w:r>
    </w:p>
    <w:p>
      <w:pPr>
        <w:spacing w:after="0" w:line="40" w:lineRule="exact"/>
        <w:rPr>
          <w:sz w:val="20"/>
          <w:szCs w:val="20"/>
          <w:color w:val="auto"/>
        </w:rPr>
      </w:pPr>
    </w:p>
    <w:p>
      <w:pPr>
        <w:ind w:left="200" w:hanging="161"/>
        <w:spacing w:after="0" w:line="320" w:lineRule="auto"/>
        <w:rPr>
          <w:sz w:val="20"/>
          <w:szCs w:val="20"/>
          <w:color w:val="auto"/>
        </w:rPr>
      </w:pPr>
      <w:r>
        <w:rPr>
          <w:rFonts w:ascii="Arial" w:cs="Arial" w:eastAsia="Arial" w:hAnsi="Arial"/>
          <w:sz w:val="11"/>
          <w:szCs w:val="11"/>
          <w:color w:val="auto"/>
        </w:rPr>
        <w:t>Net current period other comprehensive income (loss) attributable to Southwest Gas Holdings, Inc.</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AOCI June 30, 2019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1,672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1,271</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635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483</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11,688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(2,805)</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8,883</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8,883</w:t>
            </w:r>
          </w:p>
        </w:tc>
      </w:tr>
      <w:tr>
        <w:trPr>
          <w:trHeight w:val="280"/>
        </w:trPr>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(10,695)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2,567</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(8,128)</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(8,128)</w:t>
            </w:r>
          </w:p>
        </w:tc>
      </w:tr>
      <w:tr>
        <w:trPr>
          <w:trHeight w:val="304"/>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1,628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(390)</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1,238</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1,578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1,578</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4,087</w:t>
            </w:r>
          </w:p>
        </w:tc>
      </w:tr>
      <w:tr>
        <w:trPr>
          <w:trHeight w:val="227"/>
        </w:trPr>
        <w:tc>
          <w:tcPr>
            <w:tcW w:w="700" w:type="dxa"/>
            <w:vAlign w:val="bottom"/>
          </w:tcPr>
          <w:p>
            <w:pPr>
              <w:jc w:val="right"/>
              <w:ind w:right="17"/>
              <w:spacing w:after="0"/>
              <w:rPr>
                <w:sz w:val="20"/>
                <w:szCs w:val="20"/>
                <w:color w:val="auto"/>
              </w:rPr>
            </w:pPr>
            <w:r>
              <w:rPr>
                <w:rFonts w:ascii="Arial" w:cs="Arial" w:eastAsia="Arial" w:hAnsi="Arial"/>
                <w:sz w:val="13"/>
                <w:szCs w:val="13"/>
                <w:color w:val="auto"/>
                <w:w w:val="95"/>
              </w:rPr>
              <w:t>$  (53,599)</w:t>
            </w:r>
          </w:p>
        </w:tc>
        <w:tc>
          <w:tcPr>
            <w:tcW w:w="120" w:type="dxa"/>
            <w:vAlign w:val="bottom"/>
          </w:tcPr>
          <w:p>
            <w:pPr>
              <w:spacing w:after="0"/>
              <w:rPr>
                <w:sz w:val="19"/>
                <w:szCs w:val="19"/>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12,864</w:t>
            </w:r>
          </w:p>
        </w:tc>
        <w:tc>
          <w:tcPr>
            <w:tcW w:w="12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8"/>
              </w:rPr>
              <w:t>$  (40,735)</w:t>
            </w:r>
          </w:p>
        </w:tc>
        <w:tc>
          <w:tcPr>
            <w:tcW w:w="12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   (7,638)</w:t>
            </w:r>
          </w:p>
        </w:tc>
        <w:tc>
          <w:tcPr>
            <w:tcW w:w="120" w:type="dxa"/>
            <w:vAlign w:val="bottom"/>
          </w:tcPr>
          <w:p>
            <w:pPr>
              <w:spacing w:after="0"/>
              <w:rPr>
                <w:sz w:val="19"/>
                <w:szCs w:val="19"/>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1,833</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(5,805)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(2,041)</w:t>
            </w:r>
          </w:p>
        </w:tc>
        <w:tc>
          <w:tcPr>
            <w:tcW w:w="120" w:type="dxa"/>
            <w:vAlign w:val="bottom"/>
          </w:tcPr>
          <w:p>
            <w:pPr>
              <w:spacing w:after="0"/>
              <w:rPr>
                <w:sz w:val="19"/>
                <w:szCs w:val="19"/>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  (2,041)</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7"/>
              </w:rPr>
              <w:t>$ (48,581)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-872490</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-529590</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-152400</wp:posOffset>
            </wp:positionV>
            <wp:extent cx="724662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2760" w:space="240"/>
            <w:col w:w="8420"/>
          </w:cols>
          <w:pgMar w:left="240" w:top="270" w:right="239" w:bottom="1440" w:gutter="0" w:footer="0" w:header="0"/>
          <w:type w:val="continuous"/>
        </w:sect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540" w:right="20" w:hanging="316"/>
        <w:spacing w:after="0" w:line="257"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type w:val="continuous"/>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2" w:lineRule="exact"/>
        <w:rPr>
          <w:rFonts w:ascii="Arial" w:cs="Arial" w:eastAsia="Arial" w:hAnsi="Arial"/>
          <w:sz w:val="16"/>
          <w:szCs w:val="16"/>
          <w:color w:val="auto"/>
        </w:rPr>
      </w:pPr>
    </w:p>
    <w:p>
      <w:pPr>
        <w:ind w:left="540" w:hanging="316"/>
        <w:spacing w:after="0" w:line="276"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AOCI, presented on Southwest’s Condensed Consolidated Balance Sheets (thousands of dollars):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3"/>
          <w:szCs w:val="13"/>
          <w:color w:val="auto"/>
        </w:rPr>
        <w:t>Beginning Balance AOCI December 31, 2018</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FSIRS amounts reclassified from AOCI (6)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current period other comprehensive income attributable to Southwest Gas Corporation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AOCI June 30, 2019</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color w:val="auto"/>
                <w:w w:val="88"/>
              </w:rPr>
              <w:t>FSIRS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8"/>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4"/>
              </w:rPr>
              <w:t>(Expense)</w:t>
            </w:r>
          </w:p>
        </w:tc>
        <w:tc>
          <w:tcPr>
            <w:tcW w:w="1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3"/>
                <w:szCs w:val="13"/>
                <w:color w:val="auto"/>
              </w:rPr>
              <w:t>After-Tax</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(Expense)</w:t>
            </w:r>
          </w:p>
        </w:tc>
        <w:tc>
          <w:tcPr>
            <w:tcW w:w="7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After-Tax</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0"/>
        </w:trPr>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6"/>
              </w:rPr>
              <w:t>Before-Tax</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9"/>
              </w:rPr>
              <w:t>Benefit (9,10)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3"/>
              </w:rPr>
              <w:t>Before-Tax</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89"/>
              </w:rPr>
              <w:t>Benefit (9,10)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AOCI</w:t>
            </w: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(55,227)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13,254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(41,973)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(49,049)</w:t>
            </w:r>
          </w:p>
        </w:tc>
      </w:tr>
      <w:tr>
        <w:trPr>
          <w:trHeight w:val="241"/>
        </w:trPr>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1,672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1,271</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483</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11,688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(2,805)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8,883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8,883</w:t>
            </w:r>
          </w:p>
        </w:tc>
      </w:tr>
      <w:tr>
        <w:trPr>
          <w:trHeight w:val="280"/>
        </w:trPr>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(10,695)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2,567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(8,128)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(8,128)</w:t>
            </w:r>
          </w:p>
        </w:tc>
      </w:tr>
      <w:tr>
        <w:trPr>
          <w:trHeight w:val="241"/>
        </w:trPr>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1,628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(390)</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2,509</w:t>
            </w:r>
          </w:p>
        </w:tc>
      </w:tr>
      <w:tr>
        <w:trPr>
          <w:trHeight w:val="257"/>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(53,599)</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12,864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(40,735)</w:t>
            </w:r>
          </w:p>
        </w:tc>
        <w:tc>
          <w:tcPr>
            <w:tcW w:w="120" w:type="dxa"/>
            <w:vAlign w:val="bottom"/>
          </w:tcPr>
          <w:p>
            <w:pPr>
              <w:spacing w:after="0"/>
              <w:rPr>
                <w:sz w:val="22"/>
                <w:szCs w:val="22"/>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(7,638)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1,833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(5,805)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(46,540)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-1181100</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-838200</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-495300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-152400</wp:posOffset>
            </wp:positionV>
            <wp:extent cx="724662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600" w:space="680"/>
            <w:col w:w="6140"/>
          </w:cols>
          <w:pgMar w:left="240" w:top="270" w:right="239" w:bottom="1440" w:gutter="0" w:footer="0" w:header="0"/>
          <w:type w:val="continuous"/>
        </w:sectPr>
      </w:pP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540" w:right="20" w:hanging="316"/>
        <w:spacing w:after="0" w:line="24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5" w:lineRule="exact"/>
        <w:rPr>
          <w:rFonts w:ascii="Arial" w:cs="Arial" w:eastAsia="Arial" w:hAnsi="Arial"/>
          <w:sz w:val="16"/>
          <w:szCs w:val="16"/>
          <w:color w:val="auto"/>
        </w:rPr>
      </w:pPr>
    </w:p>
    <w:p>
      <w:pPr>
        <w:ind w:left="540" w:hanging="316"/>
        <w:spacing w:after="0" w:line="257"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 (thousands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June 30, 2019</w:t>
            </w:r>
          </w:p>
        </w:tc>
        <w:tc>
          <w:tcPr>
            <w:tcW w:w="20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(435,364)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recognized in regulatory assets</w:t>
            </w: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383,170</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Recognized in AOCI</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(55,227)</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type w:val="continuous"/>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of corporate and administrative activities related to Southwest Gas Holdings, Inc. The following tables present revenues from external customers, intersegment revenues, and segment net income for the two reportable segments (thousands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258,711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405,218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663,929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49,082</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258,711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454,300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713,011</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275,679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362,132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637,811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33,072</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275,679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395,204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670,883</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779,388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679,407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1,458,795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87,755</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779,388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767,162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1,546,550</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116,865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769,992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594,991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1,364,983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60,230</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769,992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655,221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1,425,213</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100,642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Twelve Months Ended June 30,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1,367,124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1,470,787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2,837,911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163,439</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1,367,124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1,634,226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3,001,350</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198,500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Twelve Months Ended June 30, 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1,349,536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1,296,093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2,645,629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113,170</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1,349,536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1,409,263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2,758,799</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207,311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73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70" w:right="239" w:bottom="730" w:gutter="0" w:footer="0" w:header="0"/>
          <w:type w:val="continuous"/>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Redeemable Noncontrolling Interest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acquisition of Linetec in November 2018, the previous owner retained a 20% equity interest in Linetec, the reduction of which is subject to certain rights based on the passage of time or upon the occurrence of certain triggering events. Effective January 2022, the Company has the right, but not the obligation, to purchase at fair value (subject to a floor) a portion of the interest held by the noncontrolling party, and in incremental amounts each year thereafter.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Centuri to purchase a similar portion of their interest up to the maximum cumulative amounts specified at each interval discussed above. The Company has determined that this noncontrolling interest is a redeemable noncontrolling interest and, in accordance with SEC guidance, is classified as mezzanine equity (temporary equity) in the Company’s Condensed Consolidated Balance Sheets.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However, the carrying value of the redeemable noncontrolling interest was greater than its fair value as of June 30, 2019, and no previous upward redemption value adjustments were made following the acquisition date. SEC guidance indicates that a redemption value adjustment would not be made under these circumstances. The following depicts the change to the balance of the redeemable noncontrolling interest: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Redeemable</w:t>
            </w:r>
          </w:p>
        </w:tc>
      </w:tr>
      <w:tr>
        <w:trPr>
          <w:trHeight w:val="230"/>
        </w:trPr>
        <w:tc>
          <w:tcPr>
            <w:tcW w:w="96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w w:val="96"/>
              </w:rPr>
              <w:t>Noncontrolling Interest</w:t>
            </w:r>
          </w:p>
        </w:tc>
      </w:tr>
      <w:tr>
        <w:trPr>
          <w:trHeight w:val="27"/>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81,831</w:t>
            </w:r>
          </w:p>
        </w:tc>
      </w:tr>
      <w:tr>
        <w:trPr>
          <w:trHeight w:val="243"/>
        </w:trPr>
        <w:tc>
          <w:tcPr>
            <w:tcW w:w="9600" w:type="dxa"/>
            <w:vAlign w:val="bottom"/>
          </w:tcPr>
          <w:p>
            <w:pPr>
              <w:ind w:left="200"/>
              <w:spacing w:after="0"/>
              <w:rPr>
                <w:sz w:val="20"/>
                <w:szCs w:val="20"/>
                <w:color w:val="auto"/>
              </w:rPr>
            </w:pPr>
            <w:r>
              <w:rPr>
                <w:rFonts w:ascii="Arial" w:cs="Arial" w:eastAsia="Arial" w:hAnsi="Arial"/>
                <w:sz w:val="18"/>
                <w:szCs w:val="18"/>
                <w:color w:val="auto"/>
              </w:rPr>
              <w:t>Net income attributable to redeemable noncontrolling interest</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7"/>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83,182</w:t>
            </w:r>
          </w:p>
        </w:tc>
      </w:tr>
      <w:tr>
        <w:trPr>
          <w:trHeight w:val="20"/>
        </w:trPr>
        <w:tc>
          <w:tcPr>
            <w:tcW w:w="9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Acquisitions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2018, the Company, through its subsidiaries, led principally by Centuri, completed the acquisition of an 80% interest in a privately held infrastructure services business, Linetec, with the remaining 20% retained by the seller. See the Company’s 2018 Form 10-K for additional information about this acquisition.</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Assets acquired and liabilities assumed in the transaction were recorded, generally,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 terms of acquisition-related agreements, analysis of historical and projected results, and other types of data). The analysis included consideration of types of intangibles that were acquired, including customer relationships, trade names, and customer contracts. Certain payments were estimated as of the acquisition date and will be adjusted when paid or as estimates change based on available data; the final purchase accounting has not yet been completed. Further refinement is expected to occur, including potential changes to income taxes and intangibles, as well as additional consideration payments held back. Subsequent to the acquisition date and through June 30, 2019, Centuri recorded a net reduction to the overall purchase price of $20.1 million related to the combined effects of a mutual tax election under Internal Revenue Code Section 338(h)(10), working capital adjustments, and other refinements to the valuation, which impacted the remaining unremitted consideration. In addition, approximately $19.5 million of previously unremitted consideration was paid during the three months ending June 30, 2019. As of that date, remaining unpaid consideration was $31.3 million.</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estimated fair values of assets acquired and liabilities assumed as of November 30, 2018, are as follows (millions of dollars):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Measurement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Period</w:t>
            </w:r>
          </w:p>
        </w:tc>
        <w:tc>
          <w:tcPr>
            <w:tcW w:w="12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Revised</w:t>
            </w:r>
          </w:p>
        </w:tc>
      </w:tr>
      <w:tr>
        <w:trPr>
          <w:trHeight w:val="230"/>
        </w:trPr>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Acquisition Date</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w w:val="92"/>
              </w:rPr>
              <w:t>Acquisition Date</w:t>
            </w:r>
          </w:p>
        </w:tc>
      </w:tr>
      <w:tr>
        <w:trPr>
          <w:trHeight w:val="27"/>
        </w:trPr>
        <w:tc>
          <w:tcPr>
            <w:tcW w:w="6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408.1</w:t>
            </w:r>
          </w:p>
        </w:tc>
      </w:tr>
      <w:tr>
        <w:trPr>
          <w:trHeight w:val="27"/>
        </w:trPr>
        <w:tc>
          <w:tcPr>
            <w:tcW w:w="6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1"/>
        </w:trPr>
        <w:tc>
          <w:tcPr>
            <w:tcW w:w="6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 compensation and related accrued taxes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liabilities assumed and noncontrolling interest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r>
      <w:tr>
        <w:trPr>
          <w:trHeight w:val="27"/>
        </w:trPr>
        <w:tc>
          <w:tcPr>
            <w:tcW w:w="6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306.5</w:t>
            </w: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incurred and expensed acquisition costs of $6.9 million for the twelve months ended June 30, 2019 which are included in Utility infrastructure services expenses on the Company’s Condensed Consolidated Statement of Income. No acquisition-related costs were incurred during the three and six months ended June 30, 2019, and no significant impacts to earnings resulted from the measurement-period adjustments reflected above.</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preliminary allocation of the purchase price of Linetec was accounted for in accordance with applicable accounting guidance. Goodwill consists of the value associated with the assembled workforce, consolidation of operations, and the estimated economic value attributable to future opportunities related to the transaction. As the business of Linetec was deemed an asset purchase for tax purposes, the tax-basis goodwill is expected to be deductible for tax purposes. During 2019, values at the acquisition date were adjusted, as reflected in the table above, on the Company’s Condensed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At the annual meeting of shareholders of Southwest Gas Holdings, Inc., held on May 2, 2019, shareholders voted to approve changing the state of incorporation of Southwest Gas Holdings, Inc. from California to Delaware. The reincorporation remains subject to certain regulatory approvals, which are currently pending, and we can provide no assurances as to the timing for such approvals. For more information about the reincorporation, please refer to Southwest Gas Holdings, Inc.’s Definitive Proxy Statement on Schedule 14A, filed with the Securities and Exchange Commission (the “SEC”) on March 18, 2019. Southwest Gas Holdings, Inc. and its subsidiaries are collectively referred to as the “Company.”</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2019, Southwest had 2,061,000 residential, commercial, industrial, and other natural gas customers, of which 1,098,000 customers were located in Arizona, 766,000 in Nevada, and 197,000 in California. Residential and small commercial customers represented over 99% of the total customer base. During the twelve months ended June 30, 2019, 53% of operating margin (gas operating revenues less the net cost of gas sold) was earned in Arizona, 36% in Nevada, and 11% in California. During</w:t>
      </w:r>
    </w:p>
    <w:p>
      <w:pPr>
        <w:sectPr>
          <w:pgSz w:w="11900" w:h="16838" w:orient="portrait"/>
          <w:cols w:equalWidth="0" w:num="1">
            <w:col w:w="11420"/>
          </w:cols>
          <w:pgMar w:left="240" w:top="270" w:right="239" w:bottom="1440" w:gutter="0" w:footer="0" w:header="0"/>
        </w:sect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70" w:right="239" w:bottom="1440" w:gutter="0" w:footer="0" w:header="0"/>
          <w:type w:val="continuous"/>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same period, Southwest earned 84% of its operating margin from residential and small commercial customers, 3% from other sales customers, and 13% from transportation customers. These general patterns are expected to remain materially consistent for the foreseeable future.</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Refer to the Summary Operating Results table for a reconciliation of revenues to operating margin.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operates in 26 major markets in the United States (“U.S.”), primarily as NPL, and in 2 major markets in Canada, primarily as NPL Canada. In November 2017, Centuri expanded its operations in the northeast region of the U.S. through the acquisition of New England Utility Constructors, Inc. (“Neuco”), and again in November 2018, in the southeast region of the U.S. through the acquisition of an 80% interest in Linetec Services, LLC (“Linetec”). Both companies were privately owned utility infrastructure services businesses prior to their acquisition.</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activity can be impacted by changes in infrastructure replacement programs of utilities, weather, and local and federal regulation (including tax rates and incentives). During the past few years, utilities have implemented or modified system integrity management programs to enhance safety pursuant to federal and state mandates. These programs have resulted in a significant increase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Management’s Discussion and Analysis (“MD&amp;A”) of Financial Condition and Results of Operations should be read in conjunction with the unaudited consolidated financial statements and the notes thereto included in this Quarterly Report on Form 10-Q and the audited financial statements and the notes thereto, as well as MD&amp;A, included in the 2018 Annual Report to Shareholders, which is incorporated by reference into the 2018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78% of twelve-month-to-date consolidated net income over the past two years. As such, MD&amp;A is primarily focused on that segment. Natural gas sales are seasonal, peaking during the winter months; therefore, results of operations for interim periods are not necessarily indicative of results for a full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5"/>
          </w:tcPr>
          <w:p>
            <w:pPr>
              <w:jc w:val="center"/>
              <w:ind w:right="1980"/>
              <w:spacing w:after="0"/>
              <w:rPr>
                <w:sz w:val="20"/>
                <w:szCs w:val="20"/>
                <w:color w:val="auto"/>
              </w:rPr>
            </w:pPr>
            <w:r>
              <w:rPr>
                <w:rFonts w:ascii="Arial" w:cs="Arial" w:eastAsia="Arial" w:hAnsi="Arial"/>
                <w:sz w:val="18"/>
                <w:szCs w:val="18"/>
                <w:i w:val="1"/>
                <w:iCs w:val="1"/>
                <w:color w:val="auto"/>
                <w:w w:val="90"/>
              </w:rPr>
              <w:t>Summary Operating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right"/>
              <w:ind w:right="500"/>
              <w:spacing w:after="0"/>
              <w:rPr>
                <w:sz w:val="20"/>
                <w:szCs w:val="20"/>
                <w:color w:val="auto"/>
              </w:rPr>
            </w:pPr>
            <w:r>
              <w:rPr>
                <w:rFonts w:ascii="Arial" w:cs="Arial" w:eastAsia="Arial" w:hAnsi="Arial"/>
                <w:sz w:val="18"/>
                <w:szCs w:val="18"/>
                <w:color w:val="auto"/>
                <w:w w:val="93"/>
              </w:rPr>
              <w:t>Period Ended June 30,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Six Months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84"/>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720" w:type="dxa"/>
            <w:vAlign w:val="bottom"/>
            <w:tcBorders>
              <w:top w:val="single" w:sz="8" w:color="auto"/>
            </w:tcBorders>
            <w:gridSpan w:val="9"/>
          </w:tcPr>
          <w:p>
            <w:pPr>
              <w:jc w:val="right"/>
              <w:spacing w:after="0"/>
              <w:rPr>
                <w:sz w:val="20"/>
                <w:szCs w:val="20"/>
                <w:color w:val="auto"/>
              </w:rPr>
            </w:pPr>
            <w:r>
              <w:rPr>
                <w:rFonts w:ascii="Arial" w:cs="Arial" w:eastAsia="Arial" w:hAnsi="Arial"/>
                <w:sz w:val="18"/>
                <w:szCs w:val="18"/>
                <w:color w:val="auto"/>
              </w:rPr>
              <w:t>(In thousands, except per share amounts)</w:t>
            </w: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Contribution to net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Natural gas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106,758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92,971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152,629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163,329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45,213</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Corporate and administrative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116,865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100,642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207,311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Average number of common shares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53,654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51,914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48,338</w:t>
            </w:r>
          </w:p>
        </w:tc>
        <w:tc>
          <w:tcPr>
            <w:tcW w:w="0" w:type="dxa"/>
            <w:vAlign w:val="bottom"/>
          </w:tcPr>
          <w:p>
            <w:pPr>
              <w:spacing w:after="0"/>
              <w:rPr>
                <w:sz w:val="1"/>
                <w:szCs w:val="1"/>
                <w:color w:val="auto"/>
              </w:rPr>
            </w:pPr>
          </w:p>
        </w:tc>
      </w:tr>
      <w:tr>
        <w:trPr>
          <w:trHeight w:val="20"/>
        </w:trPr>
        <w:tc>
          <w:tcPr>
            <w:tcW w:w="4020" w:type="dxa"/>
            <w:vAlign w:val="bottom"/>
            <w:gridSpan w:val="5"/>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4020" w:type="dxa"/>
            <w:vAlign w:val="bottom"/>
            <w:gridSpan w:val="5"/>
            <w:vMerge w:val="restart"/>
          </w:tcPr>
          <w:p>
            <w:pPr>
              <w:ind w:left="40"/>
              <w:spacing w:after="0"/>
              <w:rPr>
                <w:sz w:val="20"/>
                <w:szCs w:val="20"/>
                <w:color w:val="auto"/>
              </w:rPr>
            </w:pPr>
            <w:r>
              <w:rPr>
                <w:rFonts w:ascii="Arial" w:cs="Arial" w:eastAsia="Arial" w:hAnsi="Arial"/>
                <w:sz w:val="18"/>
                <w:szCs w:val="18"/>
                <w:color w:val="auto"/>
              </w:rPr>
              <w:t>Natural Gas Operations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2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Reconciliation of Revenue to Operating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4"/>
            <w:shd w:val="clear" w:color="auto" w:fill="CCEEFF"/>
          </w:tcPr>
          <w:p>
            <w:pPr>
              <w:jc w:val="center"/>
              <w:ind w:right="2040"/>
              <w:spacing w:after="0"/>
              <w:rPr>
                <w:sz w:val="20"/>
                <w:szCs w:val="20"/>
                <w:color w:val="auto"/>
              </w:rPr>
            </w:pPr>
            <w:r>
              <w:rPr>
                <w:rFonts w:ascii="Arial" w:cs="Arial" w:eastAsia="Arial" w:hAnsi="Arial"/>
                <w:sz w:val="18"/>
                <w:szCs w:val="18"/>
                <w:color w:val="auto"/>
                <w:w w:val="91"/>
              </w:rPr>
              <w:t>(Non-GAAP measure)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Gas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258,711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275,679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779,388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769,992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1,367,124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1,349,536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Net cost of gas sold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257,786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269,198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407,976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407,943</w:t>
            </w:r>
          </w:p>
        </w:tc>
        <w:tc>
          <w:tcPr>
            <w:tcW w:w="0" w:type="dxa"/>
            <w:vAlign w:val="bottom"/>
          </w:tcPr>
          <w:p>
            <w:pPr>
              <w:spacing w:after="0"/>
              <w:rPr>
                <w:sz w:val="1"/>
                <w:szCs w:val="1"/>
                <w:color w:val="auto"/>
              </w:rPr>
            </w:pPr>
          </w:p>
        </w:tc>
      </w:tr>
      <w:tr>
        <w:trPr>
          <w:trHeight w:val="257"/>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193,529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192,213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521,602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500,794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959,148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941,593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2nd Quarter 2019 Overview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Natural gas operations highlights:</w:t>
      </w:r>
    </w:p>
    <w:p>
      <w:pPr>
        <w:spacing w:after="0" w:line="131"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34,000 net new customers (1.7% growth rate) during the last 12 months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income improved $1.4 million from returns on Company-Owned Life Insurance policies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for preapproval to expand service into Spring Creek, Nevada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$57 million Arizona general rate case filed in May 2019</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Utility infrastructure services highlights:</w:t>
      </w:r>
    </w:p>
    <w:p>
      <w:pPr>
        <w:spacing w:after="0" w:line="131"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increased $59.1 million (including $56.7 million from Linetec)</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2nd quarter 2018 revenues included a $9 million settlement of a water pipe replacement project contract dispute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expense includes an incremental $6 million due to the Linetec acquisition</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1"/>
              </w:rPr>
              <w:t>June 30, 2019</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10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4"/>
              </w:rPr>
              <w:t>2018</w:t>
            </w: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258,711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275,679</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65,182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83,466</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193,529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192,213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104,991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105,208</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49,343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47,664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14,666</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24,675</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23,345</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20,149</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2,432</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57"/>
        </w:trPr>
        <w:tc>
          <w:tcPr>
            <w:tcW w:w="60" w:type="dxa"/>
            <w:vAlign w:val="bottom"/>
          </w:tcPr>
          <w:p>
            <w:pPr>
              <w:spacing w:after="0"/>
              <w:rPr>
                <w:sz w:val="22"/>
                <w:szCs w:val="22"/>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2,622</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Contribution from natural gas operations to consolidated net income increased $747,000 between the second quarters of 2019 and 2018. The increase was primarily due to higher operating margin and Other income, partially offset by an increase in Depreciation and amortization and Net interest deductions.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increased a net $1 million. Approximately $2 million of incremental margin was attributable to customer growth, as 34,000 net new customers were added during the last twelve months. Rate relief primarily in California and Nevada also added $2 million in incremental operating margin in the current period. Offsetting these increases were the regulatory impacts of tax reform and the effect of regulatory surcharges, including the return of greenhouse gas cap and trade revenue proceeds to California customers through a climate credit, which are offset against Depreciation and amortization expense.</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and maintenance expense remained relatively flat between periods as higher general cost increases were offset by decreases in pension and medical costs.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$1.7 million, or 4%, between quarters primarily due to a $579 million, or 9%, increase in average gas plant in service for the current quarter as compared to the corresponding quarter a year ago, offset by the impact of regulatory program amortization, including the climate credit indicated above. The increase in gas plant was attributable to pipeline capacity reinforcement work, franchise requirements, scheduled and accelerated pipe replacement activities, and new infrastructure.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(deductions) improved $3.7 million between quarters primarily due to an increase in income from company-owned life insurance (“COLI”) policies. The current quarter reflects a $3.4 million increase in COLI policy cash surrender values and recognized death benefits, while the prior-year quarter reflected $2 million of COLI-related income. Additionally, the non-service cost components of employee pension and other postretirement benefits improved $1.5 million between quarters.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$3.2 million in the second quarter of 2019, as compared to the prior-year quarter, primarily due to the issuance of $300 million of senior notes in May 2019, higher borrowings outstanding under the revolving credit and term-loan facility leading up to the issuance of the senior notes, and the impacts of carrying costs on regulatory liability account balances.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4"/>
              </w:rPr>
              <w:t>June 30, 2019</w:t>
            </w:r>
          </w:p>
        </w:tc>
      </w:tr>
      <w:tr>
        <w:trPr>
          <w:trHeight w:val="20"/>
        </w:trPr>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7640" w:type="dxa"/>
            <w:vAlign w:val="bottom"/>
            <w:gridSpan w:val="5"/>
          </w:tcPr>
          <w:p>
            <w:pPr>
              <w:spacing w:after="0"/>
              <w:rPr>
                <w:sz w:val="20"/>
                <w:szCs w:val="20"/>
                <w:color w:val="auto"/>
              </w:rPr>
            </w:pPr>
            <w:r>
              <w:rPr>
                <w:rFonts w:ascii="Arial" w:cs="Arial" w:eastAsia="Arial" w:hAnsi="Arial"/>
                <w:sz w:val="18"/>
                <w:szCs w:val="18"/>
                <w:color w:val="auto"/>
              </w:rPr>
              <w:t>Six-Month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114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14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4"/>
              </w:rPr>
              <w:t>2018</w:t>
            </w:r>
          </w:p>
        </w:tc>
      </w:tr>
      <w:tr>
        <w:trPr>
          <w:trHeight w:val="237"/>
        </w:trPr>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779,388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769,992</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257,786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269,198</w:t>
            </w:r>
          </w:p>
        </w:tc>
      </w:tr>
      <w:tr>
        <w:trPr>
          <w:trHeight w:val="27"/>
        </w:trPr>
        <w:tc>
          <w:tcPr>
            <w:tcW w:w="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521,602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500,794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210,533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207,398</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106,955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97,625</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31,332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29,923</w:t>
            </w:r>
          </w:p>
        </w:tc>
      </w:tr>
      <w:tr>
        <w:trPr>
          <w:trHeight w:val="27"/>
        </w:trPr>
        <w:tc>
          <w:tcPr>
            <w:tcW w:w="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172,782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165,848</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(6,697)</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46,444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39,404</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133,876</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119,747</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27,118</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26,776</w:t>
            </w:r>
          </w:p>
        </w:tc>
      </w:tr>
      <w:tr>
        <w:trPr>
          <w:trHeight w:val="257"/>
        </w:trPr>
        <w:tc>
          <w:tcPr>
            <w:tcW w:w="60" w:type="dxa"/>
            <w:vAlign w:val="bottom"/>
          </w:tcPr>
          <w:p>
            <w:pPr>
              <w:spacing w:after="0"/>
              <w:rPr>
                <w:sz w:val="22"/>
                <w:szCs w:val="22"/>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106,758</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92,971</w:t>
            </w:r>
          </w:p>
        </w:tc>
      </w:tr>
      <w:tr>
        <w:trPr>
          <w:trHeight w:val="20"/>
        </w:trPr>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Contribution from natural gas operations to consolidated net income increased $13.8 million between the first six months of 2019 and 2018. The increase was primarily due to rate relief, customer growth, and higher Other income, partially offset by increases in Operations and maintenance expense, Depreciation and amortization, and Net interest deductions.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margin increased $21 million, including a $6 million increase attributable to customer growth. Rate relief primarily in California and Nevada added an additional $6 million in operating margin. In addition, regulatory surcharge recoveries, including those for California public purpose and energy efficiency programs, were higher in the current period, but were partially offset by the climate credit returned to California customers during the second quarter of 2019. Other changes in operating margin included miscellaneous revenues and margin from customers outside the decoupling mechanisms, and reductions for the regulatory impacts of U.S. tax reform in the current period, consisting of $4.7 million during the first quarter of 2019 in Arizona and $2.9 million reserved during the first six months of 2019 related to California.</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and maintenance expense increased $3.1 million between periods. Higher pipeline integrity management and damage prevention programs and other general cost increases were mitigated by decreases in pension and medical costs between periods.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$9.3 million, or 10%, between periods primarily due to a $552 million, or 8%, increase in average gas plant in service for the period as compared to the corresponding period a year ago. The increase in gas plant was attributable to pipeline capacity reinforcement work, franchise requirements, scheduled and accelerated pipe replacement activities, and new infrastructure. Regulatory account amortizations, notably from California Public Purpose and environmental programs, were higher in the current period.</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(deductions) improved $14.2 million between periods primarily due to an increase in income from COLI policies. The current period reflects an $11 million increase in COLI policy cash surrender values and net death benefits, while the prior-year period reflected $1.3 million of COLI-related income. The non-service cost components of employee pension and other postretirement benefits improved $3 million between periods.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$7 million between periods, primarily due to the issuance of $300 million of senior notes in March 2018 and issuance of $300 million of senior notes in May 2019, in addition to higher interest rates and borrowings outstanding under the revolving credit and term-loan facility throughout much of the current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6"/>
              </w:rPr>
              <w:t>June 30, 2019</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2"/>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Twelve Months Ended</w:t>
            </w:r>
          </w:p>
        </w:tc>
        <w:tc>
          <w:tcPr>
            <w:tcW w:w="116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60" w:type="dxa"/>
            <w:vAlign w:val="bottom"/>
            <w:gridSpan w:val="3"/>
          </w:tcPr>
          <w:p>
            <w:pPr>
              <w:jc w:val="center"/>
              <w:ind w:left="630"/>
              <w:spacing w:after="0"/>
              <w:rPr>
                <w:sz w:val="20"/>
                <w:szCs w:val="20"/>
                <w:color w:val="auto"/>
              </w:rPr>
            </w:pPr>
            <w:r>
              <w:rPr>
                <w:rFonts w:ascii="Arial" w:cs="Arial" w:eastAsia="Arial" w:hAnsi="Arial"/>
                <w:sz w:val="18"/>
                <w:szCs w:val="18"/>
                <w:color w:val="auto"/>
                <w:w w:val="86"/>
              </w:rPr>
              <w:t>June 30,</w:t>
            </w:r>
          </w:p>
        </w:tc>
        <w:tc>
          <w:tcPr>
            <w:tcW w:w="116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84"/>
              </w:rPr>
              <w:t>2018</w:t>
            </w: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1"/>
              </w:rPr>
              <w:t>(Thousands of dollars)</w:t>
            </w:r>
          </w:p>
        </w:tc>
        <w:tc>
          <w:tcPr>
            <w:tcW w:w="116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1,367,124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1,349,536</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407,976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407,943</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959,148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941,593</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407,948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397,251</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201,146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192,098</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61,307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58,590</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288,747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293,654</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(9,036)</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88,780</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74,936</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196,962</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209,682</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46,353</w:t>
            </w:r>
          </w:p>
        </w:tc>
      </w:tr>
      <w:tr>
        <w:trPr>
          <w:trHeight w:val="257"/>
        </w:trPr>
        <w:tc>
          <w:tcPr>
            <w:tcW w:w="60" w:type="dxa"/>
            <w:vAlign w:val="bottom"/>
          </w:tcPr>
          <w:p>
            <w:pPr>
              <w:spacing w:after="0"/>
              <w:rPr>
                <w:sz w:val="22"/>
                <w:szCs w:val="22"/>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152,629</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163,329</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to consolidated net income from natural gas operations decreased by $10.7 million between the twelve-month periods ended June 2019 and June 2018. The decrease was primarily due to higher Operations and maintenance expense, Net interest deductions, and Depreciation and amortization expense, partially offset by rate relief and higher Other income.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$18 million between periods. Customer growth provided $11 million and combined rate relief primarily in Nevada and California provided $7 million of incremental operating margin. Other, mostly offsetting, impacts resulted from recoveries of regulatory assets, infrastructure replacement mechanisms, customers outside the decoupling mechanisms, and other miscellaneous revenues, as well as the regulatory impacts of U.S. tax reform and California climate credits.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and maintenance expense increased $10.7 million, or 3% between periods primarily due to higher general costs and expenditures for pipeline damage prevention programs.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increased $9 million, or 5%, between periods primarily due to a $520 million, or 8%, increase in average gas plant in service for the current period as compared to the prior period. The expense increase reflects an offsetting reduction in regulatory amortization between periods, including the impacts of climate credits returned to California customers.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Taxes other than income taxes increased $2.7 million, or 5%, between periods primarily due to higher property taxes associated with net plant additions.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(deductions) improved $6 million between the twelve-month periods ended June 2019 and June 2018 primarily due to higher interest income and over $3 million related to the equity component of the allowance for funds used during construction (“AFUDC”) as a result of increased construction expenditures and higher AFUDC rates. Additionally, the non-service cost components of employee pension and other postretirement benefits improved in the current period by $2 million.</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$13.8 million between periods primarily due to higher interest associated with the issuance of $300 million of senior notes in March 2018 and $300 million of senior notes in May 2019, in addition to higher interest rates and average outstanding balances under Southwest’s credit facility.</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1"/>
              </w:rPr>
              <w:t>June 30, 2019</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4"/>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10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4"/>
              </w:rPr>
              <w:t>2018</w:t>
            </w: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454,300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395,204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402,199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352,671</w:t>
            </w:r>
          </w:p>
        </w:tc>
      </w:tr>
      <w:tr>
        <w:trPr>
          <w:trHeight w:val="243"/>
        </w:trPr>
        <w:tc>
          <w:tcPr>
            <w:tcW w:w="60" w:type="dxa"/>
            <w:vAlign w:val="bottom"/>
          </w:tcPr>
          <w:p>
            <w:pPr>
              <w:spacing w:after="0"/>
              <w:rPr>
                <w:sz w:val="21"/>
                <w:szCs w:val="21"/>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20,999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13,643</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28,890</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27,168</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24,950</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5,714</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19,694</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19,236</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18,918</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19,236</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2018, Centuri acquired Linetec. The table above, therefore, includes results for Linetec only in the 2019 period, including $56.7 million of revenue and $3.1 million of net income attributable to Linetec during the three months ended June 30, 2019.</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revenues increased $59.1 million in the second quarter of 2019 when compared to the prior-year quarter, primarily due to the incremental revenues contributed by Linetec. In addition, revenue increased due to a higher volume of pipe replacement work under existing master services agreements and bid contracts, primarily in the eastern regions of the United States and in Canada. Revenue for 2018 included a $9 million negotiated settlement of an outstanding contract dispute associated with a water pipe replacement project.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Utility infrastructure services expenses increased $49.5 million in the second quarter of 2019 when compared to the prior-year quarter due primarily to $45.1 million of Linetec expenses and costs to complete additional pipe replacement work in the current-year quarter.</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$7.4 million between quarters. Approximately $6 million of the increase was attributable to the Linetec acquisition, including amortization of finite-lived intangible assets and depreciation of property and equipment of $1.2 million and $4.8 million, respectively, for the second quarter 2019. The remaining increase in depreciation was attributable to additional equipment purchased to support the growing volume of work being performed.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4"/>
              </w:rPr>
              <w:t>June 30, 2019</w:t>
            </w:r>
          </w:p>
        </w:tc>
      </w:tr>
      <w:tr>
        <w:trPr>
          <w:trHeight w:val="20"/>
        </w:trPr>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7640" w:type="dxa"/>
            <w:vAlign w:val="bottom"/>
            <w:gridSpan w:val="5"/>
          </w:tcPr>
          <w:p>
            <w:pPr>
              <w:spacing w:after="0"/>
              <w:rPr>
                <w:sz w:val="20"/>
                <w:szCs w:val="20"/>
                <w:color w:val="auto"/>
              </w:rPr>
            </w:pPr>
            <w:r>
              <w:rPr>
                <w:rFonts w:ascii="Arial" w:cs="Arial" w:eastAsia="Arial" w:hAnsi="Arial"/>
                <w:sz w:val="18"/>
                <w:szCs w:val="18"/>
                <w:color w:val="auto"/>
              </w:rPr>
              <w:t>Six-Month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114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14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4"/>
              </w:rPr>
              <w:t>2018</w:t>
            </w:r>
          </w:p>
        </w:tc>
      </w:tr>
      <w:tr>
        <w:trPr>
          <w:trHeight w:val="237"/>
        </w:trPr>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767,162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655,221</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702,664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611,623</w:t>
            </w:r>
          </w:p>
        </w:tc>
      </w:tr>
      <w:tr>
        <w:trPr>
          <w:trHeight w:val="243"/>
        </w:trPr>
        <w:tc>
          <w:tcPr>
            <w:tcW w:w="60" w:type="dxa"/>
            <w:vAlign w:val="bottom"/>
          </w:tcPr>
          <w:p>
            <w:pPr>
              <w:spacing w:after="0"/>
              <w:rPr>
                <w:sz w:val="21"/>
                <w:szCs w:val="21"/>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40,926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26,160</w:t>
            </w:r>
          </w:p>
        </w:tc>
      </w:tr>
      <w:tr>
        <w:trPr>
          <w:trHeight w:val="27"/>
        </w:trPr>
        <w:tc>
          <w:tcPr>
            <w:tcW w:w="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17,438</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6,504</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17,244</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10,565</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3,127</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12,238</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7,438</w:t>
            </w:r>
          </w:p>
        </w:tc>
      </w:tr>
      <w:tr>
        <w:trPr>
          <w:trHeight w:val="27"/>
        </w:trPr>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57"/>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10,887</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8,235</w:t>
            </w:r>
          </w:p>
        </w:tc>
      </w:tr>
      <w:tr>
        <w:trPr>
          <w:trHeight w:val="20"/>
        </w:trPr>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2018, Centuri acquired Linetec. The table above, therefore, includes results for Linetec only in the 2019 period, including $104.3 million of revenue and $5.4 million of net income attributable to Linetec during the first six months of 2019.</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Utility infrastructure services revenues increased $111.9 million during the first six months of 2019 when compared to the same period in the prior year, primarily due to the incremental revenues contributed by Linetec. In addition, revenue increased due to a higher volume of pipe replacement work under new and existing blanket and bid contracts, primarily in the eastern regions of the United States and in Canada.</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expenses increased $91 million during the first six months of 2019 when compared to the same prior-year period due to $83.1 million of Linetec expenses and costs to complete additional pipe replacement work, in addition to higher labor and equipment costs incurred to complete work during inclement weather conditions in the current period. Partially offsetting these increases were reductions in direct construction costs from changes in the mix of work with certain customers in the current year.</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$14.8 million between periods. Approximately $11.8 million of the increase is due to the Linetec acquisition, including amortization of finite-lived intangible assets and depreciation of property and equipment of $2.1 million and $9.7 million, respectively, in the current period. The remaining increase in depreciation was attributable to additional equipment purchased to support the growing volume of work being performed.</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6"/>
              </w:rPr>
              <w:t>June 30, 2019</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Twelve Months Ended</w:t>
            </w:r>
          </w:p>
        </w:tc>
        <w:tc>
          <w:tcPr>
            <w:tcW w:w="116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360" w:type="dxa"/>
            <w:vAlign w:val="bottom"/>
            <w:gridSpan w:val="3"/>
          </w:tcPr>
          <w:p>
            <w:pPr>
              <w:jc w:val="center"/>
              <w:ind w:left="630"/>
              <w:spacing w:after="0"/>
              <w:rPr>
                <w:sz w:val="20"/>
                <w:szCs w:val="20"/>
                <w:color w:val="auto"/>
              </w:rPr>
            </w:pPr>
            <w:r>
              <w:rPr>
                <w:rFonts w:ascii="Arial" w:cs="Arial" w:eastAsia="Arial" w:hAnsi="Arial"/>
                <w:sz w:val="18"/>
                <w:szCs w:val="18"/>
                <w:color w:val="auto"/>
                <w:w w:val="86"/>
              </w:rPr>
              <w:t>June 30,</w:t>
            </w:r>
          </w:p>
        </w:tc>
        <w:tc>
          <w:tcPr>
            <w:tcW w:w="116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84"/>
              </w:rPr>
              <w:t>2018</w:t>
            </w: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91"/>
              </w:rPr>
              <w:t>(Thousands of dollars)</w:t>
            </w:r>
          </w:p>
        </w:tc>
        <w:tc>
          <w:tcPr>
            <w:tcW w:w="1160" w:type="dxa"/>
            <w:vAlign w:val="bottom"/>
            <w:tcBorders>
              <w:top w:val="single" w:sz="8" w:color="auto"/>
            </w:tcBorders>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1,634,226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1,409,263</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1,478,730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1,296,629</w:t>
            </w:r>
          </w:p>
        </w:tc>
      </w:tr>
      <w:tr>
        <w:trPr>
          <w:trHeight w:val="243"/>
        </w:trPr>
        <w:tc>
          <w:tcPr>
            <w:tcW w:w="60" w:type="dxa"/>
            <w:vAlign w:val="bottom"/>
          </w:tcPr>
          <w:p>
            <w:pPr>
              <w:spacing w:after="0"/>
              <w:rPr>
                <w:sz w:val="21"/>
                <w:szCs w:val="21"/>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72,162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52,078</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60,556</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14,412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11,357</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69,451</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48,927</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20,299</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4,364</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49,152</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44,563</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57"/>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47,629</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45,213</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Results for Linetec have been included in the table above during the period following the November 2018 acquisition date, including $118.4 million of revenue and $6.1 million of net income reflected in the twelve-month period ended in June 2019. Furthermore, in November 2017, Centuri acquired Neuco. Results for Neuco have been included following its acquisition date, including $155.8 million and $65.4 million of revenue, and $21.5 million and $5.2 million of net income, in each case, respectively, during the comparative twelve-month periods ended in June 2019 and 2018.</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Utility infrastructure services revenues increased $225 million overall in the twelve-month period ended June 2019 compared to the twelve-month period ended June 2018, primarily due to the combined $208.8 million in incremental revenue noted above for Linetec and Neuco. In addition, revenue increased due to higher volume of pipe replacement work under new and existing blanket and bid contracts, primarily in the central United States, and certain non-routine projects (including customer-requested support during strike-related and emergency response situations primarily in the second half of 2018).</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for the twelve-month period in 2018 included a $9 million negotiated settlement of an outstanding contract dispute from 2017 associated with a water pipe replacement project.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expenses increased $182.1 million between periods, primarily due to related expenses for Linetec and Neuco of $93.2 million and $50.2 million, respectively, and additional replacement work and higher labor-related operating expenses to support growth in operations. Net gains on sale of equipment (reflected as an offset to Utility infrastructure services expenses) were $2.3 million and $3 million for the twelve-month periods of 2019 and 2018, respectively.</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$20.1 million between the current and prior-year periods. The increase was attributable to the incremental depreciation and amortization related to certain tangible and intangible assets recognized as a result of the Linetec and Neuco acquisitions, as well as increased depreciation on additional property and equipment purchased to support the growing volume of work being performed.</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$3.1 million between periods due primarily to interest expense and amortization of debt issuance costs associated with incremental borrowings under the $590 million secured revolving credit and term loan facility (primarily related to the Neuco and Linetec acquisitions), partially offset by lower borrowing rates on variable rate debt.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during the twelve-month period ending June 30, 2018 was favorably impacted by approximately $12 million of one-time tax benefits related to the remeasurement of Centuri’s deferred tax liabilities when U.S. tax reform was enacted in December 2017.</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cash flows of Southwest. Management has worked with its regulatory commissions in designing rate structures that strive to provide affordable and reliable service to its customers while mitigating the volatility in prices to customers and stabilizing returns to investors. Such rate structures were in place in all of Southwest’s operating areas during all periods for which results of natural gas operations are disclosed above.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On May 1, 2019, Southwest filed a general rate case application to update the cost of service to reflect recent U.S. tax reform</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including the return to customers of approximately $20.6 million of excess deferred income taxes, and capital investments of approximately $670 million, including post-test year additions, which include the southern Arizona LNG facility discussed below. Overall, the request includes an increase in revenue of approximately $57 million, including a proposed 10.3% return on equity relative to a capital structure of 51.1% equity. The request also includes the retention of a fully decoupled rate design, other previously approved regulatory mechanisms, and a new infrastructure tracking mechanism for specific plastic pipe. The request includes a proposal for a renewable natural gas program that authorizes Southwest to purchase renewable natural gas for its customers and to recover the cost as part of its purchased gas adjustment mechanism. A hearing in this matter is anticipated during the first quarter of 2020.</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annual Delivery Charge Adjustment (“DCA”) is filed each April, which along with other reporting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contemplates a rate to recover the over- or under-collected margin tracker amounts based on the balance at the end of the preceding calendar year. The DCA that was filed in April 2018 reflected the December 31, 2017 balance of approximately $40 million. Following a brief administrative delay, Southwest updated its request to instead include the balance at December 31, 2018 of $73 million. The ACC approved a surcharge to recover approximately $69 million, the difference of which relates to a one-time modification to reflect one-time benefits attributable to the impact of recent landmark U.S. tax reform on the decoupled balance existing at the enactment date of such reform. The updated rate became effective in May 2019.</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February 2018, the ACC directed all Arizona utilities to address tax savings from the enactment of U.S. tax reform beginning January 1, 2018,</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one of various means. In April 2018, Southwest filed an application with the ACC, requesting approval for a tax refund process or, in the alternative, the authority to file a general rate case to reflect tax reform. Ultimately, Southwest was instructed to refund customers a one-time credit to reflect the tax savings from January through July 2018, effective with Southwest’s August 2018 billing cycles. In addition, effective August 2018, per-therm surcredits were established and are effective until new cost-of-service rates are implemented following the conclusion of the general rate case filed in May 2019. These undertakings are expected to refund $20 million annually, as compared to rate levels established in the previously concluded general rate case effective April 2017. Through June 2019, Southwest has reflected relevant proportional amounts associated with the annualized $20 million as a reduction in revenue and is tracking monthly differences between amounts expected to be returned and amounts actually returned to customers, which has resulted in a liability balance of approximately $200,000 as of June 30, 2019. See related discussion above with regard to the DCA.</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Liquefied Natural Gas (“LNG”) Facility</w:t>
      </w:r>
      <w:r>
        <w:rPr>
          <w:rFonts w:ascii="Arial" w:cs="Arial" w:eastAsia="Arial" w:hAnsi="Arial"/>
          <w:sz w:val="17"/>
          <w:szCs w:val="17"/>
          <w:color w:val="auto"/>
        </w:rPr>
        <w:t>. In January 2014, Southwest filed an application with the ACC seeking preapproval to construct,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a 233,000 dekatherm LNG facility in southern Arizona. This facility is intended to enhance service reliability and flexibility related to natural gas deliveries in the southern Arizona area by providing a local storage option, to be operated by Southwest and connected directly to its distribution system. A modified ACC order in December 2016, following land purchase and bid solicitation for the engineering, procurement, and construction of the facility, granted approval for construction and deferral of costs not to exceed $80 million. Construction began during the third quarter of 2017 and is currently in the testing phase. It is expected to be completed and available for use during the winter of 2019/2020. Through June 2019, Southwest has incurred approximately $68 million in capital expenditures toward the project (including land acquisition costs).</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received approval, in connection with its 2010 Arizona general rate case, to implement a program to conduct leak surveys, and if</w:t>
      </w:r>
      <w:r>
        <w:rPr>
          <w:rFonts w:ascii="Arial" w:cs="Arial" w:eastAsia="Arial" w:hAnsi="Arial"/>
          <w:sz w:val="17"/>
          <w:szCs w:val="17"/>
          <w:i w:val="1"/>
          <w:iCs w:val="1"/>
          <w:color w:val="auto"/>
        </w:rPr>
        <w:t xml:space="preserve"> </w:t>
      </w:r>
      <w:r>
        <w:rPr>
          <w:rFonts w:ascii="Arial" w:cs="Arial" w:eastAsia="Arial" w:hAnsi="Arial"/>
          <w:sz w:val="17"/>
          <w:szCs w:val="17"/>
          <w:color w:val="auto"/>
        </w:rPr>
        <w:t>leaks were present, to replace and relocate service lines and meters for Arizona customers whose meters were set off from the customer’s home, representing a non-traditional configuration. “Phase II” of the COYL program included the replacement of non-leaking COYLs. The surcharge is revised annually as the program progresses. In the annual filing made in February 2019, Southwest requested to increase its surcharge revenue by $3.2 million (to $6.7 million overall) related to the revenue requirement associated with $26.6 million in capital projects completed under both phases during 2018. The Commission Staff issued a report and recommendation to the ACC that the COYL program, including the pending request, be reviewed in conjunction with Southwest’s pending general rate case, resolution of which is expected in the second quarter of 2020.</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Vintage Steel Pipe (“VSP”) Program. </w:t>
      </w:r>
      <w:r>
        <w:rPr>
          <w:rFonts w:ascii="Arial" w:cs="Arial" w:eastAsia="Arial" w:hAnsi="Arial"/>
          <w:sz w:val="16"/>
          <w:szCs w:val="16"/>
          <w:color w:val="auto"/>
        </w:rPr>
        <w:t>Southwest received approval, in connection with its 2016 Arizona general rate case, to implement a VSP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Southwest currently has approximately 6,000 miles of pre-1970s vintage steel pipe in Arizona. Southwest proposed to start replacing the pipe on an accelerated basis and to recover the costs through an annual surcharge filing that is made in February of each year. The surcharge is designed to be revised annually as the program progresses. Southwest replaced approximately 119 miles of vintage steel pipe during 2018 totaling approximately $100 million, and is targeting a similar amount for projects during 2019. In the February 2019 VSP filing, Southwest requested to increase its surcharge revenue by $9.5 million (to $11.9 million) related to 2018 expenditures. The Commission Staff issued a report and recommendation to the ACC that the VSP program, including the pending request, be reviewed in conjunction with Southwest’s pending general rate case, resolution of which is expected in the second quarter of 2020.</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Southwest is embarking on an initiative to replace both its customer service system and gas transaction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collectively referred to as the Customer Data Modernization Initiative (the “CDMI”). In March 2019, Southwest filed an application with the ACC seeking an accounting order which, if approved, would authorize Southwest to track and defer all costs associated with the CDMI to mitigate adverse financial implications associated with this significant multi-year project. Total cost for the CDMI is estimated at $174 million, approximately $96 million of which would be allocable to the Arizona rate jurisdiction. The initiative is currently expected to be completed during the third quarter of 2021. Resolution of this request is expected before the end of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California General Rate Case. </w:t>
      </w:r>
      <w:r>
        <w:rPr>
          <w:rFonts w:ascii="Arial" w:cs="Arial" w:eastAsia="Arial" w:hAnsi="Arial"/>
          <w:sz w:val="17"/>
          <w:szCs w:val="17"/>
          <w:color w:val="auto"/>
        </w:rPr>
        <w:t>As part of the most recent Southwest general rate case application, with rates effective June 2014, the CPUC authorized an</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revenue increase of $7.1 million, a Post-Test Year (“PTY”) Ratemaking Mechanism, which allowed for attrition increases of 2.75% annually for 2015 to 2018, a depreciation reduction as requested, a limited COYL inspection program for schools, and an Infrastructure Reliability and Replacement Adjustment Mechanism (“IRRAM”) to recover the costs associated with the new limited COYL program. The CPUC decision also provided for a two-way pension balancing account to track differences between authorized and actual pension funding amounts.</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2016, Southwest filed to modify the most recent general rate case decision to extend the current rate case cycle by two years, including extension of the annual 2.75% PTY attrition adjustments for 2019 and 2020, which was approved by the CPUC in June 2017. Southwest expects to file a general rate case application in the third quarter of 2019.</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In its 2017 decision approving Southwest’s request to extend the filing date of its next general rate case, the CPUC also directed Southwest to</w:t>
      </w:r>
      <w:r>
        <w:rPr>
          <w:rFonts w:ascii="Arial" w:cs="Arial" w:eastAsia="Arial" w:hAnsi="Arial"/>
          <w:sz w:val="18"/>
          <w:szCs w:val="18"/>
          <w:i w:val="1"/>
          <w:iCs w:val="1"/>
          <w:color w:val="auto"/>
        </w:rPr>
        <w:t xml:space="preserve"> </w:t>
      </w:r>
      <w:r>
        <w:rPr>
          <w:rFonts w:ascii="Arial" w:cs="Arial" w:eastAsia="Arial" w:hAnsi="Arial"/>
          <w:sz w:val="18"/>
          <w:szCs w:val="18"/>
          <w:color w:val="auto"/>
        </w:rPr>
        <w:t>track income tax expenses resulting from mandatory or elective changes in tax law, procedure, or policy. The purpose is to identify differences between Southwest’s authorized income tax expenses and its actual incurred income tax expenses, the result of which would be reviewed in Southwest’s next general rate case. Through the second quarter of 2019, Southwest reflected $2.9 million as a reserve for amounts attributable to the impact of U.S. tax reform on the ratemaking revenue requirement. Southwest does not currently anticipate making an ad hoc filing in advance of the next general rate case filing to implement rate changes resulting from U.S. tax reform.</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2018, Southwest made its latest annual PTY attrition filing, requesting annual revenue increases of $2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$542,000 in northern California, and $271,000 for South Lake Tahoe. This filing was approved in December 2018 and rates were made effective in January 2019. At the same time, rates were updated to recover the regulatory asset associated with the revenue decoupling mechanism, or margin tracker.</w:t>
      </w:r>
    </w:p>
    <w:p>
      <w:pPr>
        <w:spacing w:after="0" w:line="3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Greenhouse Gas (“GHG”) Compliance. </w:t>
      </w:r>
      <w:r>
        <w:rPr>
          <w:rFonts w:ascii="Arial" w:cs="Arial" w:eastAsia="Arial" w:hAnsi="Arial"/>
          <w:sz w:val="17"/>
          <w:szCs w:val="17"/>
          <w:color w:val="auto"/>
        </w:rPr>
        <w:t>C</w:t>
      </w:r>
      <w:r>
        <w:rPr>
          <w:rFonts w:ascii="Arial" w:cs="Arial" w:eastAsia="Arial" w:hAnsi="Arial"/>
          <w:sz w:val="16"/>
          <w:szCs w:val="16"/>
          <w:color w:val="auto"/>
        </w:rPr>
        <w:t>alifornia Assembly Bill Number 32 and the regulations promulgated by the California Air Resources Board,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directed the adoption of an allocation methodology to distribute the revenue proceeds through a California Climate Credit to active residential customers in April of each year, following</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initial required credits in October 2018. GHG compliance costs recovered through rates (including transportation customer rates) have no impact on earnings overall.</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As discussed above for Arizona, Southwest is embarking on an initiative to replace both its customer service system</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gas transaction system, collectively referred to as its CDMI. On April 26, 2019, Southwest filed an application with the CPUC seeking authority to establish a two-way, interest bearing balancing account to record costs associated with the CDMI to mitigate adverse financial implications associated with this significant multi-year project. Total cost for the CDMI is estimated at $174 million, approximately $19 million of which would be allocable to the California rate jurisdiction. Resolution of this request is expected in the first quarter of 2020.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Southwest filed its most recent general rate case with the PUCN in May 2018 and updated the request following the 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in July 2018. The filing requested a statewide overall revenue increase of approximately $29.7 million.</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PUCN issued a rate case decision in December 2018, which authorized a return on equity (“ROE”) of 9.25% relative to the Company’s proposed capital structure of 49.66% equity applicable to both southern and northern Nevada and provided for an overall revenue increase of $9.5 million in southern Nevada and a revenue decrease in northern Nevada of $2 million. New rates associated with the PUCN’s decision became effective in January 2019.</w:t>
      </w:r>
    </w:p>
    <w:p>
      <w:pPr>
        <w:spacing w:after="0" w:line="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rate relief was lower than the amounts requested due to several factors, including the 9.25% granted return on equity, as opposed to a requested 10.3%, and the exclusion from rates at this time of costs attributable to several software applications, albeit allowing the Company to request recovery in its next general rate case filing. In response to the PUCN’s decision, management filed a Petition for Reconsideration (the “Petition”) of several rate case issues in January 2019. The PUCN Staff also filed a Petition for Reconsideration requesting several technical clarifications on the rate case decision with respect to how to calculate the intended results of the decision. The PUCN, in turn, issued a decision regarding both petitions in February 2019 that modified certain parts of the original order, but granted no further rate relief. The modified final decision resulted in a revenue increase of $9.2 million in southern Nevada and a revenue decrease in northern Nevada of $2.1 million. The decision included a reduction in depreciation expense of $800,000 and overall, resulted in a net increase in revenues of $7.1 million and an increase in operating income of $7.9 million. The resulting modified rates became effective March 2019. Management decided to seek judicial review of the Commission’s rate order, the resolution of which is expected by the end of 2019.</w:t>
      </w:r>
    </w:p>
    <w:p>
      <w:pPr>
        <w:spacing w:after="0" w:line="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General Revenues Adjustment. </w:t>
      </w:r>
      <w:r>
        <w:rPr>
          <w:rFonts w:ascii="Arial" w:cs="Arial" w:eastAsia="Arial" w:hAnsi="Arial"/>
          <w:sz w:val="16"/>
          <w:szCs w:val="16"/>
          <w:color w:val="auto"/>
        </w:rPr>
        <w:t>As part of the Annual Rate Adjustment (“ARA”) filing in 2018, the PUCN authorized rate adjustments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Revenues Adjustment (“GRA”), to recover $5.6 million from customers during 2019. The continuation of the GRA was affirmed as part of the December 2018 rate case decision. While there is no impact to net income overall from this rate adjustment, operating cash flows will increase as the associated regulatory asset balance is recovered. In June 2019, Southwest made its 2019 ARA filing in which it requested to update the GRA to reflect the current over-collected balances in both southern and northern Nevada. The proposal would provide a decrease in cash flows of approximately $8 million in southern Nevada and an increase of approximately $2 million in northern Nevada, but have no impact to operating margin or earnings overall. Proposed changes related to the 2019 ARA will be considered by the Commission during the fourth quarter 2019, with rates effective January 2020.</w:t>
      </w:r>
    </w:p>
    <w:p>
      <w:pPr>
        <w:spacing w:after="0" w:line="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Infrastructure Replacement Mechanism. </w:t>
      </w:r>
      <w:r>
        <w:rPr>
          <w:rFonts w:ascii="Arial" w:cs="Arial" w:eastAsia="Arial" w:hAnsi="Arial"/>
          <w:sz w:val="16"/>
          <w:szCs w:val="16"/>
          <w:color w:val="auto"/>
        </w:rPr>
        <w:t>In 2014, the PUCN approved final rules for the GIR mechanism which defers and recovers certain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accelerated replacement of qualifying infrastructure that would not otherwise currently provide incremental revenues. Associated with the replacement of various types of pipe infrastructure under the mechanism (Early Vintage Plastic Pipe (“EVPP”), COYL, and VSP), generally on an annual basis, Southwest files a GIR “Advance Application” in May and a “Rate Application,” generally in October. In June 2018, Southwest filed its Advance Application requesting authorization to replace qualifying infrastructure with projects totaling $228 million to be completed over a three-year period (2019-2021), with a total annualized revenue requirement (following the three-year replacement period) of approximately $21.7 million. Historically, Southwest has requested approval of projects on an annual basis; however, it requested to move to a multi-year approval process for projects to improve operational flexibility and enhance coordination with contractors and governmental agencies. The PUCN issued a decision limiting its approval to the 2019 projects, resulting in an approval of $34.3 million for projects to be completed in 2019 (EVPP $9.3 million, COYL $1.3 million, and VSP $23.7 million).</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Rate Application is generally filed each October to reset the GIR recovery surcharge related to previously approved and completed projects, with new rates becoming effective each January. During the third quarter of 2018, management proposed to adjust the GIR surcharge rate as part of the rate case in lieu of filing a separate application, which was approved and implemented in January 2019. It is expected to result in incremental annual margin of approximately $6 million.</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Conservation and Energy Efficiency (“CEE”). </w:t>
      </w:r>
      <w:r>
        <w:rPr>
          <w:rFonts w:ascii="Arial" w:cs="Arial" w:eastAsia="Arial" w:hAnsi="Arial"/>
          <w:sz w:val="16"/>
          <w:szCs w:val="16"/>
          <w:color w:val="auto"/>
        </w:rPr>
        <w:t>The PUCN allows deferral (and later recovery) of approved conservation and energy efficiency costs, recovery</w:t>
      </w:r>
      <w:r>
        <w:rPr>
          <w:rFonts w:ascii="Arial" w:cs="Arial" w:eastAsia="Arial" w:hAnsi="Arial"/>
          <w:sz w:val="16"/>
          <w:szCs w:val="16"/>
          <w:i w:val="1"/>
          <w:iCs w:val="1"/>
          <w:color w:val="auto"/>
        </w:rPr>
        <w:t xml:space="preserve"> </w:t>
      </w:r>
      <w:r>
        <w:rPr>
          <w:rFonts w:ascii="Arial" w:cs="Arial" w:eastAsia="Arial" w:hAnsi="Arial"/>
          <w:sz w:val="16"/>
          <w:szCs w:val="16"/>
          <w:color w:val="auto"/>
        </w:rPr>
        <w:t>rates for which are adjusted in the annual rate adjustment filing. As part of the 2018 ARA filing, Southwest requested and received modified rates, effective January 2019, which are expected to result in annualized margin decreases of $4.1 million in southern Nevada and $58,000 in northern Nevada. There is, however, no anticipated impact to net income overall from these changes as amortization expense is reduced by approximately the same amounts. In June 2019, Southwest made its 2019 ARA filing which proposes annualized margin increases of $3.2 million and $880,000 in southern and northern Nevada, respectively. These changes, if approved, would have no impact on earnings overall as amounts would also be reflected in amortization expense. Proposed changes related to the 2019 ARA will be considered by the Commission during the fourth quarter 2019, with rates effective January 2020.</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to expand natural gas infrastructure to Mesquite, including a capital investment of approximately $28 million and the construction of approximately 37 miles of distribution pipeline (including the approach main). The cost is expected to be recovered through volumetric rates from all southern Nevada customers (including new customers in Mesquite). The annual revenue requirement associated with the project is approximately $2.8 million. Southwest conducted preliminary design work and began serving certain customers with an approved virtual pipeline network in February 2019, which provides temporary natural gas supply using portions of the approved distribution system and compressed natural gas tanks. It is estimated that permitting and construction of the approach main to bring the permanent supply to Mesquite and construction of the remaining approved distribution system could take approximately two years to complete.</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2019, Southwest filed for preapproval to construct the infrastructure necessary to expand natural gas service to Spring Creek, Nevada, and implement a cost recovery methodology to timely recover the associated revenue requirement consistent with the SB 151 regulations. Proposed expansion to the Spring Creek area near Elko, Nevada, consists of an approach main, two regulator stations, and interior backbone plus the extension of the distribution system from the interior backbone system. This area has a population of approximately 16,500, with approximately 20 percent of the existing 5,000 potential customers expressing interest in taking natural gas service, if available. The total capital investment is estimated to be $61.9 million. Economic feasibility would be subject to cost recovery afforded under the SB 151 regulations. Resolution of this request is expected in the first quarter of 2020.</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As indicated in the other jurisdictions, Southwest is embarking on an initiative to replace both its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gas transaction system, collectively referred to as the CDMI. In March 2019, Southwest filed a request seeking authority to establish a regulatory asset to defer the revenue requirement related to the CDMI to mitigate the financial attrition associated with this significant multi-year project. Of the total $174 million estimated cost of the CDMI, approximately $59 million would be allocable to the Nevada rate jurisdictions. Resolution of this request is expected before the end of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Energy Regulatory Commission (“FERC”) Jurisdiction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General Rate Case. </w:t>
      </w:r>
      <w:r>
        <w:rPr>
          <w:rFonts w:ascii="Arial" w:cs="Arial" w:eastAsia="Arial" w:hAnsi="Arial"/>
          <w:sz w:val="18"/>
          <w:szCs w:val="18"/>
          <w:color w:val="auto"/>
        </w:rPr>
        <w:t>Paiute Pipeline Company (“Paiute”), a wholly owned subsidiary of Southwest, filed a general rate case application with the FERC May</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to update the cost of service to reflect recent U.S. tax reform changes, capital investments and other changes in its cost of service since its last general rate case. The request includes an increase in revenue of approximately $7 million, including a proposed 14.84% return on equity relative to a hypothetical capital structure of 56% equity. Paiute is also proposing to continue its current rate structure for its customer categories. Paiute requested rates associated with this filing to be put in place July 1, 2019; however, the rate increase request was suspended until December 2019. It is not uncommon for suspension/delay to occur related to requests for increases, in order to permit the FERC time to review the proposed changes. Rate decreases associated with the Elko Incremental Facilities Charge; 2010 Expansion Incremental Facilities Surcharge; and the 2015 Elko Area Expansion Incremental Facilities Surcharge were placed into effect July 1, 2019.</w:t>
      </w:r>
    </w:p>
    <w:p>
      <w:pPr>
        <w:spacing w:after="0" w:line="84"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The FERC issued a Notice of Proposed Rulemaking (“NOPR”) on whether the federal income tax changes from U.S. tax reform cause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to no longer be just and reasonable. The NOPR provided for pipelines to file a FERC Form No. 501</w:t>
      </w:r>
      <w:r>
        <w:rPr>
          <w:rFonts w:ascii="MS PGothic" w:cs="MS PGothic" w:eastAsia="MS PGothic" w:hAnsi="MS PGothic"/>
          <w:sz w:val="16"/>
          <w:szCs w:val="16"/>
          <w:color w:val="auto"/>
        </w:rPr>
        <w:t>‑</w:t>
      </w:r>
      <w:r>
        <w:rPr>
          <w:rFonts w:ascii="Arial" w:cs="Arial" w:eastAsia="Arial" w:hAnsi="Arial"/>
          <w:sz w:val="16"/>
          <w:szCs w:val="16"/>
          <w:color w:val="auto"/>
        </w:rPr>
        <w:t>G to evaluate the impact of tax reform on their revenue requirement. In July 2018, the FERC issued a final rule (Order No. 849), effective in September 2018, adopting procedures for determining which jurisdictional pipelines may be collecting unjust and unreasonable rates in light of tax reform. Paiute filed its Form No. 501-G in the fourth quarter of 2018. Two of Paiute’s shippers requested that FERC evaluate Paiute’s rates and/or take action to ensure that Paiute’s customers are afforded the relief contemplated in Order No. 849. The FERC terminated Paiute’s 501</w:t>
      </w:r>
      <w:r>
        <w:rPr>
          <w:rFonts w:ascii="MS PGothic" w:cs="MS PGothic" w:eastAsia="MS PGothic" w:hAnsi="MS PGothic"/>
          <w:sz w:val="16"/>
          <w:szCs w:val="16"/>
          <w:color w:val="auto"/>
        </w:rPr>
        <w:t>‑</w:t>
      </w:r>
      <w:r>
        <w:rPr>
          <w:rFonts w:ascii="Arial" w:cs="Arial" w:eastAsia="Arial" w:hAnsi="Arial"/>
          <w:sz w:val="16"/>
          <w:szCs w:val="16"/>
          <w:color w:val="auto"/>
        </w:rPr>
        <w:t>G proceeding since Paiute filed its general rate case application on May 31,</w:t>
      </w: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2019. In November 2018, Southwest Gas Transmission Company (“SGTC”), also a FERC-regulated subsidiary of Southwest, filed an uncontested, prepackaged settlement in lieu of filing the FERC Form No. 501-G, with no material impacts overall. FERC issued an Order approving the settlement in December 2018, and new rates became effective in January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June 30, 2019, under-collections in northern and southern Nevada resulted in an asset of $58.2 million and over-collections in Arizona and California resulted in a liability of $89.7 million on the Company’s and Southwest’s Condensed Consolidated Balance Sheets. During the third quarter of 2018, a $49 million refund was received by Southwest from El Paso Natural Gas, L.L.C. (“EPNG”) as part of a rate case settlement, the majority of which related to Southwest’s transmission service into Arizona and resulted in the recognition of amounts received being payable to customers in association with Deferred purchased gas costs. This amount is included in the over-collected balance noted above. In October 2018, Southwest filed an application with the ACC requesting an alternate methodology for refunding the EPNG funds allocated to the Arizona rate jurisdiction customers, which would have involved offsetting sizable amounts receivable from Arizona customers under the DCA mechanism. This proposal was offered as an alternative to refunding the amounts through the PGA in order to provide administrative efficiency. Ultimately, the ACC considered the EPNG issue separately and approved, effective May 1, 2019, the return of the EPNG rate case settlement dollars as a special per-therm PGA credit, which is expected to be in place for approximately twelve months.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June 30, 2019</w:t>
            </w:r>
          </w:p>
        </w:tc>
        <w:tc>
          <w:tcPr>
            <w:tcW w:w="24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December 31, 2018</w:t>
            </w:r>
          </w:p>
        </w:tc>
        <w:tc>
          <w:tcPr>
            <w:tcW w:w="34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color w:val="auto"/>
              </w:rPr>
              <w:t>June 30, 2018</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Northern Nevada</w:t>
            </w:r>
          </w:p>
        </w:tc>
        <w:tc>
          <w:tcPr>
            <w:tcW w:w="3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9,967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(4,555)</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Nevada</w:t>
            </w: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(5,279)</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cash on hand and cash flows from operations have provided a substantial portion of cash used in investing activities (primarily for construction expenditures and property additions). In recent years, the Company has accelerated pipe replacement activities to fortify system integrity and reliability, notably in association with gas infrastructure replacement programs as discussed previously. This accelerated activity has necessitated the issuance of both debt and equity securities to supplement cash flows from operations. The Company endeavors to maintain an appropriate balance of equity and debt to maintain strong investment-grade credit ratings, which should minimize interest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$31 million in the first six months of 2019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2018. The improvements in cash flows included an increase in net income, benefits from depreciation, and impacts of working capital components overall, offset by reduction/return of amounts under purchased gas adjustment mechanisms.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$148 million in the first six months of 2019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2018. The change was primarily due to increased construction expenditures in the natural gas operations segment, including scheduled and accelerated replacement activity, as well as the remittance of a portion of purchase consideration previously held back in association with the recent acquisition of Linetec (see </w:t>
      </w:r>
      <w:r>
        <w:rPr>
          <w:rFonts w:ascii="Arial" w:cs="Arial" w:eastAsia="Arial" w:hAnsi="Arial"/>
          <w:sz w:val="18"/>
          <w:szCs w:val="18"/>
          <w:b w:val="1"/>
          <w:bCs w:val="1"/>
          <w:color w:val="auto"/>
        </w:rPr>
        <w:t>Note 12 – Business Acquisitions</w:t>
      </w:r>
      <w:r>
        <w:rPr>
          <w:rFonts w:ascii="Arial" w:cs="Arial" w:eastAsia="Arial" w:hAnsi="Arial"/>
          <w:sz w:val="18"/>
          <w:szCs w:val="18"/>
          <w:color w:val="auto"/>
        </w:rPr>
        <w: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consolidated financing activities increased $78 million in the first six months of 2019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2018. The increase was primarily due to the issuance of common stock under both an earlier equity registration and a recent Equity Shelf Program initiated in May 2019, in addition to higher payments in the prior year by Southwest of short-term balances under its revolving credit facility. Borrowing and repayment of long-term debt</w:t>
      </w:r>
    </w:p>
    <w:p>
      <w:pPr>
        <w:sectPr>
          <w:pgSz w:w="11900" w:h="16838" w:orient="portrait"/>
          <w:cols w:equalWidth="0" w:num="1">
            <w:col w:w="11420"/>
          </w:cols>
          <w:pgMar w:left="240" w:top="270" w:right="239" w:bottom="1440" w:gutter="0" w:footer="0" w:header="0"/>
        </w:sect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270" w:right="239" w:bottom="1440" w:gutter="0" w:footer="0" w:header="0"/>
          <w:type w:val="continuous"/>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arrangements were generally aligned between periods, as the recent issuance by Southwest of $300 million in Senior Notes resulted in an initial reduction of outstanding long-term borrowings under its revolving credit facility. See </w:t>
      </w:r>
      <w:r>
        <w:rPr>
          <w:rFonts w:ascii="Arial" w:cs="Arial" w:eastAsia="Arial" w:hAnsi="Arial"/>
          <w:sz w:val="17"/>
          <w:szCs w:val="17"/>
          <w:b w:val="1"/>
          <w:bCs w:val="1"/>
          <w:color w:val="auto"/>
        </w:rPr>
        <w:t>Note 6 – Common Stock</w:t>
      </w:r>
      <w:r>
        <w:rPr>
          <w:rFonts w:ascii="Arial" w:cs="Arial" w:eastAsia="Arial" w:hAnsi="Arial"/>
          <w:sz w:val="17"/>
          <w:szCs w:val="17"/>
          <w:color w:val="auto"/>
        </w:rPr>
        <w:t xml:space="preserve"> and </w:t>
      </w:r>
      <w:r>
        <w:rPr>
          <w:rFonts w:ascii="Arial" w:cs="Arial" w:eastAsia="Arial" w:hAnsi="Arial"/>
          <w:sz w:val="17"/>
          <w:szCs w:val="17"/>
          <w:b w:val="1"/>
          <w:bCs w:val="1"/>
          <w:color w:val="auto"/>
        </w:rPr>
        <w:t>Note 7 – Long-Term Debt</w:t>
      </w:r>
      <w:r>
        <w:rPr>
          <w:rFonts w:ascii="Arial" w:cs="Arial" w:eastAsia="Arial" w:hAnsi="Arial"/>
          <w:sz w:val="17"/>
          <w:szCs w:val="17"/>
          <w:color w:val="auto"/>
        </w:rPr>
        <w:t>.</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received approximately $74.2 million in net stock proceeds during the second quarter of 2019 under its Equity Shelf Program. Also during the three months ended June 30, 2019, the Company issued 32,000 shares of common stock through the Dividend Reinvestment and Stock Purchase Plan (“DRSPP”), raising approximately $2.8 million. It also issued the $23 million under an earlier equity shelf program during the first quarter of 2019.</w:t>
      </w:r>
    </w:p>
    <w:p>
      <w:pPr>
        <w:spacing w:after="0" w:line="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 or other external financing sources in support of each business segment, as discussed in </w:t>
      </w:r>
      <w:r>
        <w:rPr>
          <w:rFonts w:ascii="Arial" w:cs="Arial" w:eastAsia="Arial" w:hAnsi="Arial"/>
          <w:sz w:val="16"/>
          <w:szCs w:val="16"/>
          <w:b w:val="1"/>
          <w:bCs w:val="1"/>
          <w:color w:val="auto"/>
        </w:rPr>
        <w:t>Note 6 – Common Stock</w:t>
      </w:r>
      <w:r>
        <w:rPr>
          <w:rFonts w:ascii="Arial" w:cs="Arial" w:eastAsia="Arial" w:hAnsi="Arial"/>
          <w:sz w:val="16"/>
          <w:szCs w:val="16"/>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provided by operating activities increased $16 million in the first six months of 2019 as compared to the same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2018. The increase in operating cash flows was attributable to an increase in net income, benefits from depreciation, and the impacts of working capital components overall. Offsetting those increases were the impacts related to deferred purchased gas costs noted above.</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$79 million in the first six months of 2019 as compared to the same period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additional construction expenditures, as indicated above.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financing activities increased $80 million in the first six months of 2019 as compared to the same period of</w:t>
      </w:r>
      <w:r>
        <w:rPr>
          <w:rFonts w:ascii="Arial" w:cs="Arial" w:eastAsia="Arial" w:hAnsi="Arial"/>
          <w:sz w:val="17"/>
          <w:szCs w:val="17"/>
          <w:i w:val="1"/>
          <w:iCs w:val="1"/>
          <w:color w:val="auto"/>
        </w:rPr>
        <w:t xml:space="preserve"> </w:t>
      </w:r>
      <w:r>
        <w:rPr>
          <w:rFonts w:ascii="Arial" w:cs="Arial" w:eastAsia="Arial" w:hAnsi="Arial"/>
          <w:sz w:val="17"/>
          <w:szCs w:val="17"/>
          <w:color w:val="auto"/>
        </w:rPr>
        <w:t>2018. The increase was primarily due to an increase in capital contributions from Southwest Gas Holdings, Inc. compared to the prior-period, and higher payments in the prior year related to short-term balances under Southwest’s revolving credit facility. As indicated above, Southwest utilized funds from its $300 million Senior Notes in May 2019 to initially reduce amounts outstanding under its revolving credit facility and commercial paper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June 30, 2019, construction expenditures for the natural gas operations segment were $762 million. The majority of these expenditures represented costs associated with scheduled and accelerated replacement of existing transmission, distribution, and general plant. Cash flows from operating activities of Southwest were $399 million during this time and provided approximately 47% of construction expenditures and dividend requirements.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2021 will be approximately $2.1 billion. Of this amount, approximately $710 million is scheduled to be incurred in 2019. Southwest plans to continue to request regulatory support as necessary and appropriate to accelerate projects that improve system flexibility and reliability (including replacement of early vintage plastic and steel pipe).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VSP programs, the Arizona LNG facility, and Spring Creek in Nevada. During the three-year period, cash flows from operating activities of Southwest are expected to provide approximately 45% to 50% of the funding for gas operations total construction expenditures and dividend requirements. Any additional cash requirements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embedded in customer rates and amounts implemented under tax reform, as well as growth levels in Southwest’s service areas and earnings. External financings could include the issuance of debt securities, bank and other short-term borrowings, and other forms of financing.</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Southwest issued $300 million in 4.15% Senior Notes at a discount of 0.051%. The notes will mature in June 2049. A portion of the proceeds were used to repay amounts then outstanding under Southwest’s credit facility and commercial paper program.</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2019, the Company filed with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“Equity Shelf Program”). The Company issued $75 million under this multi-year program during the second quarter of 2019.</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April 2028. The proceeds were used to repay amounts then outstanding under the revolving portion of its credit facility and under the commercial paper program.</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filed an earlier automatic shelf registration statement with the SEC for the offer and sale of up to $150 million of common stock from time to time in at-the-market offerings under the related prospectus and sales agency agreement. The Company issued the full capacity of this equity program, concluding during the quarter ended March 31, 2019.</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twelve months ended June 30, 2019, 1,410,663 shares were issued in at-the-market offerings at an average price of $84.02 per share with gross proceeds of $118.5 million, agent commissions of $1.2 million, and net proceeds of $117.3 million under the Company’s equity shelf programs noted above. See </w:t>
      </w:r>
      <w:r>
        <w:rPr>
          <w:rFonts w:ascii="Arial" w:cs="Arial" w:eastAsia="Arial" w:hAnsi="Arial"/>
          <w:sz w:val="18"/>
          <w:szCs w:val="18"/>
          <w:b w:val="1"/>
          <w:bCs w:val="1"/>
          <w:color w:val="auto"/>
        </w:rPr>
        <w:t>Note 6 – Common Stock</w:t>
      </w:r>
      <w:r>
        <w:rPr>
          <w:rFonts w:ascii="Arial" w:cs="Arial" w:eastAsia="Arial" w:hAnsi="Arial"/>
          <w:sz w:val="18"/>
          <w:szCs w:val="18"/>
          <w:color w:val="auto"/>
        </w:rPr>
        <w:t xml:space="preserve"> for more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 Company estimates bonus depreciation will defer the payment of approximately $30 million ($4 million of which relates to utility operations) of federal income taxes for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and expected external funding needs, in addition to our ability to maintain strong credit ratings and liquidity. The Company has paid dividends on its common stock since 1956 and has increased that dividend each year since 2007. In February 2019, the Board elected to increase the quarterly dividend from $0.52 to $0.545 per share, representing a 4.8% increase, effective with the June 2019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2019, the combined balance in the PGA accounts totaled an over-collection of $31 million, which included the payment received from the EPNG rate case settlement of $49 million, to be refunded to customers. See </w:t>
      </w:r>
      <w:r>
        <w:rPr>
          <w:rFonts w:ascii="Arial" w:cs="Arial" w:eastAsia="Arial" w:hAnsi="Arial"/>
          <w:sz w:val="17"/>
          <w:szCs w:val="17"/>
          <w:b w:val="1"/>
          <w:bCs w:val="1"/>
          <w:color w:val="auto"/>
        </w:rPr>
        <w:t>PGA Filings</w:t>
      </w:r>
      <w:r>
        <w:rPr>
          <w:rFonts w:ascii="Arial" w:cs="Arial" w:eastAsia="Arial" w:hAnsi="Arial"/>
          <w:sz w:val="17"/>
          <w:szCs w:val="17"/>
          <w:color w:val="auto"/>
        </w:rPr>
        <w:t xml:space="preserve"> for more information.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$100 million that expires in March 2022. The Company intends to utilize this facility for short-term financing needs. At June 30, 2019, no borrowings were outstanding under this facility.</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has a credit facility, with borrowing capacity of $400 million, which expires in March 2022. Southwest designates $150 million of the facility for long-term borrowing needs and the remaining $250 million for working capital purposes. The maximum amount outstanding on the long-term portion of the credit facility (including a commercial paper program, as noted below) during the first six months of 2019 was $150 million. As of June 30, 2019, $46 million was outstanding under the long-term portion of the facility. The maximum amount outstanding on the short-term portion of the credit facility during the first six months of 2019 was $216 million. As of June 30, 2019, no borrowings were outstanding on the short-term portion of this credit facility. The credit facility can be used as necessary to meet liquidity requirements, including temporarily financing under-collected PGA balances, if any, or meeting the refund needs of over-collected balances. This credit facility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0" w:right="2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2019 will be designated as long-term debt. Interest rates for the commercial paper program are calculated at the current commercial paper rate during the borrowing term. At June 30, 2019, there were no borrowings outstanding under this program.</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Centuri has a senior secured revolving credit and term loan facility with borrowing capacity of $590 million (refer to </w:t>
      </w:r>
      <w:r>
        <w:rPr>
          <w:rFonts w:ascii="Arial" w:cs="Arial" w:eastAsia="Arial" w:hAnsi="Arial"/>
          <w:sz w:val="18"/>
          <w:szCs w:val="18"/>
          <w:b w:val="1"/>
          <w:bCs w:val="1"/>
          <w:color w:val="auto"/>
        </w:rPr>
        <w:t>Note 7 – Long-Term Debt</w:t>
      </w:r>
      <w:r>
        <w:rPr>
          <w:rFonts w:ascii="Arial" w:cs="Arial" w:eastAsia="Arial" w:hAnsi="Arial"/>
          <w:sz w:val="18"/>
          <w:szCs w:val="18"/>
          <w:color w:val="auto"/>
        </w:rPr>
        <w:t>). The line of credit portion of the facility is $325 million; amounts borrowed and repaid under the revolving credit facility are available to be re-borrowed. The term loan facility portion has a limit of approximately $265 million. The $590 million credit and term loan facility expires in November 2023. The $590 million revolving credit and term loan facility is secured by substantially all of Centuri’s assets except those explicitly excluded under the terms of the agreement (including owned real estate and certain certificated vehicles). Centuri assets securing the facility at June 30, 2019 totaled $1.3 billion. The maximum amount outstanding on the revolving credit facility during the first six months of 2019 was $88 million, which was the same amount outstanding at June 30, 2019. As of June 30, 2019, there was $253 million outstanding on the term loan facility portion. Also at June 30, 2019, there was approximately $216 million, net of letters of credit, available under the line of credit.</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It is currently anticipated that LIBOR may be discontinued as a benchmark or reference rate after 2021. As of June 30, 2019, $0 borrowings were outstanding for the holding company under its credit facility (see </w:t>
      </w:r>
      <w:r>
        <w:rPr>
          <w:rFonts w:ascii="Arial" w:cs="Arial" w:eastAsia="Arial" w:hAnsi="Arial"/>
          <w:sz w:val="16"/>
          <w:szCs w:val="16"/>
          <w:b w:val="1"/>
          <w:bCs w:val="1"/>
          <w:color w:val="auto"/>
        </w:rPr>
        <w:t>Note 8 – Short-Term Debt</w:t>
      </w:r>
      <w:r>
        <w:rPr>
          <w:rFonts w:ascii="Arial" w:cs="Arial" w:eastAsia="Arial" w:hAnsi="Arial"/>
          <w:sz w:val="16"/>
          <w:szCs w:val="16"/>
          <w:color w:val="auto"/>
        </w:rPr>
        <w:t>), and therefore, there was no related indebtedness with reference to LIBOR. However, all of Southwest’s outstanding borrowings of $46 million under its credit facility and approximately $215 million of Centuri’s indebtedness under its facility have interest rates with reference to LIBOR and credit facility maturity dates that extend beyond 2021. The outstanding amounts reflect approximately 2% of total Southwest long-term debt and 11% of long-term debt (including current maturities) for the Company overall. The Company intends to continue to monitor developments with respect to alternative rates and take appropriate steps, that will include Southwest and Centuri working with lenders to determine the appropriate alternative reference rate for variable rate indebtedness, in order to mitigate the impact of the discontinuation on financial condition and results of operations.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0" w:right="2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expected impacts of valuation adjustments associated with the redeemable noncontrolling interest in Linetec, the impacts of the U.S. tax reform including disposition in regulatory proceedings and bonus depreciation tax deductions, the impact of recent PHMSA rulemaking, the amounts and timing for completion of estimated future construction expenditures, including the LNG facility in southern Arizona, plans to pursue infrastructure programs or programs under SB151 legislation, forecasted operating cash flows and results of operations, net earnings impacts from gas infrastructure replacement surcharges, funding sources of cash requirements, amounts generally expected to be reflected in 2019 or future period revenues from regulatory rate proceedings including amounts requested from the recently filed Arizona general rate case, the approved recovery of the Arizona DCA balance, the outcome of judicial review of the recently concluded Nevada rate case, the anticipated timing of the Company’s reincorporation in Delaware,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December 2017 shelf registration statement or otherwise,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including the multi-jurisdictional filings for recovery of the CDMI, and approvals are forward-looking statements. All forward-looking statements are intended to be subject to the safe harbor protection provided by the Reform Act.</w:t>
      </w:r>
    </w:p>
    <w:p>
      <w:pPr>
        <w:spacing w:after="0" w:line="7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governmental or regulatory policy regarding natural gas or alternative energy, the regulatory support for ongoing infrastructure programs,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Centuri’s projections about the acquired business’ earnings (including accretion within the first twelve months) and future acquisition-related costs, impacts of changes in value of the redeemable noncontrolling interest if at other than fair value, resolution of events subject to cash consideration held back associated with representations, warranties, and other estimates including working capital adjustments related to the Linetec acquisition and impacts from final purchase accounting related thereto,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6"/>
          <w:szCs w:val="16"/>
          <w:b w:val="1"/>
          <w:bCs w:val="1"/>
          <w:color w:val="auto"/>
        </w:rPr>
        <w:t>Item 1A. Risk Factors and Item 7A. Quantitative and Qualitative Disclosures About Market Risk</w:t>
      </w:r>
      <w:r>
        <w:rPr>
          <w:rFonts w:ascii="Arial" w:cs="Arial" w:eastAsia="Arial" w:hAnsi="Arial"/>
          <w:sz w:val="16"/>
          <w:szCs w:val="16"/>
          <w:color w:val="auto"/>
        </w:rPr>
        <w:t xml:space="preserve"> in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0" w:right="239" w:bottom="1440" w:gutter="0" w:footer="0" w:header="0"/>
        </w:sectPr>
      </w:pPr>
    </w:p>
    <w:bookmarkStart w:id="53" w:name="page54"/>
    <w:bookmarkEnd w:id="53"/>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2018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June 30, 2019, management of Southwest Gas Holdings, Inc., including the Chief Executive Officer and Chief Financial Officer, believes the Company’s disclosure controls and procedures are effective at attaining the level of reasonable assurance noted above.</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second quarter of 2019 that have materially affected, or are likely to materially affect, the Company’s internal control over financial reporting.</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most recent evaluation, as of June 30, 2019, management of Southwest Gas Corporation, including the Chief Executive Officer and Chief Financial Officer, believes Southwest’s disclosure controls and procedures are effective at attaining the level of reasonable assurance noted above.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second quarter of 2019 that have materially affected, or are likely to materially affect Southwest’s internal control over financial reporting.</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0"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700" w:type="dxa"/>
            <w:vAlign w:val="bottom"/>
            <w:gridSpan w:val="9"/>
          </w:tcPr>
          <w:p>
            <w:pPr>
              <w:spacing w:after="0"/>
              <w:rPr>
                <w:sz w:val="20"/>
                <w:szCs w:val="20"/>
                <w:color w:val="auto"/>
              </w:rPr>
            </w:pPr>
            <w:r>
              <w:rPr>
                <w:rFonts w:ascii="Arial" w:cs="Arial" w:eastAsia="Arial" w:hAnsi="Arial"/>
                <w:sz w:val="18"/>
                <w:szCs w:val="18"/>
                <w:color w:val="auto"/>
              </w:rPr>
              <w:t>SOUTHWEST GAS HOLDINGS, INC.</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6"/>
              </w:rPr>
              <w:t>SOUTHWEST GAS CORPORATION</w:t>
            </w:r>
          </w:p>
        </w:tc>
        <w:tc>
          <w:tcPr>
            <w:tcW w:w="5800" w:type="dxa"/>
            <w:vAlign w:val="bottom"/>
            <w:gridSpan w:val="3"/>
          </w:tcPr>
          <w:p>
            <w:pPr>
              <w:spacing w:after="0"/>
              <w:rPr>
                <w:sz w:val="21"/>
                <w:szCs w:val="21"/>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3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4"/>
        </w:trPr>
        <w:tc>
          <w:tcPr>
            <w:tcW w:w="8760" w:type="dxa"/>
            <w:vAlign w:val="bottom"/>
            <w:gridSpan w:val="10"/>
          </w:tcPr>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4.01</w:t>
            </w:r>
          </w:p>
        </w:tc>
        <w:tc>
          <w:tcPr>
            <w:tcW w:w="320" w:type="dxa"/>
            <w:vAlign w:val="bottom"/>
          </w:tcPr>
          <w:p>
            <w:pPr>
              <w:spacing w:after="0"/>
              <w:rPr>
                <w:sz w:val="24"/>
                <w:szCs w:val="24"/>
                <w:color w:val="auto"/>
              </w:rPr>
            </w:pPr>
          </w:p>
        </w:tc>
        <w:tc>
          <w:tcPr>
            <w:tcW w:w="9380" w:type="dxa"/>
            <w:vAlign w:val="bottom"/>
            <w:tcBorders>
              <w:bottom w:val="single" w:sz="8" w:color="0000FF"/>
            </w:tcBorders>
            <w:gridSpan w:val="9"/>
          </w:tcPr>
          <w:p>
            <w:pPr>
              <w:spacing w:after="0"/>
              <w:rPr>
                <w:rFonts w:ascii="Arial" w:cs="Arial" w:eastAsia="Arial" w:hAnsi="Arial"/>
                <w:sz w:val="18"/>
                <w:szCs w:val="18"/>
                <w:color w:val="0000FF"/>
                <w:w w:val="95"/>
              </w:rPr>
            </w:pPr>
            <w:hyperlink r:id="rId145">
              <w:r>
                <w:rPr>
                  <w:rFonts w:ascii="Arial" w:cs="Arial" w:eastAsia="Arial" w:hAnsi="Arial"/>
                  <w:sz w:val="18"/>
                  <w:szCs w:val="18"/>
                  <w:color w:val="0000FF"/>
                  <w:w w:val="95"/>
                </w:rPr>
                <w:t>Indenture, dated as of May 31, 2019, by and between Southwest Gas Corporation and The Bank of New York Mellon Trust</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Company, N.A., as Trustee. Incorporated herein by reference to Exhibit 4.1 to Form 8</w:t>
              </w:r>
              <w:r>
                <w:rPr>
                  <w:rFonts w:ascii="MS PGothic" w:cs="MS PGothic" w:eastAsia="MS PGothic" w:hAnsi="MS PGothic"/>
                  <w:sz w:val="18"/>
                  <w:szCs w:val="18"/>
                  <w:color w:val="0000FF"/>
                  <w:w w:val="91"/>
                </w:rPr>
                <w:t>‑</w:t>
              </w:r>
              <w:r>
                <w:rPr>
                  <w:rFonts w:ascii="Arial" w:cs="Arial" w:eastAsia="Arial" w:hAnsi="Arial"/>
                  <w:sz w:val="18"/>
                  <w:szCs w:val="18"/>
                  <w:color w:val="0000FF"/>
                  <w:w w:val="91"/>
                </w:rPr>
                <w:t>K dated May 28, 2019. File No. 1-07850.</w:t>
              </w:r>
            </w:hyperlink>
          </w:p>
        </w:tc>
        <w:tc>
          <w:tcPr>
            <w:tcW w:w="160" w:type="dxa"/>
            <w:vAlign w:val="bottom"/>
          </w:tcPr>
          <w:p>
            <w:pPr>
              <w:spacing w:after="0"/>
              <w:rPr>
                <w:sz w:val="17"/>
                <w:szCs w:val="17"/>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4.02</w:t>
            </w:r>
          </w:p>
        </w:tc>
        <w:tc>
          <w:tcPr>
            <w:tcW w:w="320" w:type="dxa"/>
            <w:vAlign w:val="bottom"/>
          </w:tcPr>
          <w:p>
            <w:pPr>
              <w:spacing w:after="0"/>
              <w:rPr>
                <w:sz w:val="24"/>
                <w:szCs w:val="24"/>
                <w:color w:val="auto"/>
              </w:rPr>
            </w:pPr>
          </w:p>
        </w:tc>
        <w:tc>
          <w:tcPr>
            <w:tcW w:w="9380" w:type="dxa"/>
            <w:vAlign w:val="bottom"/>
            <w:tcBorders>
              <w:bottom w:val="single" w:sz="8" w:color="0000FF"/>
            </w:tcBorders>
            <w:gridSpan w:val="9"/>
          </w:tcPr>
          <w:p>
            <w:pPr>
              <w:spacing w:after="0"/>
              <w:rPr>
                <w:rFonts w:ascii="Arial" w:cs="Arial" w:eastAsia="Arial" w:hAnsi="Arial"/>
                <w:sz w:val="18"/>
                <w:szCs w:val="18"/>
                <w:color w:val="0000FF"/>
                <w:w w:val="95"/>
              </w:rPr>
            </w:pPr>
            <w:hyperlink r:id="rId146">
              <w:r>
                <w:rPr>
                  <w:rFonts w:ascii="Arial" w:cs="Arial" w:eastAsia="Arial" w:hAnsi="Arial"/>
                  <w:sz w:val="18"/>
                  <w:szCs w:val="18"/>
                  <w:color w:val="0000FF"/>
                  <w:w w:val="95"/>
                </w:rPr>
                <w:t>First Supplemental Indenture, dated May 31, 2019, by and between Southwest Gas Corporation and The Bank of New York</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Mellon Trust Company, N.A., as Trustee. Incorporated herein by reference to Exhibit 4.2 to Form 8-K dated May 28, 2019. File</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46">
              <w:r>
                <w:rPr>
                  <w:rFonts w:ascii="Arial" w:cs="Arial" w:eastAsia="Arial" w:hAnsi="Arial"/>
                  <w:sz w:val="18"/>
                  <w:szCs w:val="18"/>
                  <w:color w:val="0000FF"/>
                  <w:w w:val="90"/>
                </w:rPr>
                <w:t>No. 1-07850.</w:t>
              </w:r>
            </w:hyperlink>
          </w:p>
        </w:tc>
        <w:tc>
          <w:tcPr>
            <w:tcW w:w="5820" w:type="dxa"/>
            <w:vAlign w:val="bottom"/>
            <w:gridSpan w:val="4"/>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4.03</w:t>
            </w:r>
          </w:p>
        </w:tc>
        <w:tc>
          <w:tcPr>
            <w:tcW w:w="320" w:type="dxa"/>
            <w:vAlign w:val="bottom"/>
          </w:tcPr>
          <w:p>
            <w:pPr>
              <w:spacing w:after="0"/>
              <w:rPr>
                <w:sz w:val="24"/>
                <w:szCs w:val="24"/>
                <w:color w:val="auto"/>
              </w:rPr>
            </w:pPr>
          </w:p>
        </w:tc>
        <w:tc>
          <w:tcPr>
            <w:tcW w:w="9380" w:type="dxa"/>
            <w:vAlign w:val="bottom"/>
            <w:tcBorders>
              <w:bottom w:val="single" w:sz="8" w:color="0000FF"/>
            </w:tcBorders>
            <w:gridSpan w:val="9"/>
          </w:tcPr>
          <w:p>
            <w:pPr>
              <w:spacing w:after="0"/>
              <w:rPr>
                <w:rFonts w:ascii="Arial" w:cs="Arial" w:eastAsia="Arial" w:hAnsi="Arial"/>
                <w:sz w:val="18"/>
                <w:szCs w:val="18"/>
                <w:color w:val="0000FF"/>
                <w:w w:val="94"/>
              </w:rPr>
            </w:pPr>
            <w:hyperlink r:id="rId146">
              <w:r>
                <w:rPr>
                  <w:rFonts w:ascii="Arial" w:cs="Arial" w:eastAsia="Arial" w:hAnsi="Arial"/>
                  <w:sz w:val="18"/>
                  <w:szCs w:val="18"/>
                  <w:color w:val="0000FF"/>
                  <w:w w:val="94"/>
                </w:rPr>
                <w:t>Form of 4.150% Senior Note due 2049. Incorporated by reference to Exhibit 4.3 to Form 8-K dated May 28, 2019. File No. 1-</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gridSpan w:val="2"/>
          </w:tcPr>
          <w:p>
            <w:pPr>
              <w:ind w:left="320"/>
              <w:spacing w:after="0" w:line="196" w:lineRule="exact"/>
              <w:rPr>
                <w:rFonts w:ascii="Arial" w:cs="Arial" w:eastAsia="Arial" w:hAnsi="Arial"/>
                <w:sz w:val="18"/>
                <w:szCs w:val="18"/>
                <w:color w:val="0000FF"/>
                <w:w w:val="87"/>
              </w:rPr>
            </w:pPr>
            <w:hyperlink r:id="rId146">
              <w:r>
                <w:rPr>
                  <w:rFonts w:ascii="Arial" w:cs="Arial" w:eastAsia="Arial" w:hAnsi="Arial"/>
                  <w:sz w:val="18"/>
                  <w:szCs w:val="18"/>
                  <w:color w:val="0000FF"/>
                  <w:w w:val="87"/>
                </w:rPr>
                <w:t>07850.</w:t>
              </w:r>
            </w:hyperlink>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31.01</w:t>
            </w:r>
          </w:p>
        </w:tc>
        <w:tc>
          <w:tcPr>
            <w:tcW w:w="7100" w:type="dxa"/>
            <w:vAlign w:val="bottom"/>
            <w:gridSpan w:val="8"/>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7">
              <w:r>
                <w:rPr>
                  <w:rFonts w:ascii="Arial" w:cs="Arial" w:eastAsia="Arial" w:hAnsi="Arial"/>
                  <w:sz w:val="18"/>
                  <w:szCs w:val="18"/>
                  <w:color w:val="0000FF"/>
                </w:rPr>
                <w:t>Section 302 Certifications–Southwest Gas Holdings, Inc.</w:t>
              </w:r>
            </w:hyperlink>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31.02</w:t>
            </w:r>
          </w:p>
        </w:tc>
        <w:tc>
          <w:tcPr>
            <w:tcW w:w="7100" w:type="dxa"/>
            <w:vAlign w:val="bottom"/>
            <w:gridSpan w:val="8"/>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9">
              <w:r>
                <w:rPr>
                  <w:rFonts w:ascii="Arial" w:cs="Arial" w:eastAsia="Arial" w:hAnsi="Arial"/>
                  <w:sz w:val="18"/>
                  <w:szCs w:val="18"/>
                  <w:color w:val="0000FF"/>
                </w:rPr>
                <w:t>Section 302 Certifications–Southwest Gas Corporation</w:t>
              </w:r>
            </w:hyperlink>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32.01</w:t>
            </w:r>
          </w:p>
        </w:tc>
        <w:tc>
          <w:tcPr>
            <w:tcW w:w="7100" w:type="dxa"/>
            <w:vAlign w:val="bottom"/>
            <w:gridSpan w:val="8"/>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1">
              <w:r>
                <w:rPr>
                  <w:rFonts w:ascii="Arial" w:cs="Arial" w:eastAsia="Arial" w:hAnsi="Arial"/>
                  <w:sz w:val="18"/>
                  <w:szCs w:val="18"/>
                  <w:color w:val="0000FF"/>
                </w:rPr>
                <w:t>Section 906 Certifications–Southwest Gas Holdings, Inc.</w:t>
              </w:r>
            </w:hyperlink>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32.02</w:t>
            </w:r>
          </w:p>
        </w:tc>
        <w:tc>
          <w:tcPr>
            <w:tcW w:w="7100" w:type="dxa"/>
            <w:vAlign w:val="bottom"/>
            <w:gridSpan w:val="8"/>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2">
              <w:r>
                <w:rPr>
                  <w:rFonts w:ascii="Arial" w:cs="Arial" w:eastAsia="Arial" w:hAnsi="Arial"/>
                  <w:sz w:val="18"/>
                  <w:szCs w:val="18"/>
                  <w:color w:val="0000FF"/>
                </w:rPr>
                <w:t>Section 906 Certifications–Southwest Gas Corporation</w:t>
              </w:r>
            </w:hyperlink>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r>
      <w:tr>
        <w:trPr>
          <w:trHeight w:val="39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700" w:type="dxa"/>
            <w:vAlign w:val="bottom"/>
            <w:gridSpan w:val="10"/>
          </w:tcPr>
          <w:p>
            <w:pPr>
              <w:ind w:left="100"/>
              <w:spacing w:after="0"/>
              <w:rPr>
                <w:sz w:val="20"/>
                <w:szCs w:val="20"/>
                <w:color w:val="auto"/>
              </w:rPr>
            </w:pPr>
            <w:r>
              <w:rPr>
                <w:rFonts w:ascii="Arial" w:cs="Arial" w:eastAsia="Arial" w:hAnsi="Arial"/>
                <w:sz w:val="18"/>
                <w:szCs w:val="18"/>
                <w:color w:val="auto"/>
                <w:w w:val="97"/>
              </w:rPr>
              <w:t>-  XBRL Instance Document - the instance document does not appear in the Interactive Data File because its XBRL tags are</w:t>
            </w:r>
          </w:p>
        </w:tc>
      </w:tr>
      <w:tr>
        <w:trPr>
          <w:trHeight w:val="230"/>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78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7100" w:type="dxa"/>
            <w:vAlign w:val="bottom"/>
            <w:gridSpan w:val="8"/>
          </w:tcPr>
          <w:p>
            <w:pPr>
              <w:ind w:left="100"/>
              <w:spacing w:after="0"/>
              <w:rPr>
                <w:sz w:val="20"/>
                <w:szCs w:val="20"/>
                <w:color w:val="auto"/>
              </w:rPr>
            </w:pPr>
            <w:r>
              <w:rPr>
                <w:rFonts w:ascii="Arial" w:cs="Arial" w:eastAsia="Arial" w:hAnsi="Arial"/>
                <w:sz w:val="18"/>
                <w:szCs w:val="18"/>
                <w:color w:val="auto"/>
              </w:rPr>
              <w:t>-  XBRL Schema Document</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7100" w:type="dxa"/>
            <w:vAlign w:val="bottom"/>
            <w:gridSpan w:val="8"/>
          </w:tcPr>
          <w:p>
            <w:pPr>
              <w:ind w:left="100"/>
              <w:spacing w:after="0"/>
              <w:rPr>
                <w:sz w:val="20"/>
                <w:szCs w:val="20"/>
                <w:color w:val="auto"/>
              </w:rPr>
            </w:pPr>
            <w:r>
              <w:rPr>
                <w:rFonts w:ascii="Arial" w:cs="Arial" w:eastAsia="Arial" w:hAnsi="Arial"/>
                <w:sz w:val="18"/>
                <w:szCs w:val="18"/>
                <w:color w:val="auto"/>
              </w:rPr>
              <w:t>-  XBRL Calculation Linkbase Document</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7100" w:type="dxa"/>
            <w:vAlign w:val="bottom"/>
            <w:gridSpan w:val="8"/>
          </w:tcPr>
          <w:p>
            <w:pPr>
              <w:ind w:left="100"/>
              <w:spacing w:after="0"/>
              <w:rPr>
                <w:sz w:val="20"/>
                <w:szCs w:val="20"/>
                <w:color w:val="auto"/>
              </w:rPr>
            </w:pPr>
            <w:r>
              <w:rPr>
                <w:rFonts w:ascii="Arial" w:cs="Arial" w:eastAsia="Arial" w:hAnsi="Arial"/>
                <w:sz w:val="18"/>
                <w:szCs w:val="18"/>
                <w:color w:val="auto"/>
              </w:rPr>
              <w:t>-  XBRL Definition Linkbase Document</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7100" w:type="dxa"/>
            <w:vAlign w:val="bottom"/>
            <w:gridSpan w:val="8"/>
          </w:tcPr>
          <w:p>
            <w:pPr>
              <w:ind w:left="100"/>
              <w:spacing w:after="0"/>
              <w:rPr>
                <w:sz w:val="20"/>
                <w:szCs w:val="20"/>
                <w:color w:val="auto"/>
              </w:rPr>
            </w:pPr>
            <w:r>
              <w:rPr>
                <w:rFonts w:ascii="Arial" w:cs="Arial" w:eastAsia="Arial" w:hAnsi="Arial"/>
                <w:sz w:val="18"/>
                <w:szCs w:val="18"/>
                <w:color w:val="auto"/>
              </w:rPr>
              <w:t>-  XBRL Label Linkbase Document</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7100" w:type="dxa"/>
            <w:vAlign w:val="bottom"/>
            <w:gridSpan w:val="8"/>
          </w:tcPr>
          <w:p>
            <w:pPr>
              <w:ind w:left="100"/>
              <w:spacing w:after="0"/>
              <w:rPr>
                <w:sz w:val="20"/>
                <w:szCs w:val="20"/>
                <w:color w:val="auto"/>
              </w:rPr>
            </w:pPr>
            <w:r>
              <w:rPr>
                <w:rFonts w:ascii="Arial" w:cs="Arial" w:eastAsia="Arial" w:hAnsi="Arial"/>
                <w:sz w:val="18"/>
                <w:szCs w:val="18"/>
                <w:color w:val="auto"/>
              </w:rPr>
              <w:t>-  XBRL Presentation Linkbase Document</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64"/>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80" w:type="dxa"/>
            <w:vAlign w:val="bottom"/>
            <w:gridSpan w:val="6"/>
          </w:tcPr>
          <w:p>
            <w:pPr>
              <w:ind w:left="40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55" w:name="page56"/>
    <w:bookmarkEnd w:id="5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7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700" w:type="dxa"/>
            <w:vAlign w:val="bottom"/>
          </w:tcPr>
          <w:p>
            <w:pPr>
              <w:spacing w:after="0"/>
              <w:rPr>
                <w:sz w:val="21"/>
                <w:szCs w:val="21"/>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June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2019</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0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0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8"/>
          <w:szCs w:val="18"/>
          <w:color w:val="auto"/>
        </w:rPr>
      </w:pPr>
    </w:p>
    <w:p>
      <w:pPr>
        <w:ind w:left="920" w:hanging="331"/>
        <w:spacing w:after="0" w:line="258"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20" w:hanging="331"/>
        <w:spacing w:after="0" w:line="261" w:lineRule="auto"/>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2019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2019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58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2019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2019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lvl w:ilvl="1">
      <w:lvlJc w:val="left"/>
      <w:lvlText w:val="(%2)"/>
      <w:numFmt w:val="lowerLetter"/>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5"/>
    </w:lvl>
    <w:lvl w:ilvl="1">
      <w:lvlJc w:val="left"/>
      <w:lvlText w:val="(%2)"/>
      <w:numFmt w:val="low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45" Type="http://schemas.openxmlformats.org/officeDocument/2006/relationships/hyperlink" Target="http://www.sec.gov/Archives/edgar/data/92416/000119312519162792/d756014dex41.htm" TargetMode="External"/><Relationship Id="rId146" Type="http://schemas.openxmlformats.org/officeDocument/2006/relationships/hyperlink" Target="http://www.sec.gov/Archives/edgar/data/92416/000119312519162792/d75601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2019-12-28T08:13:29Z</dcterms:created>
  <dcterms:modified xsi:type="dcterms:W3CDTF">2019-12-28T08:13:29Z</dcterms:modified>
</cp:coreProperties>
</file>