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3"/>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w w:val="95"/>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right"/>
              <w:ind w:right="199"/>
              <w:spacing w:after="0"/>
              <w:rPr>
                <w:sz w:val="20"/>
                <w:szCs w:val="20"/>
                <w:color w:val="auto"/>
              </w:rPr>
            </w:pPr>
            <w:r>
              <w:rPr>
                <w:rFonts w:ascii="Arial" w:cs="Arial" w:eastAsia="Arial" w:hAnsi="Arial"/>
                <w:sz w:val="16"/>
                <w:szCs w:val="16"/>
                <w:color w:val="auto"/>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64"/>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0"/>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Southwest Gas Holdings, Inc. Common Stock, $1 Par Value, 59,093,403 shares as of July 30, 2021.</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July 30, 2021.</w:t>
      </w:r>
    </w:p>
    <w:p>
      <w:pPr>
        <w:sectPr>
          <w:pgSz w:w="11900" w:h="16838" w:orient="portrait"/>
          <w:cols w:equalWidth="0" w:num="1">
            <w:col w:w="11240"/>
          </w:cols>
          <w:pgMar w:left="320" w:top="467" w:right="339" w:bottom="1440" w:gutter="0" w:footer="0" w:header="0"/>
        </w:sectPr>
      </w:pP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June 30, 2021</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2020</w:t>
            </w:r>
          </w:p>
        </w:tc>
        <w:tc>
          <w:tcPr>
            <w:tcW w:w="0" w:type="dxa"/>
            <w:vAlign w:val="bottom"/>
          </w:tcPr>
          <w:p>
            <w:pPr>
              <w:spacing w:after="0"/>
              <w:rPr>
                <w:sz w:val="1"/>
                <w:szCs w:val="1"/>
                <w:color w:val="auto"/>
              </w:rPr>
            </w:pPr>
          </w:p>
        </w:tc>
      </w:tr>
      <w:tr>
        <w:trPr>
          <w:trHeight w:val="17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Utility plant:</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8,664,624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(2,481,016)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(2,419,348)</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151,358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utility plant</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6,334,966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860,701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834,245</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83,352</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512,385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522,172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23,839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235,104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149,402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170,152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1,006,795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871,013</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348,173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345,184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charges and other assets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488,042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508,875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836,560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854,514</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9,039,022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- 59,087,795 and 57,192,925 shares)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60,718</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58,823</w:t>
            </w: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1,733,572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1,609,155</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1,108,279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1,067,978</w:t>
            </w:r>
          </w:p>
        </w:tc>
        <w:tc>
          <w:tcPr>
            <w:tcW w:w="0" w:type="dxa"/>
            <w:vAlign w:val="bottom"/>
          </w:tcPr>
          <w:p>
            <w:pPr>
              <w:spacing w:after="0"/>
              <w:rPr>
                <w:sz w:val="1"/>
                <w:szCs w:val="1"/>
                <w:color w:val="auto"/>
              </w:rPr>
            </w:pP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Total equity</w:t>
            </w:r>
          </w:p>
        </w:tc>
        <w:tc>
          <w:tcPr>
            <w:tcW w:w="26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2,846,881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2,674,953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noncontrolling interest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200,529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165,716</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2,478,823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2,732,200</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5,526,233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5,572,869</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319,417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40,433</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Short-term debt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318,000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182,304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231,301</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Customer deposits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67,920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 net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Accrued general taxes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51,712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48,640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purchased gas costs</w:t>
            </w:r>
          </w:p>
        </w:tc>
        <w:tc>
          <w:tcPr>
            <w:tcW w:w="26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54,636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317,970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328,945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1,272,403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911,967</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694,719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647,453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404,000</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1,136,667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1,199,564</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2,240,386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2,251,017</w:t>
            </w:r>
          </w:p>
        </w:tc>
        <w:tc>
          <w:tcPr>
            <w:tcW w:w="0" w:type="dxa"/>
            <w:vAlign w:val="bottom"/>
          </w:tcPr>
          <w:p>
            <w:pPr>
              <w:spacing w:after="0"/>
              <w:rPr>
                <w:sz w:val="1"/>
                <w:szCs w:val="1"/>
                <w:color w:val="auto"/>
              </w:rPr>
            </w:pP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9,039,022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11"/>
          </w:tcPr>
          <w:p>
            <w:pPr>
              <w:jc w:val="center"/>
              <w:spacing w:after="0"/>
              <w:rPr>
                <w:sz w:val="20"/>
                <w:szCs w:val="20"/>
                <w:color w:val="auto"/>
              </w:rPr>
            </w:pPr>
            <w:r>
              <w:rPr>
                <w:rFonts w:ascii="Arial" w:cs="Arial" w:eastAsia="Arial" w:hAnsi="Arial"/>
                <w:sz w:val="18"/>
                <w:szCs w:val="18"/>
                <w:color w:val="auto"/>
                <w:w w:val="96"/>
              </w:rPr>
              <w:t>SOUTHWEST GAS HOLDINGS, INC. AND SUBSIDIARIES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3"/>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8"/>
          </w:tcPr>
          <w:p>
            <w:pPr>
              <w:jc w:val="center"/>
              <w:ind w:left="756"/>
              <w:spacing w:after="0"/>
              <w:rPr>
                <w:sz w:val="20"/>
                <w:szCs w:val="20"/>
                <w:color w:val="auto"/>
              </w:rPr>
            </w:pPr>
            <w:r>
              <w:rPr>
                <w:rFonts w:ascii="Arial" w:cs="Arial" w:eastAsia="Arial" w:hAnsi="Arial"/>
                <w:sz w:val="18"/>
                <w:szCs w:val="18"/>
                <w:color w:val="auto"/>
                <w:w w:val="88"/>
              </w:rPr>
              <w:t>(In thousands, except per share amounts)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2"/>
                <w:szCs w:val="22"/>
                <w:color w:val="auto"/>
              </w:rPr>
            </w:pPr>
          </w:p>
        </w:tc>
        <w:tc>
          <w:tcPr>
            <w:tcW w:w="1940" w:type="dxa"/>
            <w:vAlign w:val="bottom"/>
            <w:gridSpan w:val="6"/>
          </w:tcPr>
          <w:p>
            <w:pPr>
              <w:ind w:left="2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2"/>
                <w:szCs w:val="22"/>
                <w:color w:val="auto"/>
              </w:rPr>
            </w:pPr>
          </w:p>
        </w:tc>
        <w:tc>
          <w:tcPr>
            <w:tcW w:w="1960" w:type="dxa"/>
            <w:vAlign w:val="bottom"/>
            <w:gridSpan w:val="4"/>
          </w:tcPr>
          <w:p>
            <w:pPr>
              <w:ind w:left="22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87"/>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83"/>
        </w:trPr>
        <w:tc>
          <w:tcPr>
            <w:tcW w:w="6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Gas operating revenues</w:t>
            </w: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292,796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262,434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814,728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765,261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1,400,052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1,354,812</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528,625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494,813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892,600</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828,306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2,012,582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1,812,122</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821,421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757,247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1,707,328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1,593,567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3,412,634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3,166,934</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76,496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67,473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232,517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228,294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347,060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355,672</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104,833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211,523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416,439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415,812</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82,848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176,290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164,870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343,447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320,226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40,025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71,765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62,716</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478,640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430,224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814,254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749,538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1,794,145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1,620,101</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operating expenses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762,155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689,675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1,474,609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1,377,622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2,972,856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2,774,527</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59,266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232,719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215,945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439,778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392,407</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interest deductions</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(49,903)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(54,830)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auto"/>
                <w:w w:val="96"/>
              </w:rPr>
              <w:t>(106,550)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(110,828)</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income (deductions)</w:t>
            </w:r>
          </w:p>
        </w:tc>
        <w:tc>
          <w:tcPr>
            <w:tcW w:w="1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(10,745)</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other income and (expenses)</w:t>
            </w:r>
          </w:p>
        </w:tc>
        <w:tc>
          <w:tcPr>
            <w:tcW w:w="1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(27,250)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(50,766)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(67,675)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96"/>
              </w:rPr>
              <w:t>(101,357)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(121,573)</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181,953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338,421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270,834</w:t>
            </w: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36,634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35,384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67,003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59,517</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145,319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271,418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211,317</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w w:val="97"/>
              </w:rPr>
              <w:t>Net income attributable to noncontrolling interest</w:t>
            </w: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93"/>
              </w:rPr>
              <w:t>Net income attributable to Southwest Gas Holdings, Inc.</w:t>
            </w: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25,119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142,412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110,507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264,229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207,578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per share:</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30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12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w:t>
            </w: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58,607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55,462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55,386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55,105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58,197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55,171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7"/>
              </w:rPr>
              <w:t>June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1"/>
          </w:tcPr>
          <w:p>
            <w:pPr>
              <w:jc w:val="center"/>
              <w:ind w:left="190"/>
              <w:spacing w:after="0"/>
              <w:rPr>
                <w:sz w:val="20"/>
                <w:szCs w:val="20"/>
                <w:color w:val="auto"/>
              </w:rPr>
            </w:pPr>
            <w:r>
              <w:rPr>
                <w:rFonts w:ascii="Arial" w:cs="Arial" w:eastAsia="Arial" w:hAnsi="Arial"/>
                <w:sz w:val="18"/>
                <w:szCs w:val="18"/>
                <w:color w:val="auto"/>
                <w:w w:val="96"/>
              </w:rPr>
              <w:t>SOUTHWEST GAS HOLDINGS, INC. AND SUBSIDIARIES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16"/>
          </w:tcPr>
          <w:p>
            <w:pPr>
              <w:jc w:val="center"/>
              <w:ind w:left="218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40" w:type="dxa"/>
            <w:vAlign w:val="bottom"/>
            <w:gridSpan w:val="5"/>
          </w:tcPr>
          <w:p>
            <w:pPr>
              <w:jc w:val="center"/>
              <w:ind w:left="310"/>
              <w:spacing w:after="0"/>
              <w:rPr>
                <w:sz w:val="20"/>
                <w:szCs w:val="20"/>
                <w:color w:val="auto"/>
              </w:rPr>
            </w:pPr>
            <w:r>
              <w:rPr>
                <w:rFonts w:ascii="Arial" w:cs="Arial" w:eastAsia="Arial" w:hAnsi="Arial"/>
                <w:sz w:val="18"/>
                <w:szCs w:val="18"/>
                <w:color w:val="auto"/>
                <w:w w:val="91"/>
              </w:rPr>
              <w:t>(Thousands of dollars)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gridSpan w:val="4"/>
          </w:tcPr>
          <w:p>
            <w:pPr>
              <w:jc w:val="center"/>
              <w:ind w:left="5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color w:val="auto"/>
                <w:w w:val="97"/>
              </w:rPr>
              <w:t>Three Months Ended</w:t>
            </w:r>
          </w:p>
        </w:tc>
        <w:tc>
          <w:tcPr>
            <w:tcW w:w="160" w:type="dxa"/>
            <w:vAlign w:val="bottom"/>
          </w:tcPr>
          <w:p>
            <w:pPr>
              <w:spacing w:after="0"/>
              <w:rPr>
                <w:sz w:val="22"/>
                <w:szCs w:val="22"/>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22"/>
                <w:szCs w:val="22"/>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color w:val="auto"/>
                <w:w w:val="99"/>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89"/>
              </w:rPr>
              <w:t>2020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96"/>
              </w:rPr>
              <w:t>2020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6"/>
                <w:szCs w:val="16"/>
                <w:color w:val="auto"/>
              </w:rPr>
            </w:pPr>
          </w:p>
        </w:tc>
      </w:tr>
      <w:tr>
        <w:trPr>
          <w:trHeight w:val="179"/>
        </w:trPr>
        <w:tc>
          <w:tcPr>
            <w:tcW w:w="44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145,319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112,886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211,317</w:t>
            </w:r>
          </w:p>
        </w:tc>
        <w:tc>
          <w:tcPr>
            <w:tcW w:w="340" w:type="dxa"/>
            <w:vAlign w:val="bottom"/>
          </w:tcPr>
          <w:p>
            <w:pPr>
              <w:spacing w:after="0"/>
              <w:rPr>
                <w:sz w:val="15"/>
                <w:szCs w:val="15"/>
                <w:color w:val="auto"/>
              </w:rPr>
            </w:pPr>
          </w:p>
        </w:tc>
      </w:tr>
      <w:tr>
        <w:trPr>
          <w:trHeight w:val="172"/>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3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923</w:t>
            </w: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23,258</w:t>
            </w:r>
          </w:p>
        </w:tc>
        <w:tc>
          <w:tcPr>
            <w:tcW w:w="3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Prior service cost</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(1,426)</w:t>
            </w:r>
          </w:p>
        </w:tc>
        <w:tc>
          <w:tcPr>
            <w:tcW w:w="3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8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23,445</w:t>
            </w:r>
          </w:p>
        </w:tc>
        <w:tc>
          <w:tcPr>
            <w:tcW w:w="34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(7,826)</w:t>
            </w:r>
          </w:p>
        </w:tc>
        <w:tc>
          <w:tcPr>
            <w:tcW w:w="340" w:type="dxa"/>
            <w:vAlign w:val="bottom"/>
          </w:tcPr>
          <w:p>
            <w:pPr>
              <w:spacing w:after="0"/>
              <w:rPr>
                <w:sz w:val="15"/>
                <w:szCs w:val="15"/>
                <w:color w:val="auto"/>
              </w:rPr>
            </w:pPr>
          </w:p>
        </w:tc>
      </w:tr>
      <w:tr>
        <w:trPr>
          <w:trHeight w:val="172"/>
        </w:trPr>
        <w:tc>
          <w:tcPr>
            <w:tcW w:w="60" w:type="dxa"/>
            <w:vAlign w:val="bottom"/>
            <w:shd w:val="clear" w:color="auto" w:fill="CCEEFF"/>
          </w:tcPr>
          <w:p>
            <w:pPr>
              <w:spacing w:after="0"/>
              <w:rPr>
                <w:sz w:val="14"/>
                <w:szCs w:val="14"/>
                <w:color w:val="auto"/>
              </w:rPr>
            </w:pPr>
          </w:p>
        </w:tc>
        <w:tc>
          <w:tcPr>
            <w:tcW w:w="43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340" w:type="dxa"/>
            <w:vAlign w:val="bottom"/>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8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34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340" w:type="dxa"/>
            <w:vAlign w:val="bottom"/>
          </w:tcPr>
          <w:p>
            <w:pPr>
              <w:spacing w:after="0"/>
              <w:rPr>
                <w:sz w:val="15"/>
                <w:szCs w:val="15"/>
                <w:color w:val="auto"/>
              </w:rPr>
            </w:pPr>
          </w:p>
        </w:tc>
      </w:tr>
      <w:tr>
        <w:trPr>
          <w:trHeight w:val="186"/>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8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(7,036)</w:t>
            </w:r>
          </w:p>
        </w:tc>
        <w:tc>
          <w:tcPr>
            <w:tcW w:w="340" w:type="dxa"/>
            <w:vAlign w:val="bottom"/>
          </w:tcPr>
          <w:p>
            <w:pPr>
              <w:spacing w:after="0"/>
              <w:rPr>
                <w:sz w:val="16"/>
                <w:szCs w:val="16"/>
                <w:color w:val="auto"/>
              </w:rPr>
            </w:pPr>
          </w:p>
        </w:tc>
      </w:tr>
      <w:tr>
        <w:trPr>
          <w:trHeight w:val="179"/>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29,174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43,337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150,634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114,001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271,347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204,281</w:t>
            </w:r>
          </w:p>
        </w:tc>
        <w:tc>
          <w:tcPr>
            <w:tcW w:w="340" w:type="dxa"/>
            <w:vAlign w:val="bottom"/>
          </w:tcPr>
          <w:p>
            <w:pPr>
              <w:spacing w:after="0"/>
              <w:rPr>
                <w:sz w:val="15"/>
                <w:szCs w:val="15"/>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Comprehensive income attributable to noncontrolling interest</w:t>
            </w:r>
          </w:p>
        </w:tc>
        <w:tc>
          <w:tcPr>
            <w:tcW w:w="8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w:t>
            </w:r>
          </w:p>
        </w:tc>
        <w:tc>
          <w:tcPr>
            <w:tcW w:w="340" w:type="dxa"/>
            <w:vAlign w:val="bottom"/>
          </w:tcPr>
          <w:p>
            <w:pPr>
              <w:spacing w:after="0"/>
              <w:rPr>
                <w:sz w:val="16"/>
                <w:szCs w:val="16"/>
                <w:color w:val="auto"/>
              </w:rPr>
            </w:pPr>
          </w:p>
        </w:tc>
      </w:tr>
      <w:tr>
        <w:trPr>
          <w:trHeight w:val="183"/>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 attributable to Southwest Gas Holdings, Inc.</w:t>
            </w:r>
          </w:p>
        </w:tc>
        <w:tc>
          <w:tcPr>
            <w:tcW w:w="88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27,819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41,421</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147,727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111,622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264,158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200,542</w:t>
            </w:r>
          </w:p>
        </w:tc>
        <w:tc>
          <w:tcPr>
            <w:tcW w:w="34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5"/>
          </w:tcPr>
          <w:p>
            <w:pPr>
              <w:jc w:val="right"/>
              <w:spacing w:after="0"/>
              <w:rPr>
                <w:sz w:val="20"/>
                <w:szCs w:val="20"/>
                <w:color w:val="auto"/>
              </w:rPr>
            </w:pPr>
            <w:r>
              <w:rPr>
                <w:rFonts w:ascii="Arial" w:cs="Arial" w:eastAsia="Arial" w:hAnsi="Arial"/>
                <w:sz w:val="18"/>
                <w:szCs w:val="18"/>
                <w:color w:val="auto"/>
              </w:rPr>
              <w:t>SOUTHWEST GAS HOLDINGS,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2"/>
                <w:szCs w:val="22"/>
                <w:color w:val="auto"/>
              </w:rPr>
            </w:pPr>
          </w:p>
        </w:tc>
        <w:tc>
          <w:tcPr>
            <w:tcW w:w="192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96"/>
              </w:rPr>
              <w:t>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145,319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112,886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271,418</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211,317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176,290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164,870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343,447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320,226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44,178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63,774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53,452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(61,379)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(287,687)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53,595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(305,043)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38,445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16,534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78,538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Gains on sale of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Equity AFUDC</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(13,449)</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(61,129)</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375,140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252,297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597,096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(28,105)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18,789</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(321,383)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(414,542)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(708,910)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(885,705)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common stock,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121,302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205,049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(67,130)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(61,445)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(131,189)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(120,834)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long-term debt,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82,245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620,303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124,319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730,305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Retirement of long-term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(117,536)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(299,370)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(277,721)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credit facility and commercial paper</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Change in short-term debt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211,000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58,000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284,051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189,624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304,001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449,838</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Effects of currency translation on cash and cash equivalents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161,145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83,352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199,591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38,446</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199,591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47,565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199,591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47,475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51,430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101,227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gridSpan w:val="3"/>
            <w:vMerge w:val="restart"/>
          </w:tcPr>
          <w:p>
            <w:pPr>
              <w:ind w:left="32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6,659</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(19,410)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15,118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(18,490)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89"/>
              </w:rPr>
              <w:t>June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6"/>
              </w:rPr>
              <w:t>SOUTHWEST GAS HOLDINGS, INC. AND SUBSIDIARIES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(In thousands, except per share amounts)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78"/>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55,126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55,007</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59,625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56,756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58,823</w:t>
            </w:r>
          </w:p>
        </w:tc>
        <w:tc>
          <w:tcPr>
            <w:tcW w:w="12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56,637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57,540</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1,660,108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1,470,411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1,466,937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56,693</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1,733,572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1,523,630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1,733,572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1,523,630</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(56,732)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420" w:type="dxa"/>
            <w:vAlign w:val="bottom"/>
            <w:gridSpan w:val="3"/>
          </w:tcPr>
          <w:p>
            <w:pPr>
              <w:ind w:left="900"/>
              <w:spacing w:after="0" w:line="166" w:lineRule="exact"/>
              <w:rPr>
                <w:sz w:val="20"/>
                <w:szCs w:val="20"/>
                <w:color w:val="auto"/>
              </w:rPr>
            </w:pPr>
            <w:r>
              <w:rPr>
                <w:rFonts w:ascii="Arial" w:cs="Arial" w:eastAsia="Arial" w:hAnsi="Arial"/>
                <w:sz w:val="16"/>
                <w:szCs w:val="16"/>
                <w:color w:val="auto"/>
                <w:w w:val="97"/>
              </w:rPr>
              <w:t>Net actuarial gain arising during period, less amortization of unamortized benefit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420" w:type="dxa"/>
            <w:vAlign w:val="bottom"/>
            <w:gridSpan w:val="3"/>
          </w:tcPr>
          <w:p>
            <w:pPr>
              <w:ind w:left="1060"/>
              <w:spacing w:after="0"/>
              <w:rPr>
                <w:sz w:val="20"/>
                <w:szCs w:val="20"/>
                <w:color w:val="auto"/>
              </w:rPr>
            </w:pPr>
            <w:r>
              <w:rPr>
                <w:rFonts w:ascii="Arial" w:cs="Arial" w:eastAsia="Arial" w:hAnsi="Arial"/>
                <w:sz w:val="16"/>
                <w:szCs w:val="16"/>
                <w:color w:val="auto"/>
              </w:rPr>
              <w:t>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(55,617)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(55,688)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(55,617)</w:t>
            </w:r>
          </w:p>
        </w:tc>
        <w:tc>
          <w:tcPr>
            <w:tcW w:w="0" w:type="dxa"/>
            <w:vAlign w:val="bottom"/>
          </w:tcPr>
          <w:p>
            <w:pPr>
              <w:spacing w:after="0"/>
              <w:rPr>
                <w:sz w:val="1"/>
                <w:szCs w:val="1"/>
                <w:color w:val="auto"/>
              </w:rPr>
            </w:pPr>
          </w:p>
        </w:tc>
      </w:tr>
      <w:tr>
        <w:trPr>
          <w:trHeight w:val="199"/>
        </w:trPr>
        <w:tc>
          <w:tcPr>
            <w:tcW w:w="64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1,112,377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1,079,801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1,039,072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110,507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900"/>
              <w:spacing w:after="0"/>
              <w:rPr>
                <w:sz w:val="20"/>
                <w:szCs w:val="20"/>
                <w:color w:val="auto"/>
              </w:rPr>
            </w:pPr>
            <w:r>
              <w:rPr>
                <w:rFonts w:ascii="Arial" w:cs="Arial" w:eastAsia="Arial" w:hAnsi="Arial"/>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(63,837)</w:t>
            </w:r>
          </w:p>
        </w:tc>
        <w:tc>
          <w:tcPr>
            <w:tcW w:w="0" w:type="dxa"/>
            <w:vAlign w:val="bottom"/>
          </w:tcPr>
          <w:p>
            <w:pPr>
              <w:spacing w:after="0"/>
              <w:rPr>
                <w:sz w:val="1"/>
                <w:szCs w:val="1"/>
                <w:color w:val="auto"/>
              </w:rPr>
            </w:pPr>
          </w:p>
        </w:tc>
      </w:tr>
      <w:tr>
        <w:trPr>
          <w:trHeight w:val="233"/>
        </w:trPr>
        <w:tc>
          <w:tcPr>
            <w:tcW w:w="60" w:type="dxa"/>
            <w:vAlign w:val="bottom"/>
            <w:shd w:val="clear" w:color="auto" w:fill="CCEEFF"/>
          </w:tcPr>
          <w:p>
            <w:pPr>
              <w:spacing w:after="0"/>
              <w:rPr>
                <w:sz w:val="20"/>
                <w:szCs w:val="20"/>
                <w:color w:val="auto"/>
              </w:rPr>
            </w:pPr>
          </w:p>
        </w:tc>
        <w:tc>
          <w:tcPr>
            <w:tcW w:w="642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Redemption value adjustments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1,108,279</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1,085,742</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1,108,279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1,085,742</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2,846,881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2,611,295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2,846,881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2,611,295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80" w:type="dxa"/>
            <w:vAlign w:val="bottom"/>
            <w:gridSpan w:val="4"/>
          </w:tcPr>
          <w:p>
            <w:pPr>
              <w:ind w:left="2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June 30, 2021</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SOUTHWEST GAS CORPORATION AND SUBSIDIARIES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color w:val="auto"/>
              </w:rPr>
              <w:t>June 30, 2021</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2020</w:t>
            </w:r>
          </w:p>
        </w:tc>
      </w:tr>
      <w:tr>
        <w:trPr>
          <w:trHeight w:val="175"/>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8,664,624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Less: accumulated depreciation</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(2,481,016)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(2,419,348)</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utility plant</w:t>
            </w: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6,334,966</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149,497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143,611</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receivable, net of allowance</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118,842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146,861</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Income taxes receivable, net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11,826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Prepaid and other current assets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120,587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152,748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562,577</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436,287</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charges and other assets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471,548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490,562</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481,643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500,657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7,528,683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color w:val="auto"/>
              </w:rPr>
              <w:t>CAPITALIZATION AND LIABILITIES</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1,529,419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1,410,345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908,757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835,146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2,429,736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2,233,468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Long-term debt, less current maturities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2,163,832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2,438,206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4,593,568</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4,671,674</w:t>
            </w:r>
          </w:p>
        </w:tc>
        <w:tc>
          <w:tcPr>
            <w:tcW w:w="120" w:type="dxa"/>
            <w:vAlign w:val="bottom"/>
          </w:tcPr>
          <w:p>
            <w:pPr>
              <w:spacing w:after="0"/>
              <w:rPr>
                <w:sz w:val="16"/>
                <w:szCs w:val="16"/>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Current maturities of long-term debt</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Short-term debt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291,000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57,000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Customer deposits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44,088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67,920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general taxes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Accrued interest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19,594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20,495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Payable to parent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146,046</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923,263</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556,525</w:t>
            </w:r>
          </w:p>
        </w:tc>
        <w:tc>
          <w:tcPr>
            <w:tcW w:w="120" w:type="dxa"/>
            <w:vAlign w:val="bottom"/>
          </w:tcPr>
          <w:p>
            <w:pPr>
              <w:spacing w:after="0"/>
              <w:rPr>
                <w:sz w:val="15"/>
                <w:szCs w:val="15"/>
                <w:color w:val="auto"/>
              </w:rPr>
            </w:pPr>
          </w:p>
        </w:tc>
      </w:tr>
      <w:tr>
        <w:trPr>
          <w:trHeight w:val="172"/>
        </w:trPr>
        <w:tc>
          <w:tcPr>
            <w:tcW w:w="120" w:type="dxa"/>
            <w:vAlign w:val="bottom"/>
          </w:tcPr>
          <w:p>
            <w:pPr>
              <w:spacing w:after="0"/>
              <w:rPr>
                <w:sz w:val="14"/>
                <w:szCs w:val="14"/>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620,410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581,100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982,442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1,043,337</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2,011,852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2,028,437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capitalization and liabilities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7,528,683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10"/>
          </w:tcPr>
          <w:p>
            <w:pPr>
              <w:jc w:val="center"/>
              <w:ind w:left="130"/>
              <w:spacing w:after="0"/>
              <w:rPr>
                <w:sz w:val="20"/>
                <w:szCs w:val="20"/>
                <w:color w:val="auto"/>
              </w:rPr>
            </w:pPr>
            <w:r>
              <w:rPr>
                <w:rFonts w:ascii="Arial" w:cs="Arial" w:eastAsia="Arial" w:hAnsi="Arial"/>
                <w:sz w:val="18"/>
                <w:szCs w:val="18"/>
                <w:color w:val="auto"/>
                <w:w w:val="95"/>
              </w:rPr>
              <w:t>SOUTHWEST GAS CORPORATION AND SUBSIDIARIES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gridSpan w:val="11"/>
          </w:tcPr>
          <w:p>
            <w:pPr>
              <w:jc w:val="center"/>
              <w:ind w:right="8"/>
              <w:spacing w:after="0"/>
              <w:rPr>
                <w:sz w:val="20"/>
                <w:szCs w:val="20"/>
                <w:color w:val="auto"/>
              </w:rPr>
            </w:pPr>
            <w:r>
              <w:rPr>
                <w:rFonts w:ascii="Arial" w:cs="Arial" w:eastAsia="Arial" w:hAnsi="Arial"/>
                <w:sz w:val="18"/>
                <w:szCs w:val="18"/>
                <w:color w:val="auto"/>
                <w:w w:val="95"/>
              </w:rPr>
              <w:t>CONDENSED CONSOLIDATED STATEMENTS OF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(Thousands of dollars)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2"/>
                <w:szCs w:val="22"/>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87"/>
              <w:spacing w:after="0"/>
              <w:rPr>
                <w:sz w:val="20"/>
                <w:szCs w:val="20"/>
                <w:color w:val="auto"/>
              </w:rPr>
            </w:pPr>
            <w:r>
              <w:rPr>
                <w:rFonts w:ascii="Arial" w:cs="Arial" w:eastAsia="Arial" w:hAnsi="Arial"/>
                <w:sz w:val="14"/>
                <w:szCs w:val="14"/>
                <w:color w:val="auto"/>
              </w:rPr>
              <w:t>June 30,</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2020</w:t>
            </w:r>
          </w:p>
        </w:tc>
      </w:tr>
      <w:tr>
        <w:trPr>
          <w:trHeight w:val="179"/>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Gas operating revenues</w:t>
            </w:r>
          </w:p>
        </w:tc>
        <w:tc>
          <w:tcPr>
            <w:tcW w:w="1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292,796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262,434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814,728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765,261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1,400,052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1,354,812</w:t>
            </w:r>
          </w:p>
        </w:tc>
      </w:tr>
      <w:tr>
        <w:trPr>
          <w:trHeight w:val="17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76,496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67,473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232,517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228,294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347,060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355,672</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103,137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209,272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413,246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414,049</w:t>
            </w: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126,329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117,923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243,701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226,588</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71,765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62,716</w:t>
            </w:r>
          </w:p>
        </w:tc>
      </w:tr>
      <w:tr>
        <w:trPr>
          <w:trHeight w:val="179"/>
        </w:trPr>
        <w:tc>
          <w:tcPr>
            <w:tcW w:w="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1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256,602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235,333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608,143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580,345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1,075,772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1,059,025</w:t>
            </w:r>
          </w:p>
        </w:tc>
      </w:tr>
      <w:tr>
        <w:trPr>
          <w:trHeight w:val="186"/>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36,194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206,585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184,916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324,280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295,787</w:t>
            </w:r>
          </w:p>
        </w:tc>
      </w:tr>
      <w:tr>
        <w:trPr>
          <w:trHeight w:val="16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(97,631)</w:t>
            </w:r>
          </w:p>
        </w:tc>
      </w:tr>
      <w:tr>
        <w:trPr>
          <w:trHeight w:val="186"/>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1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(10,719)</w:t>
            </w:r>
          </w:p>
        </w:tc>
      </w:tr>
      <w:tr>
        <w:trPr>
          <w:trHeight w:val="186"/>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(61,747)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(108,350)</w:t>
            </w:r>
          </w:p>
        </w:tc>
      </w:tr>
      <w:tr>
        <w:trPr>
          <w:trHeight w:val="17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before income taxes</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159,629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123,169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231,333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187,437</w:t>
            </w:r>
          </w:p>
        </w:tc>
      </w:tr>
      <w:tr>
        <w:trPr>
          <w:trHeight w:val="19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29,501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27,628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37,628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35,483</w:t>
            </w:r>
          </w:p>
        </w:tc>
      </w:t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14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130,128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193,705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151,954</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SOUTHWEST GAS HOLDINGS, INC.</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85"/>
              </w:rPr>
              <w:t>June 30,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10"/>
          </w:tcPr>
          <w:p>
            <w:pPr>
              <w:jc w:val="center"/>
              <w:ind w:right="120"/>
              <w:spacing w:after="0"/>
              <w:rPr>
                <w:sz w:val="20"/>
                <w:szCs w:val="20"/>
                <w:color w:val="auto"/>
              </w:rPr>
            </w:pPr>
            <w:r>
              <w:rPr>
                <w:rFonts w:ascii="Arial" w:cs="Arial" w:eastAsia="Arial" w:hAnsi="Arial"/>
                <w:sz w:val="18"/>
                <w:szCs w:val="18"/>
                <w:color w:val="auto"/>
                <w:w w:val="95"/>
              </w:rPr>
              <w:t>SOUTHWEST GAS CORPORATION AND SUBSIDIARIES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80" w:type="dxa"/>
            <w:vAlign w:val="bottom"/>
            <w:gridSpan w:val="16"/>
          </w:tcPr>
          <w:p>
            <w:pPr>
              <w:jc w:val="center"/>
              <w:ind w:left="18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7"/>
          </w:tcPr>
          <w:p>
            <w:pPr>
              <w:jc w:val="center"/>
              <w:ind w:left="83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880" w:type="dxa"/>
            <w:vAlign w:val="bottom"/>
            <w:gridSpan w:val="5"/>
          </w:tcPr>
          <w:p>
            <w:pPr>
              <w:ind w:left="24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2"/>
                <w:szCs w:val="22"/>
                <w:color w:val="auto"/>
              </w:rPr>
            </w:pPr>
          </w:p>
        </w:tc>
        <w:tc>
          <w:tcPr>
            <w:tcW w:w="1780" w:type="dxa"/>
            <w:vAlign w:val="bottom"/>
            <w:gridSpan w:val="4"/>
          </w:tcPr>
          <w:p>
            <w:pPr>
              <w:jc w:val="right"/>
              <w:ind w:right="2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687"/>
              <w:spacing w:after="0"/>
              <w:rPr>
                <w:sz w:val="20"/>
                <w:szCs w:val="20"/>
                <w:color w:val="auto"/>
              </w:rPr>
            </w:pPr>
            <w:r>
              <w:rPr>
                <w:rFonts w:ascii="Arial" w:cs="Arial" w:eastAsia="Arial" w:hAnsi="Arial"/>
                <w:sz w:val="14"/>
                <w:szCs w:val="14"/>
                <w:color w:val="auto"/>
              </w:rPr>
              <w:t>June 30,</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1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193,705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151,954</w:t>
            </w:r>
          </w:p>
        </w:tc>
      </w:tr>
      <w:tr>
        <w:trPr>
          <w:trHeight w:val="17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233"/>
        </w:trPr>
        <w:tc>
          <w:tcPr>
            <w:tcW w:w="60" w:type="dxa"/>
            <w:vAlign w:val="bottom"/>
            <w:shd w:val="clear" w:color="auto" w:fill="CCEEFF"/>
          </w:tcPr>
          <w:p>
            <w:pPr>
              <w:spacing w:after="0"/>
              <w:rPr>
                <w:sz w:val="20"/>
                <w:szCs w:val="20"/>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Prior service cost</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net actuarial loss</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23,258</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19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23,445</w:t>
            </w:r>
          </w:p>
        </w:tc>
      </w:tr>
      <w:tr>
        <w:trPr>
          <w:trHeight w:val="179"/>
        </w:trPr>
        <w:tc>
          <w:tcPr>
            <w:tcW w:w="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1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(7,826)</w:t>
            </w:r>
          </w:p>
        </w:tc>
      </w:tr>
      <w:tr>
        <w:trPr>
          <w:trHeight w:val="172"/>
        </w:trPr>
        <w:tc>
          <w:tcPr>
            <w:tcW w:w="6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Forward-starting interest rate swaps (“FSIRS”):</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19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r>
      <w:tr>
        <w:trPr>
          <w:trHeight w:val="186"/>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92"/>
              </w:rPr>
              <w:t>Net forward-starting interest rate swaps</w:t>
            </w:r>
          </w:p>
        </w:tc>
        <w:tc>
          <w:tcPr>
            <w:tcW w:w="19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1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(5,727)</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w:t>
            </w:r>
          </w:p>
        </w:tc>
      </w:tr>
      <w:tr>
        <w:trPr>
          <w:trHeight w:val="211"/>
        </w:trPr>
        <w:tc>
          <w:tcPr>
            <w:tcW w:w="3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187,978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146,669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5"/>
              </w:rPr>
              <w:t>June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2"/>
                <w:szCs w:val="22"/>
                <w:color w:val="auto"/>
              </w:rPr>
            </w:pPr>
          </w:p>
        </w:tc>
        <w:tc>
          <w:tcPr>
            <w:tcW w:w="1900" w:type="dxa"/>
            <w:vAlign w:val="bottom"/>
            <w:gridSpan w:val="4"/>
          </w:tcPr>
          <w:p>
            <w:pPr>
              <w:jc w:val="center"/>
              <w:ind w:right="168"/>
              <w:spacing w:after="0"/>
              <w:rPr>
                <w:sz w:val="20"/>
                <w:szCs w:val="20"/>
                <w:color w:val="auto"/>
              </w:rPr>
            </w:pPr>
            <w:r>
              <w:rPr>
                <w:rFonts w:ascii="Arial" w:cs="Arial" w:eastAsia="Arial" w:hAnsi="Arial"/>
                <w:sz w:val="14"/>
                <w:szCs w:val="14"/>
                <w:color w:val="auto"/>
                <w:w w:val="93"/>
              </w:rPr>
              <w:t>Twelve Months Ended</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color w:val="auto"/>
                <w:w w:val="89"/>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151,954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226,588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38,178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64,989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23,684</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(287,687)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(305,043)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38,445</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26,693</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86,094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Equity AFUDC</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(25,120)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(55,173)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(61,698)</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353,589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41,080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459,531</w:t>
            </w:r>
          </w:p>
        </w:tc>
        <w:tc>
          <w:tcPr>
            <w:tcW w:w="0" w:type="dxa"/>
            <w:vAlign w:val="bottom"/>
          </w:tcPr>
          <w:p>
            <w:pPr>
              <w:spacing w:after="0"/>
              <w:rPr>
                <w:sz w:val="1"/>
                <w:szCs w:val="1"/>
                <w:color w:val="auto"/>
              </w:rPr>
            </w:pPr>
          </w:p>
        </w:tc>
      </w:tr>
      <w:tr>
        <w:trPr>
          <w:trHeight w:val="172"/>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(276,109)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(354,501)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(613,824)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(767,998)</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(268,596)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(350,303)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(595,705)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(754,328)</w:t>
            </w:r>
          </w:p>
        </w:tc>
        <w:tc>
          <w:tcPr>
            <w:tcW w:w="0" w:type="dxa"/>
            <w:vAlign w:val="bottom"/>
          </w:tcPr>
          <w:p>
            <w:pPr>
              <w:spacing w:after="0"/>
              <w:rPr>
                <w:sz w:val="1"/>
                <w:szCs w:val="1"/>
                <w:color w:val="auto"/>
              </w:rPr>
            </w:pP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Contributions from parent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115,641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157,344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(53,500)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(106,900)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(100,700)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credit facility and commercial paper</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 in short-term debt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67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294,636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147,009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401,559</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453,138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158,341</w:t>
            </w: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190,784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32,443</w:t>
            </w:r>
          </w:p>
        </w:tc>
        <w:tc>
          <w:tcPr>
            <w:tcW w:w="0" w:type="dxa"/>
            <w:vAlign w:val="bottom"/>
          </w:tcPr>
          <w:p>
            <w:pPr>
              <w:spacing w:after="0"/>
              <w:rPr>
                <w:sz w:val="1"/>
                <w:szCs w:val="1"/>
                <w:color w:val="auto"/>
              </w:rPr>
            </w:pPr>
          </w:p>
        </w:tc>
      </w:tr>
      <w:tr>
        <w:trPr>
          <w:trHeight w:val="208"/>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190,784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37,718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190,784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82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46,576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94,984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92,381</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gridSpan w:val="3"/>
            <w:vMerge w:val="restart"/>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60" w:type="dxa"/>
            <w:vAlign w:val="bottom"/>
            <w:tcBorders>
              <w:top w:val="single" w:sz="8" w:color="CCEEFF"/>
            </w:tcBorders>
            <w:gridSpan w:val="3"/>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(22,962)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(22,262)</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4"/>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gridSpan w:val="5"/>
          </w:tcPr>
          <w:p>
            <w:pPr>
              <w:jc w:val="center"/>
              <w:ind w:left="10"/>
              <w:spacing w:after="0"/>
              <w:rPr>
                <w:sz w:val="20"/>
                <w:szCs w:val="20"/>
                <w:color w:val="auto"/>
              </w:rPr>
            </w:pPr>
            <w:r>
              <w:rPr>
                <w:rFonts w:ascii="Arial" w:cs="Arial" w:eastAsia="Arial" w:hAnsi="Arial"/>
                <w:sz w:val="18"/>
                <w:szCs w:val="18"/>
                <w:color w:val="auto"/>
                <w:w w:val="95"/>
              </w:rPr>
              <w:t>CONDENSED CONSOLIDATED STATEMENTS OF EQUITY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jc w:val="center"/>
              <w:ind w:left="143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jc w:val="center"/>
              <w:ind w:left="143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24"/>
                <w:szCs w:val="24"/>
                <w:color w:val="auto"/>
              </w:rPr>
            </w:pPr>
          </w:p>
        </w:tc>
        <w:tc>
          <w:tcPr>
            <w:tcW w:w="1980" w:type="dxa"/>
            <w:vAlign w:val="bottom"/>
            <w:gridSpan w:val="4"/>
          </w:tcPr>
          <w:p>
            <w:pPr>
              <w:jc w:val="right"/>
              <w:ind w:right="41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49,112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67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1,458,344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1,279,208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1,229,083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3"/>
          </w:tcPr>
          <w:p>
            <w:pPr>
              <w:ind w:left="620"/>
              <w:spacing w:after="0"/>
              <w:rPr>
                <w:sz w:val="20"/>
                <w:szCs w:val="20"/>
                <w:color w:val="auto"/>
              </w:rPr>
            </w:pPr>
            <w:r>
              <w:rPr>
                <w:rFonts w:ascii="Arial" w:cs="Arial" w:eastAsia="Arial" w:hAnsi="Arial"/>
                <w:sz w:val="16"/>
                <w:szCs w:val="16"/>
                <w:color w:val="auto"/>
              </w:rPr>
              <w:t>Contributions from Southwest Gas Holdings, Inc.</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99,500</w:t>
            </w:r>
          </w:p>
        </w:tc>
        <w:tc>
          <w:tcPr>
            <w:tcW w:w="0" w:type="dxa"/>
            <w:vAlign w:val="bottom"/>
          </w:tcPr>
          <w:p>
            <w:pPr>
              <w:spacing w:after="0"/>
              <w:rPr>
                <w:sz w:val="1"/>
                <w:szCs w:val="1"/>
                <w:color w:val="auto"/>
              </w:rPr>
            </w:pPr>
          </w:p>
        </w:tc>
      </w:tr>
      <w:tr>
        <w:trPr>
          <w:trHeight w:val="213"/>
        </w:trPr>
        <w:tc>
          <w:tcPr>
            <w:tcW w:w="6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1,329,843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1,529,419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1,329,843</w:t>
            </w:r>
          </w:p>
        </w:tc>
        <w:tc>
          <w:tcPr>
            <w:tcW w:w="0" w:type="dxa"/>
            <w:vAlign w:val="bottom"/>
          </w:tcPr>
          <w:p>
            <w:pPr>
              <w:spacing w:after="0"/>
              <w:rPr>
                <w:sz w:val="1"/>
                <w:szCs w:val="1"/>
                <w:color w:val="auto"/>
              </w:rPr>
            </w:pPr>
          </w:p>
        </w:tc>
      </w:tr>
      <w:tr>
        <w:trPr>
          <w:trHeight w:val="193"/>
        </w:trPr>
        <w:tc>
          <w:tcPr>
            <w:tcW w:w="676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700" w:type="dxa"/>
            <w:vAlign w:val="bottom"/>
            <w:gridSpan w:val="3"/>
          </w:tcPr>
          <w:p>
            <w:pPr>
              <w:ind w:left="62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 cost,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700" w:type="dxa"/>
            <w:vAlign w:val="bottom"/>
            <w:gridSpan w:val="3"/>
          </w:tcPr>
          <w:p>
            <w:pPr>
              <w:ind w:left="780"/>
              <w:spacing w:after="0"/>
              <w:rPr>
                <w:sz w:val="20"/>
                <w:szCs w:val="20"/>
                <w:color w:val="auto"/>
              </w:rPr>
            </w:pPr>
            <w:r>
              <w:rPr>
                <w:rFonts w:ascii="Arial" w:cs="Arial" w:eastAsia="Arial" w:hAnsi="Arial"/>
                <w:sz w:val="16"/>
                <w:szCs w:val="16"/>
                <w:color w:val="auto"/>
              </w:rPr>
              <w:t>net of tax</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FSIRS amounts reclassified to net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(57,552)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(51,825)</w:t>
            </w:r>
          </w:p>
        </w:tc>
        <w:tc>
          <w:tcPr>
            <w:tcW w:w="0" w:type="dxa"/>
            <w:vAlign w:val="bottom"/>
          </w:tcPr>
          <w:p>
            <w:pPr>
              <w:spacing w:after="0"/>
              <w:rPr>
                <w:sz w:val="1"/>
                <w:szCs w:val="1"/>
                <w:color w:val="auto"/>
              </w:rPr>
            </w:pPr>
          </w:p>
        </w:tc>
      </w:tr>
      <w:tr>
        <w:trPr>
          <w:trHeight w:val="199"/>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839,443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782,108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95,541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700" w:type="dxa"/>
            <w:vAlign w:val="bottom"/>
            <w:gridSpan w:val="3"/>
          </w:tcPr>
          <w:p>
            <w:pPr>
              <w:ind w:left="62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Dividends declared to Southwest Gas Holdings, Inc.</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(52,300)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824,847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908,757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824,847</w:t>
            </w:r>
          </w:p>
        </w:tc>
        <w:tc>
          <w:tcPr>
            <w:tcW w:w="0" w:type="dxa"/>
            <w:vAlign w:val="bottom"/>
          </w:tcPr>
          <w:p>
            <w:pPr>
              <w:spacing w:after="0"/>
              <w:rPr>
                <w:sz w:val="1"/>
                <w:szCs w:val="1"/>
                <w:color w:val="auto"/>
              </w:rPr>
            </w:pPr>
          </w:p>
        </w:tc>
      </w:tr>
      <w:tr>
        <w:trPr>
          <w:trHeight w:val="233"/>
        </w:trPr>
        <w:tc>
          <w:tcPr>
            <w:tcW w:w="6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2,429,736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2,151,977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2,429,736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2,151,977</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Centuri entered into an agreement to acquire Drum Parent, Inc. (“Drum”) and its U.S. operations, consisting principally of the utility infrastructure services operations of Drum’s primary subsidiary, Riggs Distler &amp; Company, Inc. (“Riggs”). Upon closing, the agreement provides for consideration of $855 million subject to certain holdbacks and working capital adjustments, and also includes certain termination rights, including mutual rights if the transaction is not completed before October 31, 2021. The operations to be acquired would expand Centuri’s electric services footprint in the Northeast and Mid-Atlantic regions of the U.S. The Company plans to fund this acquisition with a new term loan to be executed by Centuri. The transaction is expected to be completed in the third quarter of 2021.</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of Southwest Gas Holdings, Inc. and subsidiaries (the “Company”) and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herein have been prepared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In association with the novel Coronavirus (“COVID-19”) pandemic environment, utility operations, and to a large extent, utility infrastructure services, have been deemed “essential services.” Management has considered the impact of the pandemic and adjusted certain estimates, where relevant, used in the preparation of the condensed consolidated financial statements.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included in the 2020 Annual Report to Stockholders, which is incorporated by reference into the 2020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primarily used quoted market prices and other observable market pricing information in valuing cash and cash equivalents, long-term debt outstanding, and assets of the qualified pension plan and postretirement benefit plans required to be recorded and/or disclosed at fair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3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146,762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140,874</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Corporation</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149,497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143,611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1,089,414</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(457,698)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(422,741)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Holdings,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834,245</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original maturities of three months or less. Such investments are carried at cost, which approximates market value. Cash and cash equivalents of Southwest and the Company include an insignificant amount of money market fund investments for each entity at June 30, 2021 and December 31, 2020, respectively, which fall within Level 2 of the fair value hierarchy, due to the asset valuation methods used by money market funds.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Typical non-cash investing activities include customer advances applied as contributions toward utility construction activity, and capital expenditures that were not paid as of period-end reporting dates, but rather included in accounts payable. Typical activities that represent aspects of both non-cash investing and non-cash financing activities relate to right-of-use assets obtained in exchange for lease liabilities (including, at times, lease terminations and modifications). Amounts related to these collective activities were immaterial for the periods presented herein.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Accounts Receivable, net of allowances. </w:t>
      </w:r>
      <w:r>
        <w:rPr>
          <w:rFonts w:ascii="Arial" w:cs="Arial" w:eastAsia="Arial" w:hAnsi="Arial"/>
          <w:sz w:val="17"/>
          <w:szCs w:val="17"/>
          <w:color w:val="auto"/>
        </w:rPr>
        <w:t>Business activity with respect to natural gas utility operations is conducted with customers located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w:t>
      </w:r>
      <w:r>
        <w:rPr>
          <w:rFonts w:ascii="Arial" w:cs="Arial" w:eastAsia="Arial" w:hAnsi="Arial"/>
          <w:sz w:val="17"/>
          <w:szCs w:val="17"/>
          <w:color w:val="212529"/>
        </w:rPr>
        <w:t>Due to COVID-19, Southwest continued the moratorium initiated in March 2020 on disconnection of natural gas service for non-payment;</w:t>
      </w:r>
      <w:r>
        <w:rPr>
          <w:rFonts w:ascii="Arial" w:cs="Arial" w:eastAsia="Arial" w:hAnsi="Arial"/>
          <w:sz w:val="17"/>
          <w:szCs w:val="17"/>
          <w:color w:val="auto"/>
        </w:rPr>
        <w:t xml:space="preserve"> </w:t>
      </w:r>
      <w:r>
        <w:rPr>
          <w:rFonts w:ascii="Arial" w:cs="Arial" w:eastAsia="Arial" w:hAnsi="Arial"/>
          <w:sz w:val="17"/>
          <w:szCs w:val="17"/>
          <w:color w:val="212529"/>
        </w:rPr>
        <w:t xml:space="preserve">however, Southwest expects to lift the moratorium in the second half of 2021. While the moratorium on disconnections continues, Southwest began assessing late fees on past-due balances for Arizona and Nevada in April 2021, and expects to recommence late fee assessments in the California jurisdiction in the latter half of 2021. Southwest is actively working with customers experiencing financial hardship by means of flexible payment options. Management continues to monitor expected credit losses in light of the impact of COVID-19. The allowance for uncollectible accounts receivable balances as of </w:t>
      </w:r>
      <w:r>
        <w:rPr>
          <w:rFonts w:ascii="Arial" w:cs="Arial" w:eastAsia="Arial" w:hAnsi="Arial"/>
          <w:sz w:val="17"/>
          <w:szCs w:val="17"/>
          <w:color w:val="000000"/>
        </w:rPr>
        <w:t>June 30, 2021</w:t>
      </w:r>
      <w:r>
        <w:rPr>
          <w:rFonts w:ascii="Arial" w:cs="Arial" w:eastAsia="Arial" w:hAnsi="Arial"/>
          <w:sz w:val="17"/>
          <w:szCs w:val="17"/>
          <w:color w:val="212529"/>
        </w:rPr>
        <w:t xml:space="preserve"> reflects the expected impact from the pandemic on balances as of that date, including consideration of customers’ ability to pay currently and once the moratorium on disconnections is lifted.</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 has not been significantly impacted, nor does it anticipate it will experience significant difficulty in collecting amounts due, as a result of the current environment surrounding COVID-19 given the nature of its customers.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between periods in the allowance for uncollectible accounts and the balances as of the periods presented within the Company’s and Southwest’s financial statements were not material to the condensed consolidated financial statements overall.</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Purchased Gas Costs</w:t>
      </w:r>
      <w:r>
        <w:rPr>
          <w:rFonts w:ascii="Arial" w:cs="Arial" w:eastAsia="Arial" w:hAnsi="Arial"/>
          <w:sz w:val="18"/>
          <w:szCs w:val="18"/>
          <w:color w:val="auto"/>
        </w:rPr>
        <w:t>. The various regulatory commissions have established procedures to enable Southwest to adjust its billing rates for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mid-February 2021, the central U.S. (from south Texas to North Dakota and the eastern Rocky Mountains) experienced extreme cold temperatures, which increased natural gas demand and caused supply issues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Bank Term Loan executed in March 2021 (see </w:t>
      </w:r>
      <w:r>
        <w:rPr>
          <w:rFonts w:ascii="Arial" w:cs="Arial" w:eastAsia="Arial" w:hAnsi="Arial"/>
          <w:sz w:val="17"/>
          <w:szCs w:val="17"/>
          <w:b w:val="1"/>
          <w:bCs w:val="1"/>
          <w:color w:val="auto"/>
        </w:rPr>
        <w:t>Note 5 – Debt)</w:t>
      </w:r>
      <w:r>
        <w:rPr>
          <w:rFonts w:ascii="Arial" w:cs="Arial" w:eastAsia="Arial" w:hAnsi="Arial"/>
          <w:sz w:val="17"/>
          <w:szCs w:val="17"/>
          <w:color w:val="auto"/>
        </w:rPr>
        <w:t>. The incremental gas costs are expected to be collected from customers through the purchased gas adjustment (“PGA”) mechanisms.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extreme weather event, an interstate transmission pipeline company billed Southwest, in addition to customary transmission costs, $65 million (later reduced to approximately $55 million) for pipeline imbalance charges, allegedly incurred during the period of the pipeline’s critical operation condition. However, Southwest has formally disputed these imbalance charges, in addition to interest on that amount, believing that no amounts were due to the pipeline. In June 2021, the interstate transmission pipeline company requested approval from the Federal Energy Regulatory Commission (the “FERC”) to waive these imbalance charges and interest, affirming that they had the authority to elect the option to waive the underlying charges based on their tariff, but were seeking approval by the FERC for purposes of transparency and regulatory certainty. Approval of this request is pending. Consequently, Southwest has not recognized this charge. Pipeline transmission costs, including periodic imbalance charges, are components of the cost of gas recovered from customers through the PGA and similar mechanisms.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includes gas pipe materials and operating supplies of $51 million at June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at December 31, 2020 (carried at weighted average cost).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assessed as of October 1</w:t>
      </w:r>
      <w:r>
        <w:rPr>
          <w:rFonts w:ascii="Arial" w:cs="Arial" w:eastAsia="Arial" w:hAnsi="Arial"/>
          <w:sz w:val="15"/>
          <w:szCs w:val="15"/>
          <w:color w:val="auto"/>
        </w:rPr>
        <w:t>st</w:t>
      </w:r>
      <w:r>
        <w:rPr>
          <w:rFonts w:ascii="Arial" w:cs="Arial" w:eastAsia="Arial" w:hAnsi="Arial"/>
          <w:sz w:val="17"/>
          <w:szCs w:val="17"/>
          <w:i w:val="1"/>
          <w:iCs w:val="1"/>
          <w:color w:val="auto"/>
        </w:rPr>
        <w:t xml:space="preserve"> </w:t>
      </w:r>
      <w:r>
        <w:rPr>
          <w:rFonts w:ascii="Arial" w:cs="Arial" w:eastAsia="Arial" w:hAnsi="Arial"/>
          <w:sz w:val="17"/>
          <w:szCs w:val="17"/>
          <w:color w:val="auto"/>
        </w:rPr>
        <w:t>each year for impairment, or more frequently, if circumstances indicate an impairment to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may have occurred. Management of the Company and Southwest considered its reporting units and segments and determined that they remained consistent between periods presented below, and that no change was necessary with regard to the level at which goodwill is assessed for impairment. Since December 31, 2020, management also qualitatively assessed whether events during the first six months of 2021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Goodwill on Southwest’s and the Company’s Condensed Consolidated Balance Sheets includes: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230"/>
        </w:trPr>
        <w:tc>
          <w:tcPr>
            <w:tcW w:w="6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includes $35.2 million and $32.6 million of dividends declared as of June 30, 2021 and December 31, 2020, respectively.</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8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6"/>
                <w:szCs w:val="16"/>
                <w:color w:val="auto"/>
              </w:rPr>
            </w:pPr>
          </w:p>
        </w:tc>
        <w:tc>
          <w:tcPr>
            <w:tcW w:w="1780" w:type="dxa"/>
            <w:vAlign w:val="bottom"/>
            <w:gridSpan w:val="5"/>
          </w:tcPr>
          <w:p>
            <w:pPr>
              <w:ind w:left="140"/>
              <w:spacing w:after="0"/>
              <w:rPr>
                <w:sz w:val="20"/>
                <w:szCs w:val="20"/>
                <w:color w:val="auto"/>
              </w:rPr>
            </w:pPr>
            <w:r>
              <w:rPr>
                <w:rFonts w:ascii="Arial" w:cs="Arial" w:eastAsia="Arial" w:hAnsi="Arial"/>
                <w:sz w:val="16"/>
                <w:szCs w:val="16"/>
                <w:color w:val="auto"/>
              </w:rPr>
              <w:t>Six Months Ended</w:t>
            </w:r>
          </w:p>
        </w:tc>
        <w:tc>
          <w:tcPr>
            <w:tcW w:w="200" w:type="dxa"/>
            <w:vAlign w:val="bottom"/>
          </w:tcPr>
          <w:p>
            <w:pPr>
              <w:spacing w:after="0"/>
              <w:rPr>
                <w:sz w:val="16"/>
                <w:szCs w:val="16"/>
                <w:color w:val="auto"/>
              </w:rPr>
            </w:pPr>
          </w:p>
        </w:tc>
        <w:tc>
          <w:tcPr>
            <w:tcW w:w="1880" w:type="dxa"/>
            <w:vAlign w:val="bottom"/>
            <w:gridSpan w:val="4"/>
          </w:tcPr>
          <w:p>
            <w:pPr>
              <w:jc w:val="right"/>
              <w:ind w:right="219"/>
              <w:spacing w:after="0"/>
              <w:rPr>
                <w:sz w:val="20"/>
                <w:szCs w:val="20"/>
                <w:color w:val="auto"/>
              </w:rPr>
            </w:pPr>
            <w:r>
              <w:rPr>
                <w:rFonts w:ascii="Arial" w:cs="Arial" w:eastAsia="Arial" w:hAnsi="Arial"/>
                <w:sz w:val="16"/>
                <w:szCs w:val="16"/>
                <w:color w:val="auto"/>
                <w:w w:val="98"/>
              </w:rPr>
              <w:t>Twelve Months Ended</w:t>
            </w:r>
          </w:p>
        </w:tc>
      </w:tr>
      <w:tr>
        <w:trPr>
          <w:trHeight w:val="209"/>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740" w:type="dxa"/>
            <w:vAlign w:val="bottom"/>
            <w:tcBorders>
              <w:bottom w:val="single" w:sz="8" w:color="auto"/>
            </w:tcBorders>
          </w:tcPr>
          <w:p>
            <w:pPr>
              <w:spacing w:after="0"/>
              <w:rPr>
                <w:sz w:val="18"/>
                <w:szCs w:val="18"/>
                <w:color w:val="auto"/>
              </w:rPr>
            </w:pPr>
          </w:p>
        </w:tc>
      </w:tr>
      <w:tr>
        <w:trPr>
          <w:trHeight w:val="30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2020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2020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5"/>
              </w:rPr>
              <w:t>2020</w:t>
            </w:r>
          </w:p>
        </w:tc>
      </w:tr>
      <w:tr>
        <w:trPr>
          <w:trHeight w:val="19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natural gas operations segment: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18,500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2,900</w:t>
            </w: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4,375</w:t>
            </w: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(17,540)</w:t>
            </w:r>
          </w:p>
        </w:tc>
      </w:tr>
      <w:tr>
        <w:trPr>
          <w:trHeight w:val="21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w:t>
            </w: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(12,698)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(10,719)</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Utility infrastructure services segment: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Centuri - total other income (deductions)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Corporate and administrative</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Consolidated Southwest Gas Holdings, Inc. - total other income (deductions)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(12,845)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to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also to </w:t>
      </w:r>
      <w:r>
        <w:rPr>
          <w:rFonts w:ascii="Arial" w:cs="Arial" w:eastAsia="Arial" w:hAnsi="Arial"/>
          <w:sz w:val="18"/>
          <w:szCs w:val="18"/>
          <w:b w:val="1"/>
          <w:bCs w:val="1"/>
          <w:color w:val="auto"/>
        </w:rPr>
        <w:t>Note 2 –</w:t>
      </w:r>
      <w:r>
        <w:rPr>
          <w:rFonts w:ascii="Arial" w:cs="Arial" w:eastAsia="Arial" w:hAnsi="Arial"/>
          <w:sz w:val="18"/>
          <w:szCs w:val="18"/>
          <w:color w:val="auto"/>
        </w:rPr>
        <w:t xml:space="preserve"> </w:t>
      </w:r>
      <w:r>
        <w:rPr>
          <w:rFonts w:ascii="Arial" w:cs="Arial" w:eastAsia="Arial" w:hAnsi="Arial"/>
          <w:sz w:val="18"/>
          <w:szCs w:val="18"/>
          <w:b w:val="1"/>
          <w:bCs w:val="1"/>
          <w:color w:val="auto"/>
        </w:rPr>
        <w:t>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redeemable noncontrolling interest increased by approximately $32 million during 2021. Adjustment to the redemption value also impacts retained earnings, as reflected in the Company’s Condensed Consolidated Statement of Equity, but does not impact net income. The following depicts the change to the balance of the redeemable noncontrolling interest: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Redeemable</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Noncontrolling Interest</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165,716</w:t>
            </w:r>
          </w:p>
        </w:tc>
        <w:tc>
          <w:tcPr>
            <w:tcW w:w="0" w:type="dxa"/>
            <w:vAlign w:val="bottom"/>
          </w:tcPr>
          <w:p>
            <w:pPr>
              <w:spacing w:after="0"/>
              <w:rPr>
                <w:sz w:val="1"/>
                <w:szCs w:val="1"/>
                <w:color w:val="auto"/>
              </w:rPr>
            </w:pPr>
          </w:p>
        </w:tc>
      </w:tr>
      <w:tr>
        <w:trPr>
          <w:trHeight w:val="230"/>
        </w:trPr>
        <w:tc>
          <w:tcPr>
            <w:tcW w:w="9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200,529</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40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Six Months Ended</w:t>
            </w: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90"/>
              </w:rPr>
              <w:t>Twelve Months Ended</w:t>
            </w:r>
          </w:p>
        </w:tc>
      </w:tr>
      <w:tr>
        <w:trPr>
          <w:trHeight w:val="229"/>
        </w:trPr>
        <w:tc>
          <w:tcPr>
            <w:tcW w:w="4140" w:type="dxa"/>
            <w:vAlign w:val="bottom"/>
          </w:tcPr>
          <w:p>
            <w:pPr>
              <w:spacing w:after="0"/>
              <w:rPr>
                <w:sz w:val="19"/>
                <w:szCs w:val="19"/>
                <w:color w:val="auto"/>
              </w:rPr>
            </w:pPr>
          </w:p>
        </w:tc>
        <w:tc>
          <w:tcPr>
            <w:tcW w:w="15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19"/>
                <w:szCs w:val="19"/>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Incentive Plan shares</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 (1)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286" w:lineRule="auto"/>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number of securities included 95,000 and 63,000 performance shares during the three months ending June 30, 2021 and 2020, 85,000 and 57,000 performance shares during the six months ending June 30, 2021 and 2020, and 83,000 and 51,000 performance shares during the twelve months ending June 30, 2021 and 2020, respectively, the total of which was derived by assuming that target performance will be achieved during the relevant performance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2021:</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Financial Accounting Standards Board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Company and Southwest adopted the update in the first quarter of 2021, the impact of which was not material to the condensed consolidated financial statements of the Company or Southwest.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2021:</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Management will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5 – Debt</w:t>
      </w:r>
      <w:r>
        <w:rPr>
          <w:rFonts w:ascii="Arial" w:cs="Arial" w:eastAsia="Arial" w:hAnsi="Arial"/>
          <w:sz w:val="17"/>
          <w:szCs w:val="17"/>
          <w:color w:val="auto"/>
        </w:rPr>
        <w:t>.</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update is effective for fiscal years beginning after December 15, 2021, including interim periods within those fiscal years; early adoption is permitted. Management is evaluating what impacts, if any, this update might have on the Company’s consolidated financial statements and disclosures.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2"/>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30,081</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47,280</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(62,770)</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29,191</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43,782</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5"/>
              </w:rPr>
              <w:t>SERP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1"/>
              </w:rPr>
              <w:t>PBOP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19"/>
                <w:szCs w:val="19"/>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6"/>
                <w:szCs w:val="16"/>
                <w:color w:val="auto"/>
              </w:rPr>
            </w:pPr>
          </w:p>
        </w:tc>
        <w:tc>
          <w:tcPr>
            <w:tcW w:w="2120" w:type="dxa"/>
            <w:vAlign w:val="bottom"/>
            <w:gridSpan w:val="5"/>
          </w:tcPr>
          <w:p>
            <w:pPr>
              <w:ind w:left="280"/>
              <w:spacing w:after="0"/>
              <w:rPr>
                <w:sz w:val="20"/>
                <w:szCs w:val="20"/>
                <w:color w:val="auto"/>
              </w:rPr>
            </w:pPr>
            <w:r>
              <w:rPr>
                <w:rFonts w:ascii="Arial" w:cs="Arial" w:eastAsia="Arial" w:hAnsi="Arial"/>
                <w:sz w:val="16"/>
                <w:szCs w:val="16"/>
                <w:color w:val="auto"/>
              </w:rPr>
              <w:t>Six Months Ended</w:t>
            </w:r>
          </w:p>
        </w:tc>
        <w:tc>
          <w:tcPr>
            <w:tcW w:w="2220" w:type="dxa"/>
            <w:vAlign w:val="bottom"/>
            <w:gridSpan w:val="5"/>
            <w:vMerge w:val="restart"/>
          </w:tcPr>
          <w:p>
            <w:pPr>
              <w:jc w:val="right"/>
              <w:spacing w:after="0"/>
              <w:rPr>
                <w:sz w:val="20"/>
                <w:szCs w:val="20"/>
                <w:color w:val="auto"/>
              </w:rPr>
            </w:pPr>
            <w:r>
              <w:rPr>
                <w:rFonts w:ascii="Arial" w:cs="Arial" w:eastAsia="Arial" w:hAnsi="Arial"/>
                <w:sz w:val="16"/>
                <w:szCs w:val="16"/>
                <w:color w:val="auto"/>
                <w:w w:val="94"/>
              </w:rPr>
              <w:t>Twelve Months Ended June 30,</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June 30,</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596,465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950,540</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56,093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137,491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235,114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233,241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46,496</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23,384</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90,307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89,904</w:t>
            </w:r>
          </w:p>
        </w:tc>
        <w:tc>
          <w:tcPr>
            <w:tcW w:w="0" w:type="dxa"/>
            <w:vAlign w:val="bottom"/>
          </w:tcPr>
          <w:p>
            <w:pPr>
              <w:spacing w:after="0"/>
              <w:rPr>
                <w:sz w:val="1"/>
                <w:szCs w:val="1"/>
                <w:color w:val="auto"/>
              </w:rPr>
            </w:pPr>
          </w:p>
        </w:tc>
      </w:tr>
      <w:tr>
        <w:trPr>
          <w:trHeight w:val="206"/>
        </w:trPr>
        <w:tc>
          <w:tcPr>
            <w:tcW w:w="432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291,344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259,066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826,864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763,859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1,402,156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1,343,565</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Gas 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292,796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262,434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814,728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765,261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1,400,052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1,354,812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180" w:hanging="10"/>
        <w:spacing w:after="0" w:line="315" w:lineRule="auto"/>
        <w:tabs>
          <w:tab w:leader="none" w:pos="409"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include late fees and other miscellaneous revenues, and may also include the impact of certain regulatory mechanisms, such as cost-of-service components in customer rates expected to be returned to customers in future periods. Late fees and certain other fees were reduced for the six- and twelve-month periods ended June 30, 2021 (and in all comparative periods of 2020) due to a moratorium on late fees and disconnection for nonpayment during the COVID-19 pandemic.</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7"/>
          </w:tcPr>
          <w:p>
            <w:pPr>
              <w:ind w:left="240"/>
              <w:spacing w:after="0"/>
              <w:rPr>
                <w:sz w:val="20"/>
                <w:szCs w:val="20"/>
                <w:color w:val="auto"/>
              </w:rPr>
            </w:pPr>
            <w:r>
              <w:rPr>
                <w:rFonts w:ascii="Arial" w:cs="Arial" w:eastAsia="Arial" w:hAnsi="Arial"/>
                <w:sz w:val="16"/>
                <w:szCs w:val="16"/>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8"/>
          </w:tcPr>
          <w:p>
            <w:pPr>
              <w:ind w:left="320"/>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6"/>
                <w:szCs w:val="16"/>
                <w:color w:val="auto"/>
              </w:rPr>
            </w:pPr>
          </w:p>
        </w:tc>
        <w:tc>
          <w:tcPr>
            <w:tcW w:w="2220" w:type="dxa"/>
            <w:vAlign w:val="bottom"/>
            <w:gridSpan w:val="4"/>
            <w:vMerge w:val="restart"/>
          </w:tcPr>
          <w:p>
            <w:pPr>
              <w:jc w:val="right"/>
              <w:ind w:right="59"/>
              <w:spacing w:after="0"/>
              <w:rPr>
                <w:sz w:val="20"/>
                <w:szCs w:val="20"/>
                <w:color w:val="auto"/>
              </w:rPr>
            </w:pPr>
            <w:r>
              <w:rPr>
                <w:rFonts w:ascii="Arial" w:cs="Arial" w:eastAsia="Arial" w:hAnsi="Arial"/>
                <w:sz w:val="16"/>
                <w:szCs w:val="16"/>
                <w:color w:val="auto"/>
                <w:w w:val="91"/>
              </w:rPr>
              <w:t>Twelve Months Ended June 30,</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June 30,</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June 30,</w:t>
            </w: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346,877</w:t>
            </w:r>
          </w:p>
        </w:tc>
        <w:tc>
          <w:tcPr>
            <w:tcW w:w="40" w:type="dxa"/>
            <w:vAlign w:val="bottom"/>
          </w:tcPr>
          <w:p>
            <w:pPr>
              <w:spacing w:after="0"/>
              <w:rPr>
                <w:sz w:val="18"/>
                <w:szCs w:val="18"/>
                <w:color w:val="auto"/>
              </w:rPr>
            </w:pPr>
          </w:p>
        </w:tc>
        <w:tc>
          <w:tcPr>
            <w:tcW w:w="3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330,157</w:t>
            </w:r>
          </w:p>
        </w:tc>
        <w:tc>
          <w:tcPr>
            <w:tcW w:w="20" w:type="dxa"/>
            <w:vAlign w:val="bottom"/>
          </w:tcPr>
          <w:p>
            <w:pPr>
              <w:spacing w:after="0"/>
              <w:rPr>
                <w:sz w:val="18"/>
                <w:szCs w:val="18"/>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568,714</w:t>
            </w:r>
          </w:p>
        </w:tc>
        <w:tc>
          <w:tcPr>
            <w:tcW w:w="40" w:type="dxa"/>
            <w:vAlign w:val="bottom"/>
          </w:tcPr>
          <w:p>
            <w:pPr>
              <w:spacing w:after="0"/>
              <w:rPr>
                <w:sz w:val="18"/>
                <w:szCs w:val="18"/>
                <w:color w:val="auto"/>
              </w:rPr>
            </w:pPr>
          </w:p>
        </w:tc>
        <w:tc>
          <w:tcPr>
            <w:tcW w:w="40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547,866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1,282,008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1,265,131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301,656</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84,104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69,370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132,281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112,834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294,749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245,335</w:t>
            </w:r>
          </w:p>
        </w:tc>
        <w:tc>
          <w:tcPr>
            <w:tcW w:w="0" w:type="dxa"/>
            <w:vAlign w:val="bottom"/>
          </w:tcPr>
          <w:p>
            <w:pPr>
              <w:spacing w:after="0"/>
              <w:rPr>
                <w:sz w:val="1"/>
                <w:szCs w:val="1"/>
                <w:color w:val="auto"/>
              </w:rPr>
            </w:pPr>
          </w:p>
        </w:tc>
      </w:tr>
      <w:tr>
        <w:trPr>
          <w:trHeight w:val="233"/>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528,625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494,813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892,600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828,306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2,012,582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1,812,122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7"/>
          </w:tcPr>
          <w:p>
            <w:pPr>
              <w:ind w:left="200"/>
              <w:spacing w:after="0"/>
              <w:rPr>
                <w:sz w:val="20"/>
                <w:szCs w:val="20"/>
                <w:color w:val="auto"/>
              </w:rPr>
            </w:pPr>
            <w:r>
              <w:rPr>
                <w:rFonts w:ascii="Arial" w:cs="Arial" w:eastAsia="Arial" w:hAnsi="Arial"/>
                <w:sz w:val="16"/>
                <w:szCs w:val="16"/>
                <w:color w:val="auto"/>
              </w:rPr>
              <w:t>Three Months Ended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8"/>
          </w:tcPr>
          <w:p>
            <w:pPr>
              <w:ind w:left="300"/>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22"/>
                <w:szCs w:val="22"/>
                <w:color w:val="auto"/>
              </w:rPr>
            </w:pPr>
          </w:p>
        </w:tc>
        <w:tc>
          <w:tcPr>
            <w:tcW w:w="2220" w:type="dxa"/>
            <w:vAlign w:val="bottom"/>
            <w:gridSpan w:val="4"/>
            <w:vMerge w:val="restart"/>
          </w:tcPr>
          <w:p>
            <w:pPr>
              <w:jc w:val="right"/>
              <w:ind w:right="79"/>
              <w:spacing w:after="0"/>
              <w:rPr>
                <w:sz w:val="20"/>
                <w:szCs w:val="20"/>
                <w:color w:val="auto"/>
              </w:rPr>
            </w:pPr>
            <w:r>
              <w:rPr>
                <w:rFonts w:ascii="Arial" w:cs="Arial" w:eastAsia="Arial" w:hAnsi="Arial"/>
                <w:sz w:val="16"/>
                <w:szCs w:val="16"/>
                <w:color w:val="auto"/>
                <w:w w:val="91"/>
              </w:rPr>
              <w:t>Twelve Months Ended June 30,</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color w:val="auto"/>
              </w:rPr>
              <w:t>June 30,</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color w:val="auto"/>
              </w:rPr>
              <w:t>June 30,</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398,650</w:t>
            </w:r>
          </w:p>
        </w:tc>
        <w:tc>
          <w:tcPr>
            <w:tcW w:w="40" w:type="dxa"/>
            <w:vAlign w:val="bottom"/>
          </w:tcPr>
          <w:p>
            <w:pPr>
              <w:spacing w:after="0"/>
              <w:rPr>
                <w:sz w:val="18"/>
                <w:szCs w:val="18"/>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375,502</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692,330</w:t>
            </w:r>
          </w:p>
        </w:tc>
        <w:tc>
          <w:tcPr>
            <w:tcW w:w="40" w:type="dxa"/>
            <w:vAlign w:val="bottom"/>
          </w:tcPr>
          <w:p>
            <w:pPr>
              <w:spacing w:after="0"/>
              <w:rPr>
                <w:sz w:val="18"/>
                <w:szCs w:val="18"/>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639,047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1,543,292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1,410,909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469,290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401,213</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528,625</w:t>
            </w:r>
          </w:p>
        </w:tc>
        <w:tc>
          <w:tcPr>
            <w:tcW w:w="40" w:type="dxa"/>
            <w:vAlign w:val="bottom"/>
          </w:tcPr>
          <w:p>
            <w:pPr>
              <w:spacing w:after="0"/>
              <w:rPr>
                <w:sz w:val="18"/>
                <w:szCs w:val="18"/>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494,813</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892,600</w:t>
            </w:r>
          </w:p>
        </w:tc>
        <w:tc>
          <w:tcPr>
            <w:tcW w:w="40" w:type="dxa"/>
            <w:vAlign w:val="bottom"/>
          </w:tcPr>
          <w:p>
            <w:pPr>
              <w:spacing w:after="0"/>
              <w:rPr>
                <w:sz w:val="18"/>
                <w:szCs w:val="18"/>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828,306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2,012,582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1,812,122</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361,926</w:t>
            </w:r>
          </w:p>
        </w:tc>
        <w:tc>
          <w:tcPr>
            <w:tcW w:w="40" w:type="dxa"/>
            <w:vAlign w:val="bottom"/>
          </w:tcPr>
          <w:p>
            <w:pPr>
              <w:spacing w:after="0"/>
              <w:rPr>
                <w:sz w:val="18"/>
                <w:szCs w:val="18"/>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365,253</w:t>
            </w:r>
          </w:p>
        </w:tc>
        <w:tc>
          <w:tcPr>
            <w:tcW w:w="20" w:type="dxa"/>
            <w:vAlign w:val="bottom"/>
          </w:tcPr>
          <w:p>
            <w:pPr>
              <w:spacing w:after="0"/>
              <w:rPr>
                <w:sz w:val="18"/>
                <w:szCs w:val="18"/>
                <w:color w:val="auto"/>
              </w:rPr>
            </w:pP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596,375</w:t>
            </w:r>
          </w:p>
        </w:tc>
        <w:tc>
          <w:tcPr>
            <w:tcW w:w="40" w:type="dxa"/>
            <w:vAlign w:val="bottom"/>
          </w:tcPr>
          <w:p>
            <w:pPr>
              <w:spacing w:after="0"/>
              <w:rPr>
                <w:sz w:val="18"/>
                <w:szCs w:val="18"/>
                <w:color w:val="auto"/>
              </w:rPr>
            </w:pPr>
          </w:p>
        </w:tc>
        <w:tc>
          <w:tcPr>
            <w:tcW w:w="4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608,389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1,344,626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1,397,473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133,515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and materials contracts</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116,244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211,176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156,361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281,134</w:t>
            </w: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528,625</w:t>
            </w:r>
          </w:p>
        </w:tc>
        <w:tc>
          <w:tcPr>
            <w:tcW w:w="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494,813</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892,600</w:t>
            </w:r>
          </w:p>
        </w:tc>
        <w:tc>
          <w:tcPr>
            <w:tcW w:w="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828,306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2,012,582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1,812,122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the table also includes amounts billed in excess of revenue earned on contracts (contract liability), which are included in Other current liabilities as of June 30, 2021 and December 31, 2020 on the Company’s 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129,954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96,996</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2020 to June 30, 2021 is due to revenue recognized of $4.5 million that was included in this item as of January 1, 2021, after which time it became earned and the balance was reduced; the change also includes increases due to cash received, net of revenue recognized during the period, related to contracts that commenced during the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Centuri had 18 contracts with an original duration of more than one year. The aggregate amount of the transaction price allocated to the unsatisfied performance obligations of these contracts as of June 30, 2021 was $49.1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June 30, 2021</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2020</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273,778</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4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The following table provides the activity under the Equity Shelf Program for the quarter and life-to-date ended June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70,360,412</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(703,604)</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69,656,808</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1,050,597</w:t>
            </w:r>
          </w:p>
        </w:tc>
        <w:tc>
          <w:tcPr>
            <w:tcW w:w="0" w:type="dxa"/>
            <w:vAlign w:val="bottom"/>
          </w:tcPr>
          <w:p>
            <w:pPr>
              <w:spacing w:after="0"/>
              <w:rPr>
                <w:sz w:val="1"/>
                <w:szCs w:val="1"/>
                <w:color w:val="auto"/>
              </w:rPr>
            </w:pPr>
          </w:p>
        </w:tc>
      </w:t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had up to $429,639,588 in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the repayment or repurchase of indebtedness (including amounts outstanding from time to time under the credit facilities, senior notes, term loan, or future credit facilities), and to provide for working capital.</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March 31, 2021, the Company sold essentially all of the remaining common stock available for sale under a previously effective equity shelf program.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issued approximately 47,000 shares of common stock through the Restricted Stock/Unit Plan and Omnibus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six months ended June 30, 2021, the Company issued 91,000 shares of common stock through the Dividend Reinvestment and Stock Purchase Plan, raising approximately $5.8 million.</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Long-term debt is recognized in the Company’s and Southwest’s Condensed Consolidated Balance Sheets generally at the carrying value of the obligations outstanding. Details surrounding the fair value, as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and individual carrying values of instruments are provided in the table that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 2021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166,986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174,858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3.875%, due 2022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258,825</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4.875%, due 2043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302,473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317,190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 due 2046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347,046</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332,154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4.15%, due 2049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341,970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370,278</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2.2%, due 2030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448,317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474,552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 Series, due 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2,090,181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2,089,678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Variable-rate bonds: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Tax-exempt Series A, due 2028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2003 Series A, due 2038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2008 Series A, due 2038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 Series A, due 2039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Centuri:</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term loan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26,645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other debt obligations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Consolidated Southwest Gas Holdings, Inc.: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359,408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334,427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2,478,823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Southwest's revolving credit facility and IDRBs are categorized as Level 1 based on the FASB’s fair value hierarchy, due to Southwest’s ability to access similar debt arrangements at measurement dates with comparable terms, including variable/market rates. The fair values of Southwest’s debentures (which include senior and medium-term notes) were determined utilizing a market-based valuation approach, where fair values are determined based on evaluated pricing data, and as such are categorized as Level 2 in the hierarchy. Centuri's secured revolving credit and term loan facility and other debt obligations (not actively traded) are categorized as Level 3; fair values were based on a conventional discounted cash flow methodology utilizing current market pricing yield curves.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LIBOR or an “alternate base rate,” plus in each case an applicable margin that is determined based on Southwest’s senior unsecured debt rating. At June 30, 2021, the applicable margin is 1% for loans bearing interest with reference to LIBOR and 0% for loans bearing interest with reference to the alternative base rate. At June 30, 2021, $150 million was outstanding on the long-term portion (including $50 million under the commercial paper program, discussed below) of the facility and $41 million of borrowings were outstanding on the short-term portion of this credit facility discussed below.</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June 30, 2021, as noted above, $50 million of borrowings were outstanding under the commercial paper program.</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Centuri has a $590 million senior secured revolving credit and term loan facility, scheduled to expire in November 2023. The capacity of the line of credit portion of the facility is $325 million; related amounts borrowed and repaid are available to be re-borrowed. The term loan portion of the facility has a limit of approximately $265 million. The $590 million facility is secured by substantially all of Centuri’s assets except those explicitly excluded under the terms of the agreement (including owned real estate and certain certificated vehicles). Centuri’s assets securing the facility at June 30, 2021 totaled $1.4 billion. At June 30, 2021, $288 million in borrowings were outstanding under Centuri’s combined secured revolving credit and term loan facility. In connection with the planned acquisition of Riggs, Centuri plans to fund the acquisition with a secured term loan and would establish a new secured revolving credit facility to replace the current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scheduled to expire in April 2025 and is primarily used for short-term financing needs. There was $27 million outstanding under this credit facility as of 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indicated above, under Southwest’s $400 million credit facility, $41 million in short-term borrowings were outstanding at June 30, 2021.</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2021, Southwest entered into a $250 million Term Loan that matures March 22, 2022. The proceeds were used to fund the increased cost of natural gas supply during the month of February 2021, caused by extreme weather conditions in the central U.S. (see </w:t>
      </w:r>
      <w:r>
        <w:rPr>
          <w:rFonts w:ascii="Arial" w:cs="Arial" w:eastAsia="Arial" w:hAnsi="Arial"/>
          <w:sz w:val="16"/>
          <w:szCs w:val="16"/>
          <w:i w:val="1"/>
          <w:iCs w:val="1"/>
          <w:color w:val="auto"/>
        </w:rPr>
        <w:t>Deferred Purchased Gas Costs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 Interest rates for the term loan are calculated at either LIBOR</w:t>
      </w:r>
      <w:r>
        <w:rPr>
          <w:rFonts w:ascii="Arial" w:cs="Arial" w:eastAsia="Arial" w:hAnsi="Arial"/>
          <w:sz w:val="16"/>
          <w:szCs w:val="16"/>
          <w:b w:val="1"/>
          <w:bCs w:val="1"/>
          <w:color w:val="auto"/>
        </w:rPr>
        <w:t xml:space="preserve"> </w:t>
      </w:r>
      <w:r>
        <w:rPr>
          <w:rFonts w:ascii="Arial" w:cs="Arial" w:eastAsia="Arial" w:hAnsi="Arial"/>
          <w:sz w:val="16"/>
          <w:szCs w:val="16"/>
          <w:color w:val="auto"/>
        </w:rPr>
        <w:t>or an “alternate base rate,” plus in each case an applicable margin that is determined based on Southwest’s senior unsecured long-term debt rating. The applicable margin ranges from 0.550% to 1.000% for loans bearing interest with reference to LIBOR and 0.000% for loans bearing interest with reference to an alternate base rate. The effective interest rate was 0.75% at June 30, 2021. The agreement contains a financial covenant requiring Southwest to maintain a ratio of funded debt to total capitalization not to exceed 0.70 to 1.00 as of the end of any quarter of any fiscal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rates established at LIBOR are scheduled to be discontinued as a benchmark or reference rate after 2021, while other LIBOR-based rates are scheduled to be discontinued after June 2023. In order to mitigate the impact of a discontinuance on the Company’s and Southwest’s financial condition and results of operations, management will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0"/>
              </w:rPr>
              <w:t>June 30, 2021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June 30, 2020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0"/>
              </w:rPr>
              <w:t>June 30, 2021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June 30, 2020</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2"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14,375</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90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83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0"/>
              </w:rPr>
              <w:t>June 30, 2021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0"/>
              </w:rPr>
              <w:t>June 30, 2020</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08"/>
              <w:spacing w:after="0" w:line="132" w:lineRule="exact"/>
              <w:rPr>
                <w:sz w:val="20"/>
                <w:szCs w:val="20"/>
                <w:color w:val="auto"/>
              </w:rPr>
            </w:pPr>
            <w:r>
              <w:rPr>
                <w:rFonts w:ascii="Arial" w:cs="Arial" w:eastAsia="Arial" w:hAnsi="Arial"/>
                <w:sz w:val="14"/>
                <w:szCs w:val="14"/>
                <w:color w:val="auto"/>
                <w:w w:val="91"/>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2"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66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gridSpan w:val="4"/>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(57,539)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(71,087)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5,656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$1.2 million of realized losses (net of tax) related to the remaining balance of Southwest’s previously settled forward-starting interest rate swap (“FSIRS”), included in AOCI at June 30, 2021, will be reclassified into interest expense within the next 9 months (at which time the FSIRS will be fully amortized) as the related interest payments on long-term debt occur.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Defined Benefit Plans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FSIRS</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Foreign Currency Items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color w:val="auto"/>
              </w:rPr>
              <w:t>Before-Tax</w:t>
            </w: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color w:val="auto"/>
              </w:rPr>
              <w:t>After-Tax</w:t>
            </w:r>
          </w:p>
        </w:tc>
        <w:tc>
          <w:tcPr>
            <w:tcW w:w="140" w:type="dxa"/>
            <w:vAlign w:val="bottom"/>
          </w:tcPr>
          <w:p>
            <w:pPr>
              <w:spacing w:after="0"/>
              <w:rPr>
                <w:sz w:val="11"/>
                <w:szCs w:val="11"/>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268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 (4)</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(4)</w:t>
            </w: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Benefit</w:t>
            </w:r>
          </w:p>
        </w:tc>
        <w:tc>
          <w:tcPr>
            <w:tcW w:w="8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6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Beginning Balance AOCI</w:t>
            </w: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2020</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(2,719)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7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adjustments</w:t>
            </w: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54"/>
        </w:trPr>
        <w:tc>
          <w:tcPr>
            <w:tcW w:w="268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color w:val="auto"/>
              </w:rPr>
              <w:t>Other comprehensive income (loss)</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before reclassifications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4"/>
                <w:szCs w:val="14"/>
                <w:color w:val="auto"/>
              </w:rPr>
              <w:t>FSIRS amount reclassified from AOCI (1)</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95"/>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(2)</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Arial" w:cs="Arial" w:eastAsia="Arial" w:hAnsi="Arial"/>
                <w:sz w:val="14"/>
                <w:szCs w:val="14"/>
                <w:color w:val="auto"/>
              </w:rPr>
              <w:t>Amortization of net actuarial loss (2)</w:t>
            </w:r>
          </w:p>
        </w:tc>
        <w:tc>
          <w:tcPr>
            <w:tcW w:w="2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22,297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16,946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(3)</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0" w:type="dxa"/>
            <w:vAlign w:val="bottom"/>
          </w:tcPr>
          <w:p>
            <w:pPr>
              <w:spacing w:after="0"/>
              <w:rPr>
                <w:sz w:val="1"/>
                <w:szCs w:val="1"/>
                <w:color w:val="auto"/>
              </w:rPr>
            </w:pPr>
          </w:p>
        </w:tc>
      </w:tr>
      <w:tr>
        <w:trPr>
          <w:trHeight w:val="150"/>
        </w:trPr>
        <w:tc>
          <w:tcPr>
            <w:tcW w:w="2680" w:type="dxa"/>
            <w:vAlign w:val="bottom"/>
          </w:tcPr>
          <w:p>
            <w:pPr>
              <w:ind w:left="20"/>
              <w:spacing w:after="0" w:line="151" w:lineRule="exact"/>
              <w:rPr>
                <w:sz w:val="20"/>
                <w:szCs w:val="20"/>
                <w:color w:val="auto"/>
              </w:rPr>
            </w:pPr>
            <w:r>
              <w:rPr>
                <w:rFonts w:ascii="Arial" w:cs="Arial" w:eastAsia="Arial" w:hAnsi="Arial"/>
                <w:sz w:val="14"/>
                <w:szCs w:val="14"/>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rPr>
                <w:sz w:val="20"/>
                <w:szCs w:val="20"/>
                <w:color w:val="auto"/>
              </w:rPr>
            </w:pPr>
            <w:r>
              <w:rPr>
                <w:rFonts w:ascii="Arial" w:cs="Arial" w:eastAsia="Arial" w:hAnsi="Arial"/>
                <w:sz w:val="14"/>
                <w:szCs w:val="14"/>
                <w:color w:val="auto"/>
              </w:rPr>
              <w:t>income (loss) attributable to Southwest</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Arial" w:cs="Arial" w:eastAsia="Arial" w:hAnsi="Arial"/>
                <w:sz w:val="14"/>
                <w:szCs w:val="14"/>
                <w:color w:val="auto"/>
              </w:rPr>
              <w:t>Gas Holdings, Inc.</w:t>
            </w:r>
          </w:p>
        </w:tc>
        <w:tc>
          <w:tcPr>
            <w:tcW w:w="2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5,315</w:t>
            </w:r>
          </w:p>
        </w:tc>
        <w:tc>
          <w:tcPr>
            <w:tcW w:w="0" w:type="dxa"/>
            <w:vAlign w:val="bottom"/>
          </w:tcPr>
          <w:p>
            <w:pPr>
              <w:spacing w:after="0"/>
              <w:rPr>
                <w:sz w:val="1"/>
                <w:szCs w:val="1"/>
                <w:color w:val="auto"/>
              </w:rPr>
            </w:pPr>
          </w:p>
        </w:tc>
      </w:tr>
      <w:tr>
        <w:trPr>
          <w:trHeight w:val="214"/>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June 30, 2021</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4"/>
              </w:rPr>
              <w:t>(1,631)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(55,688)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color w:val="auto"/>
                <w:w w:val="93"/>
              </w:rPr>
              <w:t>Defined Benefit 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6"/>
              </w:rPr>
              <w:t>FSIRS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(Expense)</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20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(8)</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Benefit (8)</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(77,720)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18,653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0" w:type="dxa"/>
            <w:vAlign w:val="bottom"/>
          </w:tcPr>
          <w:p>
            <w:pPr>
              <w:spacing w:after="0"/>
              <w:rPr>
                <w:sz w:val="1"/>
                <w:szCs w:val="1"/>
                <w:color w:val="auto"/>
              </w:rPr>
            </w:pPr>
          </w:p>
        </w:tc>
      </w:tr>
      <w:tr>
        <w:trPr>
          <w:trHeight w:val="179"/>
        </w:trPr>
        <w:tc>
          <w:tcPr>
            <w:tcW w:w="3700" w:type="dxa"/>
            <w:vAlign w:val="bottom"/>
          </w:tcPr>
          <w:p>
            <w:pPr>
              <w:ind w:left="20"/>
              <w:spacing w:after="0"/>
              <w:rPr>
                <w:sz w:val="20"/>
                <w:szCs w:val="20"/>
                <w:color w:val="auto"/>
              </w:rPr>
            </w:pPr>
            <w:r>
              <w:rPr>
                <w:rFonts w:ascii="Arial" w:cs="Arial" w:eastAsia="Arial" w:hAnsi="Arial"/>
                <w:sz w:val="14"/>
                <w:szCs w:val="14"/>
                <w:color w:val="auto"/>
              </w:rPr>
              <w:t>FSIRS amount reclassified from AOCI (5)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Arial" w:cs="Arial" w:eastAsia="Arial" w:hAnsi="Arial"/>
                <w:sz w:val="14"/>
                <w:szCs w:val="14"/>
                <w:color w:val="auto"/>
              </w:rPr>
              <w:t>Amortization of net actuarial loss (6)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16,946</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(14,554)</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line="151" w:lineRule="exact"/>
              <w:rPr>
                <w:sz w:val="20"/>
                <w:szCs w:val="20"/>
                <w:color w:val="auto"/>
              </w:rPr>
            </w:pPr>
            <w:r>
              <w:rPr>
                <w:rFonts w:ascii="Arial" w:cs="Arial" w:eastAsia="Arial" w:hAnsi="Arial"/>
                <w:sz w:val="14"/>
                <w:szCs w:val="14"/>
                <w:color w:val="auto"/>
                <w:w w:val="99"/>
              </w:rPr>
              <w:t>Net current period other comprehensive income attributable</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 Southwest Gas Corporation</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3,583</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17,782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(57,552)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20" w:hanging="350"/>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June 30,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2020</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(502,783)</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427,550</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292,796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504,941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797,737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528,625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457,890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720,324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494,813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5"/>
                <w:szCs w:val="15"/>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814,728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844,713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1,659,441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814,728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892,600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758,181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1,523,442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828,306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2021</w:t>
            </w: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740" w:type="dxa"/>
            <w:vAlign w:val="bottom"/>
            <w:gridSpan w:val="4"/>
            <w:vMerge w:val="restart"/>
          </w:tcPr>
          <w:p>
            <w:pPr>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5"/>
                <w:szCs w:val="1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5"/>
                <w:szCs w:val="15"/>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Twelve Months Ended June 30, 2021</w:t>
            </w: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1,400,052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1,899,961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3,300,013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2,012,582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gridSpan w:val="4"/>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Twelve Months Ended June 30, 2020</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1,354,812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1,671,026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3,025,838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1,354,812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1,812,122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8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of June 30, 2021, Southwest had 2,141,000 residential, commercial, industrial, and other natural gas customers, of which 1,142,000 customers were located in Arizona, 797,000 in Nevada, and 202,000 in California. </w:t>
      </w:r>
      <w:r>
        <w:rPr>
          <w:rFonts w:ascii="Arial" w:cs="Arial" w:eastAsia="Arial" w:hAnsi="Arial"/>
          <w:sz w:val="16"/>
          <w:szCs w:val="16"/>
          <w:color w:val="212529"/>
        </w:rPr>
        <w:t>Over the past twelve months, first-time meter sets were approximately 37,000, compared</w:t>
      </w:r>
      <w:r>
        <w:rPr>
          <w:rFonts w:ascii="Arial" w:cs="Arial" w:eastAsia="Arial" w:hAnsi="Arial"/>
          <w:sz w:val="16"/>
          <w:szCs w:val="16"/>
          <w:color w:val="auto"/>
        </w:rPr>
        <w:t xml:space="preserve"> </w:t>
      </w:r>
      <w:r>
        <w:rPr>
          <w:rFonts w:ascii="Arial" w:cs="Arial" w:eastAsia="Arial" w:hAnsi="Arial"/>
          <w:sz w:val="16"/>
          <w:szCs w:val="16"/>
          <w:color w:val="212529"/>
        </w:rPr>
        <w:t xml:space="preserve">to 36,000 for the twelve months ended June 2020. The remaining increase in active customer accounts compared to the June 30, 2020 total of 2,102,000 was primarily due to a management-initiated moratorium on disconnections as a result of the COVID-19 pandemic. As utility service is an essential service to the residents in the states in which Southwest operates, it implemented the moratorium in March 2020 and also ceased charging late fees. Southwest recommenced assessing late fees in Nevada and Arizona in April 2021, with late fees in California expected to recommence in the latter half of 2021. The moratorium on disconnections for non-payment is expected to end in the latter half of 2021 across all of our jurisdictions. </w:t>
      </w:r>
      <w:r>
        <w:rPr>
          <w:rFonts w:ascii="Arial" w:cs="Arial" w:eastAsia="Arial" w:hAnsi="Arial"/>
          <w:sz w:val="16"/>
          <w:szCs w:val="16"/>
          <w:color w:val="000000"/>
        </w:rPr>
        <w:t>Residential and small</w:t>
      </w:r>
      <w:r>
        <w:rPr>
          <w:rFonts w:ascii="Arial" w:cs="Arial" w:eastAsia="Arial" w:hAnsi="Arial"/>
          <w:sz w:val="16"/>
          <w:szCs w:val="16"/>
          <w:color w:val="212529"/>
        </w:rPr>
        <w:t xml:space="preserve"> </w:t>
      </w:r>
      <w:r>
        <w:rPr>
          <w:rFonts w:ascii="Arial" w:cs="Arial" w:eastAsia="Arial" w:hAnsi="Arial"/>
          <w:sz w:val="16"/>
          <w:szCs w:val="16"/>
          <w:color w:val="000000"/>
        </w:rPr>
        <w:t>commercial customers represented over 99% of the total customer base. During the twelve months ended June 30, 2021, 53% of operating margin (gas operating revenues less the net cost of gas sold) was earned in Arizona, 35% in Nevada, and 12%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continuing COVID-19 pandemic, as discussed further below, could impact these statistics and associated patterns in the short term.</w:t>
      </w:r>
    </w:p>
    <w:p>
      <w:pPr>
        <w:spacing w:after="0" w:line="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for a reconciliation of revenues to operating margin, and refer to </w:t>
      </w:r>
      <w:r>
        <w:rPr>
          <w:rFonts w:ascii="Arial" w:cs="Arial" w:eastAsia="Arial" w:hAnsi="Arial"/>
          <w:sz w:val="16"/>
          <w:szCs w:val="16"/>
          <w:i w:val="1"/>
          <w:iCs w:val="1"/>
          <w:color w:val="auto"/>
        </w:rPr>
        <w:t>Rates and Regulatory Proceedings</w:t>
      </w:r>
      <w:r>
        <w:rPr>
          <w:rFonts w:ascii="Arial" w:cs="Arial" w:eastAsia="Arial" w:hAnsi="Arial"/>
          <w:sz w:val="16"/>
          <w:szCs w:val="16"/>
          <w:color w:val="auto"/>
        </w:rPr>
        <w:t xml:space="preserve"> in this Management’s Discussion and Analysis, for details of various rate proceedings.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55 primary locations across 43 states and provinces in the United States (“U.S.”) and Canada. Centuri operates in the U.S., primarily as NPL, Neuco, and Linetec, and in Canada, primarily as NPL Canada. In June 2021, Centuri entered into an agreement for the acquisition of Drum Parent, Inc. (“Drum”) and its U.S. operations, consisting principally of the utility infrastructure services operations of Drum’s primary subsidiary, Riggs Distler &amp; Company, Inc. (“Riggs”), serving utility customers in the Northeast and Mid-Atlantic regions. The transaction is expected to be completed in the third quarter of 2021. The acquisition remains subject to certain conditions, and we can provide no assurances that it will be completed within the anticipated timeline or at all.</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While the novel coronavirus (“COVID-19”) pandemic has been ongoing since the first quarter of 2020, management has remained focused on the impacts to local and U.S. economies, including the breadth of vaccine deployment, the level of commerce opening or re-opening, as well as impacts from new virus variants on these economies. Our utility operations, as essential services, have been ongoing during this time and Southwest has continued to provide services to meet the demand of its customers. Consistent with federal and state guidelines and protocols, Southwest has continued to operate across its territories. Similarly, Centuri has continued nearly all operations from the outset of the pandemic in the U.S., and demand has not significantly diminished. For the duration of the pandemic, the ability to work may nonetheless be impacted by individuals contracting or being exposed to COVID-19, governmental requirements to postpone the full resumption of certain non-essential services in some of the Company’s jurisdictions, or by management imposed restrictions for safety precautions; to date, these factors have not had a significant impact on the Company’s ability to maintain operations. Employees at many offices (including corporate headquarters) continue to work from home on a temporary basis; management has introduced plans for employees to begin returning to the office environment in the third quarter of 2021. At the same time, management is also focused on the need for adaptability in an environment of virus variants and governmental actions related thereto. Both segments continue to facilitate administration, communication, and all critical functions, supported by deployed technology whenever employees are working remotely. To date, there has not been a significant disruption in the Company’s supply chains, transportation network, or ability to serve customers.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 xml:space="preserve">As noted earlier, management continues to have in place a moratorium on natural gas disconnections for non-payment that is expected to be lifted in the latter half of 2021 and continues to work with customers experiencing financial hardship through flexible payment arrangements. Management also continues to coordinate with certain governmental and nonprofit entities for customer payment assistance. Management has increased the allowance for uncollectibles; however, neither this nor other measures associated with the moratorium have had a material impact on our financial position overall. See </w:t>
      </w:r>
      <w:r>
        <w:rPr>
          <w:rFonts w:ascii="Arial" w:cs="Arial" w:eastAsia="Arial" w:hAnsi="Arial"/>
          <w:sz w:val="18"/>
          <w:szCs w:val="18"/>
          <w:i w:val="1"/>
          <w:iCs w:val="1"/>
          <w:color w:val="212529"/>
        </w:rPr>
        <w:t xml:space="preserve">Accounts receivable, net of allowances </w:t>
      </w:r>
      <w:r>
        <w:rPr>
          <w:rFonts w:ascii="Arial" w:cs="Arial" w:eastAsia="Arial" w:hAnsi="Arial"/>
          <w:sz w:val="18"/>
          <w:szCs w:val="18"/>
          <w:color w:val="212529"/>
        </w:rPr>
        <w:t>in</w:t>
      </w:r>
      <w:r>
        <w:rPr>
          <w:rFonts w:ascii="Arial" w:cs="Arial" w:eastAsia="Arial" w:hAnsi="Arial"/>
          <w:sz w:val="18"/>
          <w:szCs w:val="18"/>
          <w:i w:val="1"/>
          <w:iCs w:val="1"/>
          <w:color w:val="212529"/>
        </w:rPr>
        <w:t xml:space="preserve"> </w:t>
      </w:r>
      <w:r>
        <w:rPr>
          <w:rFonts w:ascii="Arial" w:cs="Arial" w:eastAsia="Arial" w:hAnsi="Arial"/>
          <w:sz w:val="18"/>
          <w:szCs w:val="18"/>
          <w:b w:val="1"/>
          <w:bCs w:val="1"/>
          <w:color w:val="212529"/>
        </w:rPr>
        <w:t>Note 1 – Background, Organization, and Summary of Significant Accounting Policies</w:t>
      </w:r>
      <w:r>
        <w:rPr>
          <w:rFonts w:ascii="Arial" w:cs="Arial" w:eastAsia="Arial" w:hAnsi="Arial"/>
          <w:sz w:val="18"/>
          <w:szCs w:val="18"/>
          <w:color w:val="212529"/>
        </w:rPr>
        <w:t>. In the utility</w:t>
      </w:r>
      <w:r>
        <w:rPr>
          <w:rFonts w:ascii="Arial" w:cs="Arial" w:eastAsia="Arial" w:hAnsi="Arial"/>
          <w:sz w:val="18"/>
          <w:szCs w:val="18"/>
          <w:i w:val="1"/>
          <w:iCs w:val="1"/>
          <w:color w:val="212529"/>
        </w:rPr>
        <w:t xml:space="preserve"> </w:t>
      </w:r>
      <w:r>
        <w:rPr>
          <w:rFonts w:ascii="Arial" w:cs="Arial" w:eastAsia="Arial" w:hAnsi="Arial"/>
          <w:sz w:val="18"/>
          <w:szCs w:val="18"/>
          <w:color w:val="212529"/>
        </w:rPr>
        <w:t>infrastructure services segment, a limited number of Centuri customers at the outset of the pandemic delayed some projects, and crews were temporarily reduced; however, most work continued, while following appropriate government protocols. Some crew reductions are ongoing in specific areas; however, the associated revenue impacts have not been significant. Management continues to monitor these circumstances, the future impacts of which are not currently known, such as the impact from business curtailments, weak market conditions, or any restrictions that may limit the fulfillment by Centuri of its contractual obligations.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 xml:space="preserve">The extent to which COVID-19 may adversely impact the Company’s business depends on future developments, including the timing of full resumption of commerce across our service territories, the deployment of vaccines and population immunity, the state of local and North American economies, and impacts of these collective conditions on our customers, in addition to other unmitigated effects related to the virus and its variants. Management does not currently expect the impact of these conditions to be material to the Company’s liquidity or financial position; however, continued uncertainty of economic and operational impacts means management cannot predict whether the related financial impact in future periods will be different from impacts reflected for the three, </w:t>
      </w:r>
      <w:r>
        <w:rPr>
          <w:rFonts w:ascii="Arial" w:cs="Arial" w:eastAsia="Arial" w:hAnsi="Arial"/>
          <w:sz w:val="17"/>
          <w:szCs w:val="17"/>
          <w:color w:val="000000"/>
        </w:rPr>
        <w:t>six,</w:t>
      </w:r>
      <w:r>
        <w:rPr>
          <w:rFonts w:ascii="Arial" w:cs="Arial" w:eastAsia="Arial" w:hAnsi="Arial"/>
          <w:sz w:val="17"/>
          <w:szCs w:val="17"/>
          <w:color w:val="212529"/>
        </w:rPr>
        <w:t xml:space="preserve"> and twelve months ended </w:t>
      </w:r>
      <w:r>
        <w:rPr>
          <w:rFonts w:ascii="Arial" w:cs="Arial" w:eastAsia="Arial" w:hAnsi="Arial"/>
          <w:sz w:val="17"/>
          <w:szCs w:val="17"/>
          <w:color w:val="000000"/>
        </w:rPr>
        <w:t>June 30, 2021</w:t>
      </w:r>
      <w:r>
        <w:rPr>
          <w:rFonts w:ascii="Arial" w:cs="Arial" w:eastAsia="Arial" w:hAnsi="Arial"/>
          <w:sz w:val="17"/>
          <w:szCs w:val="17"/>
          <w:color w:val="212529"/>
        </w:rPr>
        <w:t>. In anticipation of a redeployment of employees to their normal work locations, management created a multi-phase reintegration plan to safeguard the well-being of our teams. Management will continue to monitor developments by government officials, and those affecting employees, customers, and operations, and will take additional steps as necessary to address impacts from the pandemic. Events and circumstances arising after June 30, 2021, including those resulting from COVID-19, will be reflected in management’s estimates for future periods.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MD&amp;A, included in the 2020 Annual Report to Stockholders, which is incorporated by reference into the 2020 Form 10-K.</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6"/>
          <w:szCs w:val="16"/>
          <w:color w:val="auto"/>
        </w:rPr>
        <w:t>As reflected in the table below, the natural gas operations segment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an average of 73% of twelve-month-to-date consolidated net income over the past two years. Natural gas sales are seasonal, peaking during the winter months; therefore, results of operations for interim periods are not necessarily indicative of results for a full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Period Ended June 30,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color w:val="auto"/>
              </w:rPr>
              <w:t>Three Months</w:t>
            </w:r>
          </w:p>
        </w:tc>
        <w:tc>
          <w:tcPr>
            <w:tcW w:w="2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Six Months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4"/>
              </w:rPr>
              <w:t>Natural gas operations</w:t>
            </w:r>
          </w:p>
        </w:tc>
        <w:tc>
          <w:tcPr>
            <w:tcW w:w="19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11,942</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130,128</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95,541</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193,705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151,954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Natural Gas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Revenue to Operating Margin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(Non-GAAP measure)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Gas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292,796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814,728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1,400,052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1,354,812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Less: Net cost of gas sold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Operating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2nd Quarter 2021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Natural gas operations highlights include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37,000 first-time meters sets (1.8% growth rate) occurred over the past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 increased $21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Company-Owned Life Insurance (“COLI”) income was $3.1 million in the current quarter versus $12 million in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Arizona applications for COYL and VSP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Implemented modernized customer information system in May 2021</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$34 million, or 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$48 million, or 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Twelve-month revenues reached record level of $2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Announced planned acquisition of Riggs Distler &amp; Company for $855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262,434</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67,473</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194,961</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103,137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99,320</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53,198</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15,342</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27,101</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7,838</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23,991</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10,948</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Contribution from natural gas operations to consolidated net income decreased $529,000 between the second quarters of 2021 and 2020. The decline was primarily due to a decrease in Other income, offset by an increase in Operating margin.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margin increased $21 million. Approximately $2 million of incremental margin was attributable to customer growth from 37,000 first-time meter sets during the last twelve months, while rate relief added $15 million of margin. Also contributing to the increase were late fees that were $1.8 million greater in the current quarter. A moratorium on such fees commenced in all of our territories in March 2020; however, resumption of the assessments in most of our territories occurred in April 2021 (California is subject to specific governmental protocols, and therefore related assessments have not yet recommenced). Amounts collected from and returned to customers associated with regulatory account balances, as well as differences in miscellaneous revenue and margin from customers outside the decoupling mechanisms, also impacted the variance between quarters.</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Operations and maintenance expense increased $3.8 million, or 4%, between quarters primarily due to higher customer service-related costs, increased expenditures for pipeline damage prevention programs, and an increase in the service-related component of employee pension cost and other benefits.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increased $4.4 million, or 8%, between quarters, primarily due to a $549 million, or 7%, increase in average gas plant in service compared to the corresponding quarter a year ago. Amortization related to regulatory account recoveries increased approximately $1.1 million between quarters and is also reflected as an increase in operating margin above. The increase in plant was attributable to pipeline capacity reinforcement work, franchise requirements, scheduled pipe replacement activities, and new infrastructure, as well as a new customer information system, which was placed in production in May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Taxes other than income taxes increased $4 million between quarters primarily due to an increase in Arizona property taxes.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income decreased $9 million between quarters primarily due to a decline in income from COLI policies. The current quarter reflects a $3.1 million increase in COLI policy cash surrender values and recognized death benefits, while the prior-year quarter reflected a $12 million increase. These fluctuations primarily result from changes in the the portion of the cash surrender values that are associated with equity securities; changes generally are directionally consistent with the broader securities markets. Amounts associated with the allowance for funds used during construction (“AFUDC”) are lower in the current quarter due to an update to the assumptions related to the impact short-term borrowings have on AFUDC. Offsetting these combined impacts is a decrease in the non-service-related components of employee pension and other postretirement benefit costs between quarters.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amount in both quarters includes the amortization of Excess Accumulated Deferred Income Tax (“EADIT”) balances and the impacts of COLI cash surrender value increases, which are recognized without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60" w:type="dxa"/>
            <w:vAlign w:val="bottom"/>
          </w:tcPr>
          <w:p>
            <w:pPr>
              <w:spacing w:after="0"/>
              <w:rPr>
                <w:sz w:val="18"/>
                <w:szCs w:val="18"/>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June 30, 2021</w:t>
            </w:r>
          </w:p>
        </w:tc>
      </w:tr>
      <w:tr>
        <w:trPr>
          <w:trHeight w:val="885"/>
        </w:trPr>
        <w:tc>
          <w:tcPr>
            <w:tcW w:w="750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750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74"/>
        </w:trPr>
        <w:tc>
          <w:tcPr>
            <w:tcW w:w="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24"/>
                <w:szCs w:val="24"/>
                <w:color w:val="auto"/>
              </w:rPr>
            </w:pPr>
          </w:p>
        </w:tc>
      </w:tr>
      <w:tr>
        <w:trPr>
          <w:trHeight w:val="229"/>
        </w:trPr>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June 30,</w:t>
            </w:r>
          </w:p>
        </w:tc>
        <w:tc>
          <w:tcPr>
            <w:tcW w:w="114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2020</w:t>
            </w:r>
          </w:p>
        </w:tc>
      </w:tr>
      <w:tr>
        <w:trPr>
          <w:trHeight w:val="223"/>
        </w:trPr>
        <w:tc>
          <w:tcPr>
            <w:tcW w:w="75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765,261</w:t>
            </w:r>
          </w:p>
        </w:tc>
      </w:tr>
      <w:tr>
        <w:trPr>
          <w:trHeight w:val="229"/>
        </w:trPr>
        <w:tc>
          <w:tcPr>
            <w:tcW w:w="75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232,517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228,294</w:t>
            </w:r>
          </w:p>
        </w:tc>
      </w:tr>
      <w:tr>
        <w:trPr>
          <w:trHeight w:val="223"/>
        </w:trPr>
        <w:tc>
          <w:tcPr>
            <w:tcW w:w="6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536,967</w:t>
            </w:r>
          </w:p>
        </w:tc>
      </w:tr>
      <w:tr>
        <w:trPr>
          <w:trHeight w:val="229"/>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209,272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202,408</w:t>
            </w:r>
          </w:p>
        </w:tc>
      </w:tr>
      <w:tr>
        <w:trPr>
          <w:trHeight w:val="229"/>
        </w:trPr>
        <w:tc>
          <w:tcPr>
            <w:tcW w:w="75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117,923</w:t>
            </w:r>
          </w:p>
        </w:tc>
      </w:tr>
      <w:tr>
        <w:trPr>
          <w:trHeight w:val="230"/>
        </w:trPr>
        <w:tc>
          <w:tcPr>
            <w:tcW w:w="75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31,720</w:t>
            </w:r>
          </w:p>
        </w:tc>
      </w:tr>
      <w:tr>
        <w:trPr>
          <w:trHeight w:val="223"/>
        </w:trPr>
        <w:tc>
          <w:tcPr>
            <w:tcW w:w="60" w:type="dxa"/>
            <w:vAlign w:val="bottom"/>
            <w:shd w:val="clear" w:color="auto" w:fill="CCEEFF"/>
          </w:tcPr>
          <w:p>
            <w:pPr>
              <w:spacing w:after="0"/>
              <w:rPr>
                <w:sz w:val="19"/>
                <w:szCs w:val="19"/>
                <w:color w:val="auto"/>
              </w:rPr>
            </w:pPr>
          </w:p>
        </w:tc>
        <w:tc>
          <w:tcPr>
            <w:tcW w:w="7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184,916</w:t>
            </w:r>
          </w:p>
        </w:tc>
      </w:tr>
      <w:tr>
        <w:trPr>
          <w:trHeight w:val="230"/>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(12,698)</w:t>
            </w:r>
          </w:p>
        </w:tc>
      </w:tr>
      <w:tr>
        <w:trPr>
          <w:trHeight w:val="229"/>
        </w:trPr>
        <w:tc>
          <w:tcPr>
            <w:tcW w:w="75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49,049</w:t>
            </w:r>
          </w:p>
        </w:tc>
      </w:tr>
      <w:tr>
        <w:trPr>
          <w:trHeight w:val="223"/>
        </w:trPr>
        <w:tc>
          <w:tcPr>
            <w:tcW w:w="60" w:type="dxa"/>
            <w:vAlign w:val="bottom"/>
          </w:tcPr>
          <w:p>
            <w:pPr>
              <w:spacing w:after="0"/>
              <w:rPr>
                <w:sz w:val="19"/>
                <w:szCs w:val="19"/>
                <w:color w:val="auto"/>
              </w:rPr>
            </w:pPr>
          </w:p>
        </w:tc>
        <w:tc>
          <w:tcPr>
            <w:tcW w:w="7440" w:type="dxa"/>
            <w:vAlign w:val="bottom"/>
            <w:gridSpan w:val="4"/>
          </w:tcPr>
          <w:p>
            <w:pPr>
              <w:ind w:left="18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159,629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123,169</w:t>
            </w:r>
          </w:p>
        </w:tc>
      </w:tr>
      <w:tr>
        <w:trPr>
          <w:trHeight w:val="229"/>
        </w:trPr>
        <w:tc>
          <w:tcPr>
            <w:tcW w:w="75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27,628</w:t>
            </w:r>
          </w:p>
        </w:tc>
      </w:tr>
      <w:tr>
        <w:trPr>
          <w:trHeight w:val="223"/>
        </w:trPr>
        <w:tc>
          <w:tcPr>
            <w:tcW w:w="60" w:type="dxa"/>
            <w:vAlign w:val="bottom"/>
          </w:tcPr>
          <w:p>
            <w:pPr>
              <w:spacing w:after="0"/>
              <w:rPr>
                <w:sz w:val="19"/>
                <w:szCs w:val="19"/>
                <w:color w:val="auto"/>
              </w:rPr>
            </w:pPr>
          </w:p>
        </w:tc>
        <w:tc>
          <w:tcPr>
            <w:tcW w:w="7440" w:type="dxa"/>
            <w:vAlign w:val="bottom"/>
            <w:gridSpan w:val="4"/>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95,541</w:t>
            </w:r>
          </w:p>
        </w:tc>
      </w:tr>
      <w:tr>
        <w:trPr>
          <w:trHeight w:val="20"/>
        </w:trPr>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increased $34.6 million between the first six months of 2021 and 2020. The increase was primarily due to an improvement in Operating margin and Other income (deductions) and a decline in Net interest deductions, offset by increases in Depreciation and amortization, Operations and maintenance expense, and Taxes other than income taxes.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$45.2 million, including $8 million attributable to customer growth. Rate relief contributed an additional $33 million in operating margin. Offsetting these impacts are lower late fees (approximately $800,000) and connect/re-connect charges during the moratorium, as discussed earlier. Residual impacts include those related to regulatory mechanisms, including recovery/return of regulatory program balances (primarily offset in amortization expense), in addition to margin from customers outside the decoupling mechanisms.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increased $6.9 million, or 3%, between periods primarily due to an increase in the service-related component of pension cost, incremental expenditures for pipeline damage prevention programs associated with a growing infrastructure and customer base, and increases in information technology and customer service-related costs, in addition to higher legal claim-related costs.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increased $8.4 million, or 7%, between periods primarily due to a $550 million, or 7%, increase in average gas plant in service between periods. The increase in plant was attributable to pipeline capacity reinforcement work, franchise requirements, scheduled pipe replacement activities, and new infrastructure, as well as the implementation of the customer information system. Recoveries associated with regulatory account balances, as noted above, also resulted in increases in amortization expense ($1.8 million compared to the first six months of 2020).</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(deductions) improved $12.1 million overall between periods. The current period reflects $5.8 million in income from the combined effects of an increase in COLI policy cash surrender values and recognized death benefits, while the prior-year period reflected a $3.5 million decline in values, net of recognized death benefits. The non-service cost components of employee pension and other postretirement benefits were $3 million lower between periods. Lower equity AFUDC in the current period partially offset the impact of these improvements.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Net interest deductions decreased $2.7 million between periods primarily due to amortization of an interest-related regulatory balance in Arizona.</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Twelve Months Ended June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1,354,812</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355,672</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999,140</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413,246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414,049</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71,765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62,716</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295,787</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(10,719)</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97,631</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231,333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187,437</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35,483</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151,954</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operations increased $42 million between the twelve-month periods ended June 2021 and 2020. The increase was due primarily to an increase in Operating margin and Other income, offset by increases in Depreciation and amortization, as well as Taxes other than income taxes.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$54 million between periods. Customer growth provided $14 million, and combined rate relief provided $39 million of incremental operating margin. Offsetting these impacts was a reduction in late fees ($3.8 million) due to the pandemic-period moratorium on these fees from March 2020 through April 2021 (still continuing in our California jurisdictions). Regulatory account balance return and recoveries impacted both periods, in addition to margin from customers outside the decoupling mechanisms.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Operations and maintenance expense decreased $803,000 between periods. Lower travel and in-person training costs in the COVID-19 environment and other cost saving initiatives by management more than offset higher levels of service-related pension and post-retirement benefit costs, expenditures for pipeline damage prevention programs associated with a growing infrastructure and customer base, and information technology and customer-related costs.</w:t>
      </w:r>
    </w:p>
    <w:p>
      <w:pPr>
        <w:spacing w:after="0" w:line="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 increased $17.1 million, or 8%, between periods primarily due to a $604 million, or 8%, increase in average gas plant in service since the corresponding period in the prior year and due to a $1.2 million increase in regulatory account amortization.</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$9 million between periods primarily due to an increase in property taxes in Arizona, and to a lesser extent, in Southwest’s California and Nevada jurisdictions.</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income increased $16.2 million between the twelve-month periods of 2021 and 2020, primarily due to a current-period $18.5 million increase in COLI policy cash surrender values and recognized death benefits, while the twelve months ended June 30, 2020 reflected a $2.9 million increase.</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 both periods reflects that COLI results are recognized without tax consequences, and also reflects the amortization of EADIT balances.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494,813</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430,224</w:t>
            </w:r>
          </w:p>
        </w:tc>
      </w:tr>
      <w:tr>
        <w:trPr>
          <w:trHeight w:val="229"/>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r>
      <w:tr>
        <w:trPr>
          <w:trHeight w:val="223"/>
        </w:trPr>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22,990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38,417</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16,471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28,183</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26,267</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revenues increased $33.8 million in the second quarter of 2021 when compared to the prior-year quarter, primarily due to increased work under gas infrastructure blanket and bid contracts with certain customers in the central and eastern U.S. regions and Canada. Revenues from electric infrastructure services increased $2.4 million in the second quarter of 2021 when compared to the prior-year quarter, including an offsetting reduction in emergency restoration storm support services of $4 million between periods due to the unpredictable nature of weather-related events. Storm restoration work typically generates a higher profit margin than core infrastructure services, due to improved operating efficiencies related to equipment utilization and absorption of fixed costs. Partially offsetting the increased revenues in the above noted regions was reduced work with two significant customers during the second quarter of 2021 (totaling $27 million), due to timing and mix of projects under each customer’s multi-year capital spending programs.</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Utility infrastructure services expenses increased $48.4 million in the second quarter of 2021 when compared to the prior-year quarter, primarily due to costs to complete gas infrastructure work. The significant reductions in revenue from major customers, as discussed above, had an unfavorable impact on profit margins due to reduced operating efficiencies from equipment and facility utilization and under-absorption of other fixed costs. The prior-year period was favorably impacted by certain customers’ response to COVID-19, which allowed for an increase in main line replacement work as compared to service-line related work, resulting in greater operating efficiencies. Higher fuel costs and equipment rental expense were also incurred due to the mix of work and in support of growth in our electric infrastructure business. Centuri recognized $1.8 million in wage and rent subsidies from the Canadian government amidst the continuing COVID-19 environment during the second quarter of 2021, compared to $3.4 million in the prior-year quarter. These subsidies were recorded as a reduction in Utility infrastructure services expense. Also included in total Utility infrastructure services expenses were general and administrative costs, which increased approximately $1 million between comparative periods, associated with approximately $600,000 in professional fees related to Centuri’s pending acquisition of Riggs, and other costs resulting from general growth in the business.</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$1.2 million between quarters attributable to equipment purchased to support the growing volume of infrastructure work. Depreciation expense, relative to the revenues recorded, was generally consistent during the second quarter of 2021 compared to the prior-year quarter.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interest deductions of $600,000 was due to lower incremental borrowing rates associated with decreased outstanding borrowings under Centuri’s $590 million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Six-Month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17"/>
                <w:szCs w:val="17"/>
                <w:color w:val="auto"/>
              </w:rPr>
            </w:pPr>
          </w:p>
        </w:tc>
      </w:tr>
      <w:tr>
        <w:trPr>
          <w:trHeight w:val="230"/>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June 30,</w:t>
            </w:r>
          </w:p>
        </w:tc>
        <w:tc>
          <w:tcPr>
            <w:tcW w:w="1140" w:type="dxa"/>
            <w:vAlign w:val="bottom"/>
            <w:tcBorders>
              <w:bottom w:val="single" w:sz="8" w:color="auto"/>
            </w:tcBorders>
          </w:tcPr>
          <w:p>
            <w:pPr>
              <w:spacing w:after="0"/>
              <w:rPr>
                <w:sz w:val="19"/>
                <w:szCs w:val="19"/>
                <w:color w:val="auto"/>
              </w:rPr>
            </w:pP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2020</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828,306</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749,538</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46,947</w:t>
            </w:r>
          </w:p>
        </w:tc>
      </w:tr>
      <w:tr>
        <w:trPr>
          <w:trHeight w:val="223"/>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24,883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18,442</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16,063</w:t>
            </w: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revenues increased $64.3 million in the first six months of 2021 when compared to the same period in the prior year, primarily due to incremental electric infrastructure revenues of $24 million from expansion of work with existing customers and securing work with new customers. Included in the incremental electric infrastructure revenues during the first six months of 2021 was $12.2 million from emergency restoration services performed by Linetec following tornados and ice storms, primarily in Texas, compared to $7.3 million in the first six months of the prior year. The remaining increase in revenues was attributable to favorable weather in several areas and customer scheduling, which allowed increased work under existing master service agreements and bid projects for gas infrastructure services in the central and eastern U.S. regions and Canada, offset by a reduction of $44 million in gas infrastructure services with the two large customers noted earlier.</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Utility infrastructure services expenses increased $64.7 million in the first six months of 2021 when compared to the same period in the prior year, primarily due to costs to complete additional electric and gas infrastructure work. Operating efficiencies during the first quarter of 2021 from favorable weather conditions and reduced COVID-19 restrictions from the prior year were normalized in the second quarter of 2021 by higher fuel costs, equipment rental expense, payroll-related expenses, and subcontractor costs caused by changes in the mix of work and continued growth in our electric infrastructure business. The significant reduction in revenues with two large customers, as noted earlier, resulted in an unfavorable impact on profit margins during the first six months of 2021, due to reduced operating efficiencies from equipment and facility utilization and under-absorption of other fixed costs. Included in total Utility infrastructure services expenses were general and administrative costs, which increased $4.2 million in 2021 compared to 2020, associated primarily with growth of the business and $800,000 in professional fees incurred related to Centuri’s pending acquisition of Riggs. Gains on sale of equipment (reflected as an offset to Utility infrastructure services expenses) were approximately $4 million and $300,000 in the six-month periods in 2021 and 2020, respectively.</w:t>
      </w:r>
    </w:p>
    <w:p>
      <w:pPr>
        <w:spacing w:after="0" w:line="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 increased approximately $3 million between periods, attributable to equipment purchased to support the growing business, primarily at Linetec. Depreciation expense, relative to the revenues recorded, was generally consistent between periods.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decreased $1.9 million during the first six months of 2021 due to lower incremental borrowing rates associated with decreased outstanding borrowings under Centuri’s $590 million secured revolving credit and term loan facility.</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Twelve Months Ended June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1,812,122</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1,620,101</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93,638</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98,383</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85,797</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24,477</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61,320</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57,581</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revenues increased $200.5 million, or 11%, in the current twelve-month period compared to the corresponding period of 2020, primarily due to incremental electric infrastructure revenues of $134.2 million from expansion of work with existing customers and securing work with new customers. Included in the incremental electric infrastructure revenues during the twelve-month period of 2021 was $86.5 million from emergency restoration services performed by Linetec, following hurricane, tornado, and other storm damage to customers’ above-ground utility infrastructure in and around the Gulf Coast and eastern regions of the U.S., as compared to $13.6 million in similar services during the twelve-month period in 2020. Centuri’s revenues derived from storm-related services vary from period to period due to the unpredictable nature of weather-related events. The remaining increase in revenue was attributable to continued growth with existing gas infrastructure customers under master service and bid agreements.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$174 million between periods, largely due to incremental costs related to electric infrastructure work of $87.2 million, including costs associated with storm restoration work, and due to costs necessary for the completion of additional gas infrastructure work. Storm restoration work typically generates a higher profit margin than core infrastructure services, due to improved operating efficiencies related to equipment utilization and absorption of fixed costs. Also included in Utility infrastructure services expenses were general and administrative costs, which increased $19.5 million during the twelve-month period in 2021 when compared to 2020, due to higher payroll and operating costs associated with continued growth of the business and higher profit-based incentive compensation. Offsetting these increases were lower insurance costs from favorable claims experience under Centuri’s self-insurance programs. Gains on sale of equipment (reflected as an offset to Utility infrastructure services expenses) were approximately $5.6 million and $4.9 million for the twelve-month periods in 2021 and 2020, respectively.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$6.1 million between the current and prior-year period. The increase was primarily attributable to incremental costs related to electric infrastructure depreciation of $4.3 million. The remaining increase is attributable to property and equipment purchased to support the growing volume of work being performed.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interest deductions of $5.1 million was due to lower incremental borrowing rates associated with decreased outstanding borrowings under Centuri’s $590 million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In May 2019, Southwest filed a general rate case application requesting to increase revenue by approximately $57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update the cost of service to reflect recent U.S. tax reform changes, incorporating the return of excess deferred income taxes to customers, and to reflect capital investments, including certain post-test year additions and the southern Arizona liquefied natural gas (“LNG”) facility. The application included a proposed 10.3% return on equity (“ROE”) relative to a capital structure of 51.1% equity. Southwest later updated its request multiple times, in order to reflect the actual amortization of EADIT resulting from U.S. tax reform and to include additional post-test year plant associated with its Customer-owned Yard Line (“COYL”) and Vintage Steel Pipe (“VSP”) programs, and to reflect certain other aspects of cost of service, including a revised proposed ROE of 10.15%. The request and amendments included the retention of a fully decoupled rate design, other previously approved regulatory mechanisms, and a new infrastructure tracking mechanism for specific plastic pipe, in addition to a proposal for a renewable natural gas (“RNG”) program as part of its PGA mechanism. Southwest entered into a stipulation for certain aspects of the case, including continuing the COYL program; establishing a Tax Expense Adjustor Mechanism to track annual changes in the amortization of EADIT, as well as any future changes in the federal tax rate; including a 10-year amortization of EADIT associated with deemed “unprotected” plant; addressing other aspects regarding EADIT; incorporating various tariff proposals; and incorporating other ratemaking adjustments. EADIT associated with “protected” plant relates to timing differences from using accelerated depreciation for tax purposes and another method for book purposes, and unprotected amounts relate to all other timing differences. Following the hearing and the legal briefing process, the updated proposal reflected a request to increase rates by $80.7 million.</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final decision was issued in December 2020, with new rates becoming effective in January 2021, resulting in an overall annual revenue increase of $36.8 million, and the continuation of both full revenue decoupling and the COYL program. The overall increase reflects the inclusion of six months (as compared to eleven months previously contemplated) of post-test year plant additions, including additions with regard to the LNG facility, as well as the COYL and VSP programs. An ROE of 9.1% was approved with a capital structure comprised of 48.9% long-term debt and 51.1% common equity. See additional discussion related to the LNG facility, in addition to the COYL and VSP programs below. The continuation of the property tax tracker was supported in the final decision, as was the Tax Expense Adjustor Mechanism (noted above). While the RNG proposal was not approved as part of the decision, the ACC conducted a workshop in May 2021 to further explore the role of RNG in Arizona.</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Delivery Charge Adjustment (“DCA”) is filed each April, which along with other reporting requirements, contemplates a</w:t>
      </w:r>
      <w:r>
        <w:rPr>
          <w:rFonts w:ascii="Arial" w:cs="Arial" w:eastAsia="Arial" w:hAnsi="Arial"/>
          <w:sz w:val="18"/>
          <w:szCs w:val="18"/>
          <w:i w:val="1"/>
          <w:iCs w:val="1"/>
          <w:color w:val="auto"/>
        </w:rPr>
        <w:t xml:space="preserve"> </w:t>
      </w:r>
      <w:r>
        <w:rPr>
          <w:rFonts w:ascii="Arial" w:cs="Arial" w:eastAsia="Arial" w:hAnsi="Arial"/>
          <w:sz w:val="18"/>
          <w:szCs w:val="18"/>
          <w:color w:val="auto"/>
        </w:rPr>
        <w:t>rate to recover the over- or under-collected margin tracker amounts based on the balance at the end of the preceding calendar year. In April 2020, Southwest filed to adjust the existing rate to consider, instead, the modest balance existing at the end of February 2020. Ultimately, the ACC elected to set the rate to zero in an effort to provide some measure of customer relief in light of the COVID-19 pandemic, and at the time of both the April filing and the ACC decision, the balance was a liability (in an over-recovered status). For 2021, once again, the balance at the end of the preceding calendar year was a modest positive balance, but in an over-collected status by the time rates would be requested to be re-set. Therefore, the zero rate will be maintained until the next annual filing date.</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LNG Facility</w:t>
      </w:r>
      <w:r>
        <w:rPr>
          <w:rFonts w:ascii="Arial" w:cs="Arial" w:eastAsia="Arial" w:hAnsi="Arial"/>
          <w:sz w:val="18"/>
          <w:szCs w:val="18"/>
          <w:color w:val="auto"/>
        </w:rPr>
        <w:t>. In 2014, Southwest sought ACC preapproval to construct, operate, and maintain a 233,000 dekatherm LNG facility in southern Arizona. This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intended to enhance service reliability and flexibility related to natural gas deliveries in the southern Arizona area by providing a local storage option, and to be connected directly to Southwest’s distribution system. Southwest was ultimately granted approval for construction and deferral of costs. The facility was placed in service in December 2019. The capital costs and the operating expenses associated with plant operation were considered and</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approved as part of Southwest’s recently approved general rate case. Approximately $12 million in costs, incurred following the in-service date of the facility and after the period considered as part of the recently concluded general rate case, were deferred in the previously authorized regulatory asset and will be included for consideration in the next Arizona general rate case application.</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originally received approval, in connection with its 2010 Arizona general rate case, to implement a program to conduct leak</w:t>
      </w:r>
      <w:r>
        <w:rPr>
          <w:rFonts w:ascii="Arial" w:cs="Arial" w:eastAsia="Arial" w:hAnsi="Arial"/>
          <w:sz w:val="17"/>
          <w:szCs w:val="17"/>
          <w:i w:val="1"/>
          <w:iCs w:val="1"/>
          <w:color w:val="auto"/>
        </w:rPr>
        <w:t xml:space="preserve"> </w:t>
      </w:r>
      <w:r>
        <w:rPr>
          <w:rFonts w:ascii="Arial" w:cs="Arial" w:eastAsia="Arial" w:hAnsi="Arial"/>
          <w:sz w:val="17"/>
          <w:szCs w:val="17"/>
          <w:color w:val="auto"/>
        </w:rPr>
        <w:t>surveys, and if leaks were present, to replace and relocate service lines and meters for Arizona customers whose meters were set off from the customer’s home, representing a non-traditional configuration. In 2014, the ACC approved a “Phase II” of the COYL program, which included the replacement of non-leaking COYLs. Annual surcharges are designed to collect the revenue requirement associated with the program. In a February 2019 filing, Southwest requested to increase its surcharge to recover a revenue requirement of $6.7 million (an increase of $3.2 million) associated with $26.6 million in capital projects completed in 2018. The ACC ultimately issued an Order in October 2019 authorizing Southwest to retain the existing annual surcharge in place, while it reviewed the program as part of the general rate case. As indicated earlier, parties to the rate case stipulated to continue the COYL program and recommended recovery of certain plant as part of a post-test year plant adjustment, with inclusion of related amounts in base rates. The ACC final rate case decision limited post-test year plant to six months (inclusive of COYL plant), and limited future COYL activity to the replacement of leaking COYLs, or in cases when other replacement activity is taking place in the vicinity. A filing in May 2021 proposed the recovery of the remaining 2019 and 2020 revenue requirement associated with prior COYL program activity. The filing proposes the associated revenue requirement (approximately $13.7 million) be recovered over one year. A decision is expected before year end.</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VSP Program. </w:t>
      </w:r>
      <w:r>
        <w:rPr>
          <w:rFonts w:ascii="Arial" w:cs="Arial" w:eastAsia="Arial" w:hAnsi="Arial"/>
          <w:sz w:val="17"/>
          <w:szCs w:val="17"/>
          <w:color w:val="auto"/>
        </w:rPr>
        <w:t>As part of a settlement agreement from its 2016 Arizona general rate case, Southwest received approval to implement a VSP replacement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As part of the program, Southwest proposed to begin replacing the pipe on an accelerated basis and recover the costs through an annual surcharge filing. Once implemented, surcharges to collect the annual revenue requirement associated with the capital expenditures were designed to be revised annually under the program. In February 2019, Southwest requested to increase its surcharge revenue by $9.5 million (to $11.9 million) associated with the replacement of approximately $100 million in 2018 VSP capital projects. The ACC’s October 2019 Order authorizing Southwest to retain the existing annual surcharge indicated the program would be subject to review as part of the general rate case. As noted above, the decision in the most recent general rate case provided for a post-test year plant adjustment period of six months (including for VSP). However, the ACC ultimately decided to discontinue the accelerated VSP program at this time. A filing in May 2021 proposed the recovery of the otherwise unrecovered revenue requirement (associated with years 2019 through 2022), related to VSP plant investment during 2019 and 2020, which was not included as part of the recently concluded rate case. The filing proposes the associated revenue requirement (approximately $60 million) be recovered over a three-year period. A decision is expected before year end.</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Southwest embarked on an initiative to replace its customer service system and gas transaction systems, each to</w:t>
      </w:r>
      <w:r>
        <w:rPr>
          <w:rFonts w:ascii="Arial" w:cs="Arial" w:eastAsia="Arial" w:hAnsi="Arial"/>
          <w:sz w:val="17"/>
          <w:szCs w:val="17"/>
          <w:i w:val="1"/>
          <w:iCs w:val="1"/>
          <w:color w:val="auto"/>
        </w:rPr>
        <w:t xml:space="preserve"> </w:t>
      </w:r>
      <w:r>
        <w:rPr>
          <w:rFonts w:ascii="Arial" w:cs="Arial" w:eastAsia="Arial" w:hAnsi="Arial"/>
          <w:sz w:val="17"/>
          <w:szCs w:val="17"/>
          <w:color w:val="auto"/>
        </w:rPr>
        <w:t>be utilized to support all Southwest service territories. Combined, these undertakings were referred to as the Customer Data Modernization Initiative (the “CDMI”). In March 2019, Southwest filed an application with the ACC seeking an accounting order to track and defer all costs associated with the CDMI to mitigate adverse financial implications associated with this multi-year initiative. The ACC issued a decision in this matter in early April 2021 denying Southwest’s request for a regulatory asset, indicating that the requested recovery mechanism was not warranted, and that Southwest could, instead, seek to recover the costs as part of a future rate case. The total CDMI costs were estimated at approximately $174 million, of which $96 million would be allocable to the Arizona rate jurisdiction. The customer service system was placed in service in May 2021.</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Graham County Utilities. </w:t>
      </w:r>
      <w:r>
        <w:rPr>
          <w:rFonts w:ascii="Arial" w:cs="Arial" w:eastAsia="Arial" w:hAnsi="Arial"/>
          <w:sz w:val="18"/>
          <w:szCs w:val="18"/>
          <w:color w:val="auto"/>
        </w:rPr>
        <w:t>In April 2021, Southwest and Graham County Utilities, Inc. (“GCU”) filed a joint application with the ACC for approval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assets of GCU to Southwest and extend Southwest’s Certificate of Public Convenience and Necessity to serve the associated customers. Approval of the application would provide for transfer of the natural gas system of GCU to Southwest for the purchase price of $3.5 million and the addition of more than 5,000 customers. A decision is expected in the fourth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California General Rate Case. </w:t>
      </w:r>
      <w:r>
        <w:rPr>
          <w:rFonts w:ascii="Arial" w:cs="Arial" w:eastAsia="Arial" w:hAnsi="Arial"/>
          <w:sz w:val="17"/>
          <w:szCs w:val="17"/>
          <w:color w:val="auto"/>
        </w:rPr>
        <w:t>In August 2019, Southwest filed a general rate case based on a 2021 test year, seeking authority to increase rates in its</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rate jurisdictions, after being granted earlier permission to extend the rate case cycle by two years and continue its 2.75% previously approved Post-Test Year (“PTY”) attrition adjustments for 2019 and 2020. The proposed combined revenue increase of $12.8 million was net of a $10.9 million revenue reduction associated with changes from U.S. tax reform. The overall revenue request also included $1.6 million of EADIT proposed to be returned to customers each year until the amount is reset again later as part of a future rate case. Southwest’s proposal included an ROE of 10.5% relative to a 53% equity ratio; continuation of annual post-test year margin adjustments of 2.75%; implementation of various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safety-related programs, including a targeted pipe replacement program and a meter protection program (with a combination of measures, such as snow sheds, excess flow valves, upgraded meter set piping and upgraded Encoder Receiver Transmitter protocol); as well as an expansion of the school COYL replacement program.</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reached an agreement in principle with the Public Advocate’s Office, which was unanimously approved by the CPUC on March 25, 2021, including a $6.4 million total combined revenue increase with a 10% ROE, relative to a 52% equity ratio. Approximately $4 million of the original proposed increase was associated with a North Lake Tahoe project that would not ultimately be completed by the beginning of 2021; consequently, the parties agreed to provide for recovery of the cost of service impacts of the project through a future surcharge. The rate case decision maintains Southwest’s existing 2.75% annual attrition adjustments, the continuation of the pension balancing account, and a proposed increase in the residential basic service charge from the existing $5.00 to $5.75 per month. It also includes a cumulative total of expenditures totaling $119 million over the five-year rate cycle to implement risk-informed proposals, consisting of the school COYL replacement, meter protection, and pipe replacement programs. Although new rates were originally anticipated to be in place by January 1, 2021, in light of an administrative delay, Southwest was granted authority to establish a general rate case memorandum account to track the impacts related to the delay in the implementation of new rates for purposes of later recovery. New rates were ultimately implemented April 1, 2021.</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new rates approved as part of the recently concluded general rate case, Southwest is also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to implement annual PTY attrition increases of 2.75% starting in 2022.</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Greenhouse Gas (“GHG”) Compliance. </w:t>
      </w:r>
      <w:r>
        <w:rPr>
          <w:rFonts w:ascii="Arial" w:cs="Arial" w:eastAsia="Arial" w:hAnsi="Arial"/>
          <w:sz w:val="18"/>
          <w:szCs w:val="18"/>
          <w:color w:val="auto"/>
        </w:rPr>
        <w:t>California Assembly Bill Number 32 and regulations promulgated by the California Air Resources Board,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which has continued in the current year. GHG compliance costs recovered through rates have no impact on earnings.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things, sought to formally allow renewable natural gas (or</w:t>
      </w:r>
      <w:r>
        <w:rPr>
          <w:rFonts w:ascii="Arial" w:cs="Arial" w:eastAsia="Arial" w:hAnsi="Arial"/>
          <w:sz w:val="18"/>
          <w:szCs w:val="18"/>
          <w:i w:val="1"/>
          <w:iCs w:val="1"/>
          <w:color w:val="auto"/>
        </w:rPr>
        <w:t xml:space="preserve"> </w:t>
      </w:r>
      <w:r>
        <w:rPr>
          <w:rFonts w:ascii="Arial" w:cs="Arial" w:eastAsia="Arial" w:hAnsi="Arial"/>
          <w:sz w:val="18"/>
          <w:szCs w:val="18"/>
          <w:color w:val="auto"/>
        </w:rPr>
        <w:t>biomethane) as an includible component of Southwest’s gas supply portfolio through the Biomethane Gas Program (“BGP”). This proposal was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Customer Data Modernization Initiative. </w:t>
      </w:r>
      <w:r>
        <w:rPr>
          <w:rFonts w:ascii="Arial" w:cs="Arial" w:eastAsia="Arial" w:hAnsi="Arial"/>
          <w:sz w:val="16"/>
          <w:szCs w:val="16"/>
          <w:color w:val="auto"/>
        </w:rPr>
        <w:t>In April 2019, Southwest filed an application with the CPUC seeking authority to establish a two-way,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bearing balancing account to record costs associated with the CDMI to mitigate adverse financial implications associated with this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which allowed Southwest to track costs, including operations and maintenance costs and capital-related costs, such as depreciation, taxes, and return associated with California’s portion of the CDMI. The balance tracked in the memorandum account was transferred to the two-way balancing account in July 2020. A rate to begin recovering the balance accumulated through June 30, 2020 was established and made effective September 1, 2020, further updated in January 2021, and is expected to be updated annually thereafter each January. As noted earlier, the customer service system, the largest of the two systems associated with the CDMI, was placed in service in May 2021.</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Emergency Relief Program Related to COVID-19. </w:t>
      </w:r>
      <w:r>
        <w:rPr>
          <w:rFonts w:ascii="Arial" w:cs="Arial" w:eastAsia="Arial" w:hAnsi="Arial"/>
          <w:sz w:val="18"/>
          <w:szCs w:val="18"/>
          <w:color w:val="auto"/>
        </w:rPr>
        <w:t>In March 2020, in light of the COVID-19 pandemic, Southwest requested to establish a memorandum</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to track costs as part of customer protections under Emergency Relief regulations implemented in California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requested to establish a COVID-19 Pandemic Protections Memorandum Account (“CPPMA”) to record incremental costs and lost revenues incurred by Southwest associated with its implementation of the protections outlined in the CPUC resolution. The protections were retroactively applied to March 4, 2020, the date Governor Gavin Newsom declared a state of emergency related to COVID-19. The CPPMA was originally effective March 4, 2020 through April 16, 2021, but was extended through September 30, 2021. These customer protections focus on flexible payment plan options, additional protections for income-</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customers, as well as the suspension of disconnections for non-payment and waiver of deposit and late fee requirements. Tracked amounts will be considered by the CPUC for future recovery.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Nevada General Rate Case. </w:t>
      </w:r>
      <w:r>
        <w:rPr>
          <w:rFonts w:ascii="Arial" w:cs="Arial" w:eastAsia="Arial" w:hAnsi="Arial"/>
          <w:sz w:val="16"/>
          <w:szCs w:val="16"/>
          <w:color w:val="auto"/>
        </w:rPr>
        <w:t>In June 2021, Southwest filed a Notice of Intent to file a general rate case, anticipated to occur in the third quarter of 2021.</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Southwest’s previous general rate case application was filed with the PUCN in February 2020, which requested a statewide overall general rate increase of approximately $38.3 million. The request sought an ROE of 10% relative to a proposed capital structure of 50% equity and continuation of the General Revenues Adjustment (“GRA”) mechanism (full revenue decoupling). The request also proposed the recovery of previously excluded costs attributable to several software applications. In June 2020, Southwest submitted its certification filing to update certain balances through May 31, 2020, which increased its overall proposed rate increase to $38.5 million. The PUCN issued its final order in September 2020, which provided for an authorized combined revenue increase of approximately $23 million for northern and southern Nevada and continuation of the previously authorized 9.25% ROE, with a capital structure of 49.26% equity and 50.74% debt. Southwest’s GRA was authorized to continue without modification. Full cost recovery of the unamortized balance of excluded software projects from the previous general rate case was authorized in this case, along with the inclusion of all proposed Gas Infrastructure Replacement (“GIR”) and Mesquite Expansion projects in rate base, as well as full recovery of test year and certification operations and maintenance expenses associated with the CDMI. Rates became effective in October 2020.</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association with an earlier Nevada rate case decision in December 2018, management requested reconsideration of several issues in the case; however, the PUCN ultimately granted no further relief. Management decided to seek judicial review of the PUCN’s rate order, which was considered in January 2020. The District Court Judge deferred to the PUCN’s original findings. In March 2020, Southwest filed an appeal with the Nevada Supreme Court, which remains active; the resolution will likely take up to 24 months from the date of the appeal.</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As noted above, the continuation of the GRA was affirmed as part of Southwest’s recently concluded general rate case,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October 2020. Southwest makes Annual Rate Adjustment (“ARA”) filings to update rates to recover or return amounts associated with various regulatory mechanisms, including the GRA. In May 2020, Southwest made its most recent ARA filing, which proposed an annualized margin decrease of $5.3 million in southern Nevada and an increase of $1.6 million in northern Nevada. The ARA filing was resolved through a settlement of the parties, in which the proposed changes associated with the GRA were approved, effective January 2021.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GIR mechanism, which provided for the deferral and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 related regulations provide Southwest with the opportunity to file a GIR “Advance Application” annually to seek preapproval of qualifying replacement projects.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cases where preapproval of projects is requested and granted, a GIR rate application is separately filed to reset the GIR recovery surcharge rate related to previously approved and completed projects. On September 30, 2020, Southwest filed its latest rate application to reset the recovery surcharge to include cumulative deferrals through August 31, 2020. The updated surcharge rate, expected to result in a reduction in annual revenue of approximately $11.8 million, became effective in January 2021.</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Conservation and Energy Efficiency. </w:t>
      </w:r>
      <w:r>
        <w:rPr>
          <w:rFonts w:ascii="Arial" w:cs="Arial" w:eastAsia="Arial" w:hAnsi="Arial"/>
          <w:sz w:val="17"/>
          <w:szCs w:val="17"/>
          <w:color w:val="auto"/>
        </w:rPr>
        <w:t>The PUCN allows deferral (and later recovery) of approved conservation and energy efficiency costs, recovery rates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are adjusted in association with ARA filings. In its June 2019 ARA filing, Southwest proposed annualized margin increases of $3.2 million and $880,000 in southern and northern Nevada, respectively. However, Southwest entered into a stipulation and agreement to modify these amounts to $6.2 million and $1.1 million in southern and northern Nevada, respectively, to reflect a related but separate program balance to be rolled into customer rates with the same effective date. The modification was approved, and rates became effective January 2020. In its May 2020 ARA filing, Southwest proposed annualized margin decreases of $313,000 and $55,000 for southern and northern Nevada, respectively, which were approved and became effective in January 2021. In May 2021, Southwest filed its proposed Conservation and Energy Efficiency plan for the years 2022 – 2024, with a proposed annual budget amount of approximately $3 million. A decision is expected in the fourth quarter 2021.</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to expand their infrastructure to provide service to unserved and underserved areas in Nevada.</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Southwest filed for preapproval of a project to extend service to Mesquite, Nevada, in accordance with the SB 151 regulations. Ultimately, the PUCN issued an order approving Southwest’s proposal for the expansion, including a capital investment of approximately $28 million and the construction of approximately 37 miles of distribution pipeline (including the approach main). The annual revenue requirement associated with the project is $2.8 million. A volumetric rate, applicable to all southern Nevada customers (including new customers in Mesquite), was implemented in October 2019 to recover the cost. Southwest’s May 2020 ARA filing, which proposed an annualized margin increase of $185,000, reflects the cumulative deferred revenue requirement associated with the Mesquite facilities that were placed in service through April 30, 2020. During 2020, Southwest continued serving certain customers in Mesquite from an approved “virtual” pipeline network, providing temporary natural gas supply using portions of the approved distribution system and compressed natural gas. Construction of the tap site, approach main, as well as distribution mains was completed and facilities were placed in service in December 2020. A distribution loop, included in the initial estimated cost, is expected to be in service later this year.</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was estimated to be $61.9 million. A stipulation was reached with the parties and approved by the PUCN in December 2019, largely accepting Southwest’s proposal with modifications in the rate recovery allocations amongst northern Nevada, Elko, and Spring Creek expansion customers. Construction of the initial phase of the expansion began in the third quarter of 2020, and service commenced to the first Spring Creek customers in December 2020. The expansion overall, as part of the earlier estimate, is anticipated to be completed in 2026.</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Customer Data Modernization Initiative. </w:t>
      </w:r>
      <w:r>
        <w:rPr>
          <w:rFonts w:ascii="Arial" w:cs="Arial" w:eastAsia="Arial" w:hAnsi="Arial"/>
          <w:sz w:val="16"/>
          <w:szCs w:val="16"/>
          <w:color w:val="auto"/>
        </w:rPr>
        <w:t>In March 2019, Southwest filed a request seeking authority to establish a regulatory asset to defer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related to the CDMI to mitigate the financial attrition associated with the multi-year project. Approximately $59 million of the estimated $174 million cost of the CDMI would be allocable to the Nevada rate jurisdictions. A hearing was held in August 2019 and the PUCN issued a decision in September 2019, denying Southwest’s request for regulatory asset treatment, finding a general rate case to be the most appropriate avenue to address such costs. In response to the PUCN’s decision, Southwest filed a Petition for Reconsideration in October 2019, which was denied. As part of its 2020 general rate case filing, Southwest was authorized to include CDMI operations and maintenance costs since the beginning of the associated test year as part of its revenue requirement in the case. The customer service system portion of the CDMI was placed in service in May 2021.</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effective March</w:t>
      </w:r>
      <w:r>
        <w:rPr>
          <w:rFonts w:ascii="Arial" w:cs="Arial" w:eastAsia="Arial" w:hAnsi="Arial"/>
          <w:sz w:val="18"/>
          <w:szCs w:val="18"/>
          <w:i w:val="1"/>
          <w:iCs w:val="1"/>
          <w:color w:val="auto"/>
        </w:rPr>
        <w:t xml:space="preserve"> </w:t>
      </w:r>
      <w:r>
        <w:rPr>
          <w:rFonts w:ascii="Arial" w:cs="Arial" w:eastAsia="Arial" w:hAnsi="Arial"/>
          <w:sz w:val="18"/>
          <w:szCs w:val="18"/>
          <w:color w:val="auto"/>
        </w:rPr>
        <w:t>12, 2020, the date that Governor Steve Sisolak declared a state of emergency related to COVID-19, to track the financial impacts associated with maintaining service for customers affected by COVID-19, including those whose service would have been otherwise terminated/disconnected. These costs will be considered by the PUCN for future recovery.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Proposed Carbon Offset Program. </w:t>
      </w:r>
      <w:r>
        <w:rPr>
          <w:rFonts w:ascii="Arial" w:cs="Arial" w:eastAsia="Arial" w:hAnsi="Arial"/>
          <w:sz w:val="18"/>
          <w:szCs w:val="18"/>
          <w:color w:val="auto"/>
        </w:rPr>
        <w:t>In June 2021, Southwest filed an application to seek approval to offer a voluntary program to northern and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Nevada customers to purchase carbon offsets in an effort to provide customers additional options to reduce their respective GHG emissions. A request to establish a regulatory asset to track program-related costs and revenues was included as part of the application. A decision is expected in the first quarter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a general rate case with the FERC in May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filing fulfilled an obligation from the settlement agreement reached in an earlier general rate case. In January 2020, Paiute reached an agreement in principle with the FERC Staff and intervenors to settle the case, the results of which would not significantly impact revenues overall. The agreement required Paiute’s three largest transportation customers and all storage customers to have primary terms of at least five years under their agreements, provided for the continuance of term-differentiated rates generally, and included a 9.90% pre-tax rate of return. Interim rates were made effective February 2020, and in August 2020 an earlier FERC letter order approving the settlement became final. As part of the settlement, Paiute agreed not to file a rate case prior to January 1, 2022, but no later than May 31, 2025.</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June 30, 2021, under-collections in each of Southwest’s service territories resulted in an asset of $235.1 million on the Company’s and Southwest’s Condensed Consolidated Balance Sheets. The significant change in the PGA balance was due to incremental natural gas costs associated with an extreme weather event in the central U.S. in mid-February 2021. See also </w:t>
      </w:r>
      <w:r>
        <w:rPr>
          <w:rFonts w:ascii="Arial" w:cs="Arial" w:eastAsia="Arial" w:hAnsi="Arial"/>
          <w:sz w:val="16"/>
          <w:szCs w:val="16"/>
          <w:i w:val="1"/>
          <w:iCs w:val="1"/>
          <w:color w:val="auto"/>
        </w:rPr>
        <w:t>Deferred Purchased Gas Costs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Organization, and Summary of Significant Accounting Policies </w:t>
      </w:r>
      <w:r>
        <w:rPr>
          <w:rFonts w:ascii="Arial" w:cs="Arial" w:eastAsia="Arial" w:hAnsi="Arial"/>
          <w:sz w:val="16"/>
          <w:szCs w:val="16"/>
          <w:color w:val="auto"/>
        </w:rPr>
        <w:t>in this quarterly report on Form 10-Q</w:t>
      </w:r>
      <w:r>
        <w:rPr>
          <w:rFonts w:ascii="Arial" w:cs="Arial" w:eastAsia="Arial" w:hAnsi="Arial"/>
          <w:sz w:val="16"/>
          <w:szCs w:val="16"/>
          <w:b w:val="1"/>
          <w:bCs w:val="1"/>
          <w:color w:val="auto"/>
        </w:rPr>
        <w: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June 30, 2021</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32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June 30, 2020</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(13,648)</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(32,867)</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endeavors to maintain an appropriate balance of equity and debt to preserve investment-grade credit ratings, which should minimize interest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flows from consolidated operating activities decreased $374 million in the first six months of 2021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2020. The decline in cash flows primarily resulted from amounts under purchased gas adjustment mechanisms, including amounts resulting from the temporary escalation in gas commodity prices during the first quarter of 2021 associated with the extreme cold temperatures in the central U.S. (see </w:t>
      </w:r>
      <w:r>
        <w:rPr>
          <w:rFonts w:ascii="Arial" w:cs="Arial" w:eastAsia="Arial" w:hAnsi="Arial"/>
          <w:sz w:val="16"/>
          <w:szCs w:val="16"/>
          <w:b w:val="1"/>
          <w:bCs w:val="1"/>
          <w:color w:val="auto"/>
        </w:rPr>
        <w:t>Note 1 – Background, Organization, and Summary of Significant Accounting Policies</w:t>
      </w:r>
      <w:r>
        <w:rPr>
          <w:rFonts w:ascii="Arial" w:cs="Arial" w:eastAsia="Arial" w:hAnsi="Arial"/>
          <w:sz w:val="16"/>
          <w:szCs w:val="16"/>
          <w:color w:val="auto"/>
        </w:rPr>
        <w:t>). Other impacts include a decrease ($45 million) in recoveries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Arizona decoupling mechanism balance between six-month periods, and the impact of changes in components of working capital overall.</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$93 million in the first six months of 2021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The change was primarily due to a decrease in capital expenditures in the natural gas operating segment.</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increased $94 million in the first six months of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2020. The change was primarily due to Southwest’s $250 million short-term loan issued in the first quarter of 2021 to fund the increased cost of natural gas supply during the extreme cold weather event (noted earlier), and borrowing and repayment activity between comparative periods under the credit facilities in both segments. The prior-year period included the issuance of $450 million in notes by Southwest and $70 million in equipment loans at Centuri. Additionally, the Company issued $66 million more in common stock under its equity shelf programs in the first six months of 2021 compared to issuances in the prior year.</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the Company also issued 91,000 shares of common stock through the Dividend Reinvestment and Stock Purchase Plan, raising approximately $5.8 million.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issuances or other external financing sources. See </w:t>
      </w:r>
      <w:r>
        <w:rPr>
          <w:rFonts w:ascii="Arial" w:cs="Arial" w:eastAsia="Arial" w:hAnsi="Arial"/>
          <w:sz w:val="18"/>
          <w:szCs w:val="18"/>
          <w:b w:val="1"/>
          <w:bCs w:val="1"/>
          <w:color w:val="auto"/>
        </w:rPr>
        <w:t>Note 4 – Common Stock</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operating activities decreased $383 million in the first six months of 2021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decline in operating cash flows was primarily attributable to the impacts related to deferred purchased gas costs and the Arizona decoupling mechanism noted above, and other working capital changes.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decreased $82 million in the first six months of 2021 as compared to the same period of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was primarily due to a decrease in capital expenditures in 2021 as compared the same period in the prior year. See also </w:t>
      </w:r>
      <w:r>
        <w:rPr>
          <w:rFonts w:ascii="Arial" w:cs="Arial" w:eastAsia="Arial" w:hAnsi="Arial"/>
          <w:sz w:val="18"/>
          <w:szCs w:val="18"/>
          <w:i w:val="1"/>
          <w:iCs w:val="1"/>
          <w:color w:val="auto"/>
        </w:rPr>
        <w:t>Gas Segment Construction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Expenditures and Financing </w:t>
      </w:r>
      <w:r>
        <w:rPr>
          <w:rFonts w:ascii="Arial" w:cs="Arial" w:eastAsia="Arial" w:hAnsi="Arial"/>
          <w:sz w:val="18"/>
          <w:szCs w:val="18"/>
          <w:color w:val="auto"/>
        </w:rPr>
        <w:t>below.</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$148 million in the first six months of 2021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The increase was primarily due to Southwest’s $250 million Term Loan issued in the first quarter of 2021 to fund the increased cost of natural gas supply during the extreme cold weather event, and changes in borrowings and repayments between periods under Southwest’s credit facility. Increased capital contributions to Southwest from Southwest Gas Holdings, Inc. also occurred during the first six months of 2021. The prior year included proceeds from the issuance of $450 million in senior notes.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twelve-month period ended June 30, 2021, construction expenditures for the natural gas operations segment were $614 million. The majority of these expenditures represented costs associated with the replacement of existing transmission, distribution, and general plant (including costs to implement our customer service system).</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2023 will be approximately $2.1 billion. Of this amount, approximately $700 million is scheduled to be incurred in 2021.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During the three-year period, cash flows from operating activities of Southwest are expected to provide approximately 50% of the funding for gas operations and total construction expenditures and dividend requirements. Any additional cash requirements, including construction-related and paydown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Securities and Exchange Commission (the “SEC”) the same month. The Company issued $70.4 million under this multi-year program during the second quarter of 2021.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the Company filed an earlier automatic shelf registration statement with the SEC for the offer and sale of up to $300 million of common stock from time to time in at-the-market offerings under the related prospectus and sales agency agreement. The Company issued the remaining capacity ($46 million) of this equity program during the quarter ended March 31,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twelve months ended June 30, 2021, 2,953,854 shares were issued in at-the-market offerings at an average price of $66.36 per share with gross proceeds of $196 million, agent commissions of $2 million, and net proceeds of $194 million under the equity shelf programs noted above. See </w:t>
      </w:r>
      <w:r>
        <w:rPr>
          <w:rFonts w:ascii="Arial" w:cs="Arial" w:eastAsia="Arial" w:hAnsi="Arial"/>
          <w:sz w:val="18"/>
          <w:szCs w:val="18"/>
          <w:b w:val="1"/>
          <w:bCs w:val="1"/>
          <w:color w:val="auto"/>
        </w:rPr>
        <w:t>Note 4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for more information.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$20 million of federal income taxes for 2021, none of which relates to natural gas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expected external funding needs, and our ability to maintain strong credit ratings and liquidity. The Company has paid dividends on its common stock since 1956 and has increased that dividend each year since 2007. In February 2021, the Board elected to increase the quarterly dividend from $0.57 to $0.595 per share, representing a 4.4% increase, effective with the June 2021 payment.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factors (some of which are out of the control of the Company) that could significantly affect liquidity in the future include: variability of natural gas prices, changes in ratemaking policies of regulatory commissions, regulatory lag, customer growth in the natural gas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2021, the combined balance in the PGA accounts totaled an under-collection of $235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Southwest issued a $250 million Term Loan that will mature in March 2022, or 364 days after issuance. The proceeds were used to fund the increased cost of natural gas supply during the month of February 2021 caused by extreme weather conditions in the central U.S.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April 2025. This facility is intended for short-term financing needs. At June 30, 2021, $27 million was outstanding under this facility.</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six months of 2021 was $150 million, the same amount which was outstanding as of June 30, 2021. The maximum amount outstanding on the short-term portion of the credit facility during the first six months of 2021 was $125 million. As of June 30, 2021, $41 million was outstanding on the short-term portion of this credit facility.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2021 will be designated as long-term debt. Interest rates for the commercial paper program are calculated at the current commercial paper rate during the borrowing term. At June 30, 2021, there was $50 million outstanding under this program.</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Centuri has a senior secured revolving credit and term loan facility with borrowing capacity of $590 million (refer to </w:t>
      </w:r>
      <w:r>
        <w:rPr>
          <w:rFonts w:ascii="Arial" w:cs="Arial" w:eastAsia="Arial" w:hAnsi="Arial"/>
          <w:sz w:val="16"/>
          <w:szCs w:val="16"/>
          <w:b w:val="1"/>
          <w:bCs w:val="1"/>
          <w:color w:val="auto"/>
        </w:rPr>
        <w:t>Note 5 – Debt</w:t>
      </w:r>
      <w:r>
        <w:rPr>
          <w:rFonts w:ascii="Arial" w:cs="Arial" w:eastAsia="Arial" w:hAnsi="Arial"/>
          <w:sz w:val="16"/>
          <w:szCs w:val="16"/>
          <w:color w:val="auto"/>
        </w:rPr>
        <w:t>). The line of credit portion comprises $325 million; associated amounts borrowed and repaid are available to be re-borrowed. The term loan facility portion has a limit of approximately $265 million. The $590 million credit and term loan facility expires in November 2023. It is secured by substantially all of Centuri’s assets, except those explicitly excluded under the terms of the agreement (including owned real estate and certain certificated vehicles). Centuri assets securing the facility at June 30, 2021 totaled $1.4 billion. The maximum amount outstanding on the combined facility during the first six months of 2021 was $291 million. As of June 30, 2021, $69 million was outstanding on the revolving credit facility, in addition to $219 million that remained outstanding on the term loan portion of the facility. Also at June 30, 2021, there was approximately $214 million, net of letters of credit, available for borrowing under the line of credit. Centuri intends to enter into a new term loan in order to complete the Riggs acquisition, which is expected to close in the third quarter of 2021.</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rates for the credit facilities of the holding company, Southwest, and Centuri, and for Southwest’s Term Loan contain LIBOR-based rates. Upon the occurrence of certain events providing for a transition away from LIBOR, or when LIBOR is no longer a widely recognized benchmark rate, the holding company and Southwest each may amend their respective credit facility as set forth in their credit facility agreement, which is also the case of Southwest’s Term Loan, in order to accommodate a replacement benchmark as set forth in the agreements. Certain LIBOR-based rates are scheduled to be discontinued as a benchmark or reference rate after 2021, while other LIBOR-based rates are scheduled to be discontinued after June 2023. In order to mitigate the impact of a discontinuance on the Company’s and Southwest’s financial condition and results of operations, management will monitor developments and work with lenders, where relevant,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Sales Agency Agreement with BNY Mellon Capital Markets, LLC and J.P. Morgan Securities LLC for the offer and sale of up to $500 million of common stock from time to time in at-the-market offerings, which is an additional source of liquidity. The Company had approximately $429.6 million available under the program as of June 30,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our intent and ability to complete planned acquisitions and at amounts originally set out, impacts from the COVID-19 pandemic, including on our employees, customers, or otherwise, our financial position, revenue, earnings, cash flows, debt covenants, operations, regulatory recovery, work deployment or resumption and related uncertainties stemming from this pandemic or otherwise, expected impacts of valuation adjustments associated with any redeemable noncontrolling interest, the profitability of storm work, mix of work, or absorption of fixed costs by larger infrastructure services customers including Southwest, the impacts of U.S. tax reform including disposition in any regulatory proceeding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the outcome of judicial review of the previous Nevada rate case,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and the timing and results of future rate hearings, including any ongoing or future general rate cases and other proceedings, the final resolution for recovery of the CDMI-related amounts and balances in any jurisdiction and VSP and COYL amounts in Arizona, and statements regarding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pending approvals are forward-looking statements. All forward-looking statements are intended to be subject to the safe harbor protection provided by the Reform Act.</w:t>
      </w:r>
    </w:p>
    <w:p>
      <w:pPr>
        <w:spacing w:after="0" w:line="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sustained restriction on commerce by government officials or otherwise, including impacts on employment in our territories, the health impacts to our customers and employees due to the persistence of the virus or virus variants or efficacy of vaccines, the ability to collect on customer accounts due to the current or an extended moratorium on late fees or service disconnection in any or all jurisdictions, the ability to obtain regulatory recovery of all costs and financial impacts resulting from this pandemic, the ability of the infrastructure services business to resume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or its variants following the ongoing resumption of commerce in our territories, and decisions of Centuri customers (including Southwest) as to whether to pursue capital projects due to economic impacts resulting from the pandemic or otherwise, the ability to recover and timing thereof related to costs associated with the PGA mechanisms or other regulatory assets,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and disputes, changes in pipeline capacity for the transportation of gas and related costs, results of Centuri bid work, the impact of weather on Centuri’s operations, future acquisition-related costs,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such as that currently planned in regard to Riggs, the ability of management to successfully finance, close, and assimilate acquired businesses, the impact on our stock price or our credit ratings due to undertaking or failing to undertake acquisition activity or other strategic endeavors,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Item 7A. Quantitative and Qualitative Disclosures About Market Risk </w:t>
      </w:r>
      <w:r>
        <w:rPr>
          <w:rFonts w:ascii="Arial" w:cs="Arial" w:eastAsia="Arial" w:hAnsi="Arial"/>
          <w:sz w:val="16"/>
          <w:szCs w:val="16"/>
          <w:color w:val="auto"/>
        </w:rPr>
        <w:t>in the Annual Report on Form 10-K for the year ended December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and in this quarterly report on Form 10-Q.</w:t>
      </w:r>
    </w:p>
    <w:p>
      <w:pPr>
        <w:spacing w:after="0" w:line="2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2020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most recent evaluation, as of June 30, 2021,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2021, Southwest implemented a new customer service system, which resulted in a material change to internal control over financial reporting. The implementation involved replacing the legacy functionality for customer invoicing, customer service administration, and ancillary activities. The customer service system was deployed for transactions starting in May 2021, and was utilized in preparing the second quarter 2021 financial information. Management monitored developments related to the system replacement, including working with the project team to ensure control impacts were identified and documented, in order to assist management in evaluating impacts to internal control. Post-implementation testing and reviews of the system and impacted business processes were conducted by management to ensure that internal controls surrounding the implementation process, application controls, and closing process were properly designed to prevent material financial statement errors. Such procedures included the review of required documents, system integration and user acceptance testing, change management procedures, assessment of access controls, data migration processes and month-end validations.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the Company’s or Southwest’s internal control over financial reporting (as defined in Rules 13a-15(f) and 15d-15(f) of the Exchange Act) during the second quarter of 2021 that have materially affected, or are likely to materially affect the Company’s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color w:val="auto"/>
        </w:rPr>
        <w:t>Described below are risk factors that we have identified that may have a negative impact on our future financial performance or affect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we achieve the goals or expectations expressed or implied in any forward-looking statements contained herein. These risk factors supplement, and do not replace, the Risk Factors and other disclosures made in our Annual Report on Form 10-K filed February 25,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Economic, and Market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unexpected delays in the completion of the acquisition, or it may not be completed at all.</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mentioned above in Note 1 to Part I Item 1, in June 2021 Centuri entered into an agreement to purchase Riggs, Distler &amp; Company, Inc. (“Riggs”), an electric utility services company. The acquisition is currently expected to close during the third quarter of 2021, conditioned on the satisfaction or waiver (where legally permissible) of all conditions in the Merger Agreement (“Agreement”). The Agreement provides that either Centuri or Riggs may terminate the Agreement if the acquisition has not occurred before October 31, 2021. Certain events may delay the completion of the acquisition or result in a termination of the Agreement. Some of these events are outside the control of either party. In particular, we are obligated to obtain various other third-party consents and approvals, and we can provide no assurances that such clearances, consents, or approvals will be obtained on terms acceptable to us, or at all. We may incur significant additional costs in connection with any delay in completing the acquisition or termination of the Agreement, in addition to significant transaction costs, including legal, financial advisory, accounting, and other costs we have already incurred. We can neither assure you that the conditions to the completion of the acquisition will be satisfied or waived or that any adverse change, effect, event, circumstance, occurrence, or statement of facts that could give rise to the termination of the Agreement will not occur, and we cannot provide any assurances as to whether or when the acquisition will be completed on the terms set forth in the Agreement or at all.</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complete the acquisition in a timely manner or at all could negatively affect our stock price. Completion of the acquisition could negatively impact our credit ratings.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 provide no assurance that the acquisition will occur or that the conditions to it will be satisfied or waived in a timely manner, or at all. Also, we can provide no assurance that an event, change, or other circumstance that could give rise to the</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termination of the Agreement will not occur. Delays in completing the acquisition or the failure to complete it at all could negatively impact the market price of our common stock and it could decline significantly, particularly to the extent that the current market price reflects a market assumption that the acquisition will be completed. If the acquisition is delayed for any reason, we will be subject to several risks, including the diversion of management focus and resources from operational matters and other strategic opportunities while working to complete the acquisition. In addition, certain credit ratings agencies have indicated that the acquisition could have a negative impact on our current credit ratings. We can provide no assurances as to the final determination as to any downgrade in our (or Southwest’s) ratings and what impact such a downgrade would have on our businesses.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2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Exhibit 2.01*</w:t>
            </w:r>
          </w:p>
        </w:tc>
        <w:tc>
          <w:tcPr>
            <w:tcW w:w="9740" w:type="dxa"/>
            <w:vAlign w:val="bottom"/>
            <w:gridSpan w:val="7"/>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8">
              <w:r>
                <w:rPr>
                  <w:rFonts w:ascii="Arial" w:cs="Arial" w:eastAsia="Arial" w:hAnsi="Arial"/>
                  <w:sz w:val="18"/>
                  <w:szCs w:val="18"/>
                  <w:color w:val="0000FF"/>
                  <w:w w:val="94"/>
                </w:rPr>
                <w:t>Merger Agreement, dated as of June 28, 2021, by and among Centuri Group, Inc., Electric T&amp;D Holdings LLC, ETDH Merger</w:t>
              </w:r>
            </w:hyperlink>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80" w:type="dxa"/>
            <w:vAlign w:val="bottom"/>
            <w:tcBorders>
              <w:top w:val="single" w:sz="8" w:color="0000FF"/>
            </w:tcBorders>
            <w:gridSpan w:val="5"/>
          </w:tcPr>
          <w:p>
            <w:pPr>
              <w:spacing w:after="0" w:line="15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Sub, Inc., Drum Parent, Inc. and OCM Drum Investors, L.P. Incorporated herein by reference to Exhibit 2.1 to Form 8-K dated</w:t>
              </w:r>
            </w:hyperlink>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June 28, 2021, File No. 001-37976.</w:t>
              </w:r>
            </w:hyperlink>
          </w:p>
        </w:tc>
        <w:tc>
          <w:tcPr>
            <w:tcW w:w="4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974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FF"/>
                </w:rPr>
                <w:t>Section 302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974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color w:val="0000FF"/>
                </w:rPr>
                <w:t>Section 302 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974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color w:val="0000FF"/>
                </w:rPr>
                <w:t>Section 906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974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6">
              <w:r>
                <w:rPr>
                  <w:rFonts w:ascii="Arial" w:cs="Arial" w:eastAsia="Arial" w:hAnsi="Arial"/>
                  <w:sz w:val="18"/>
                  <w:szCs w:val="18"/>
                  <w:color w:val="0000FF"/>
                </w:rPr>
                <w:t>Section 906 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w w:val="96"/>
              </w:rPr>
              <w:t>-  XBRL Instance Document -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0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XBRL Schema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104</w:t>
            </w:r>
          </w:p>
        </w:tc>
        <w:tc>
          <w:tcPr>
            <w:tcW w:w="9740" w:type="dxa"/>
            <w:vAlign w:val="bottom"/>
            <w:gridSpan w:val="7"/>
          </w:tcPr>
          <w:p>
            <w:pPr>
              <w:ind w:left="20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53" w:lineRule="exact"/>
        <w:rPr>
          <w:sz w:val="20"/>
          <w:szCs w:val="20"/>
          <w:color w:val="auto"/>
        </w:rPr>
      </w:pPr>
    </w:p>
    <w:p>
      <w:pPr>
        <w:ind w:left="20" w:right="400"/>
        <w:spacing w:after="0" w:line="235" w:lineRule="auto"/>
        <w:rPr>
          <w:sz w:val="20"/>
          <w:szCs w:val="20"/>
          <w:color w:val="auto"/>
        </w:rPr>
      </w:pPr>
      <w:r>
        <w:rPr>
          <w:rFonts w:ascii="Arial" w:cs="Arial" w:eastAsia="Arial" w:hAnsi="Arial"/>
          <w:sz w:val="18"/>
          <w:szCs w:val="18"/>
          <w:color w:val="auto"/>
        </w:rPr>
        <w:t>*The Company has omitted schedules and other similar attachments to such agreement pursuant to Item 601(b) of Regulation S-K. The Company will furnish a copy of such omitted document to the SEC upon request.</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5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August 5,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August 5,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4" w:lineRule="exact"/>
        <w:rPr>
          <w:rFonts w:ascii="Arial" w:cs="Arial" w:eastAsia="Arial" w:hAnsi="Arial"/>
          <w:sz w:val="17"/>
          <w:szCs w:val="17"/>
          <w:color w:val="auto"/>
        </w:rPr>
      </w:pPr>
    </w:p>
    <w:p>
      <w:pPr>
        <w:ind w:left="940" w:hanging="325"/>
        <w:spacing w:after="0" w:line="258" w:lineRule="auto"/>
        <w:tabs>
          <w:tab w:leader="none" w:pos="9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40" w:hanging="325"/>
        <w:spacing w:after="0" w:line="260" w:lineRule="auto"/>
        <w:tabs>
          <w:tab w:leader="none" w:pos="9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2021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June 30, 2021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2021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June 30, 2021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58" Type="http://schemas.openxmlformats.org/officeDocument/2006/relationships/hyperlink" Target="https://www.sec.gov/Archives/edgar/data/0001692115/000119312521203319/d1883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2021-08-05T17:24:49Z</dcterms:created>
  <dcterms:modified xsi:type="dcterms:W3CDTF">2021-08-05T17:24:49Z</dcterms:modified>
</cp:coreProperties>
</file>