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 xml:space="preserve">Form 10-Q </w:t>
      </w:r>
    </w:p>
    <w:tbl>
      <w:tblPr>
        <w:tblW w:w="9761" w:type="dxa"/>
        <w:jc w:val="center"/>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center"/>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tbl>
      <w:tblPr>
        <w:tblW w:w="10205" w:type="dxa"/>
        <w:jc w:val="left"/>
        <w:tblInd w:w="0" w:type="dxa"/>
        <w:tblCellMar>
          <w:top w:w="28" w:type="dxa"/>
          <w:left w:w="28" w:type="dxa"/>
          <w:bottom w:w="28" w:type="dxa"/>
          <w:right w:w="28" w:type="dxa"/>
        </w:tblCellMar>
      </w:tblPr>
      <w:tblGrid>
        <w:gridCol w:w="527"/>
        <w:gridCol w:w="464"/>
        <w:gridCol w:w="465"/>
        <w:gridCol w:w="109"/>
        <w:gridCol w:w="109"/>
        <w:gridCol w:w="109"/>
        <w:gridCol w:w="732"/>
        <w:gridCol w:w="714"/>
        <w:gridCol w:w="697"/>
        <w:gridCol w:w="429"/>
        <w:gridCol w:w="403"/>
        <w:gridCol w:w="403"/>
        <w:gridCol w:w="427"/>
        <w:gridCol w:w="403"/>
        <w:gridCol w:w="403"/>
        <w:gridCol w:w="109"/>
        <w:gridCol w:w="109"/>
        <w:gridCol w:w="109"/>
        <w:gridCol w:w="360"/>
        <w:gridCol w:w="360"/>
        <w:gridCol w:w="361"/>
        <w:gridCol w:w="109"/>
        <w:gridCol w:w="109"/>
        <w:gridCol w:w="109"/>
        <w:gridCol w:w="606"/>
        <w:gridCol w:w="606"/>
        <w:gridCol w:w="864"/>
      </w:tblGrid>
      <w:tr>
        <w:trPr/>
        <w:tc>
          <w:tcPr>
            <w:tcW w:w="527"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r>
      <w:tr>
        <w:trPr/>
        <w:tc>
          <w:tcPr>
            <w:tcW w:w="14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    </w:t>
            </w:r>
            <w:r>
              <w:rPr>
                <w:rFonts w:ascii="Times New Roman;sans-serif" w:hAnsi="Times New Roman;sans-serif"/>
                <w:b w:val="false"/>
                <w:i/>
                <w:color w:val="000000"/>
                <w:sz w:val="16"/>
              </w:rPr>
              <w:t>Commission    </w:t>
            </w:r>
          </w:p>
          <w:p>
            <w:pPr>
              <w:pStyle w:val="TableContents"/>
              <w:spacing w:lineRule="auto" w:line="240" w:before="0" w:after="0"/>
              <w:jc w:val="center"/>
              <w:rPr/>
            </w:pPr>
            <w:r>
              <w:rPr>
                <w:color w:val="000000"/>
              </w:rPr>
              <w:t>    </w:t>
            </w:r>
            <w:r>
              <w:rPr>
                <w:rFonts w:ascii="Times New Roman;sans-serif" w:hAnsi="Times New Roman;sans-serif"/>
                <w:b w:val="false"/>
                <w:i/>
                <w:color w:val="000000"/>
                <w:sz w:val="16"/>
              </w:rPr>
              <w:t>File Number</w:t>
            </w: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11"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 and</w:t>
              <w:br/>
              <w:t>principal office address and telephone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of</w:t>
              <w:br/>
              <w:t>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w:t>
              <w:br/>
              <w:t>Employer Identification No.</w:t>
            </w:r>
          </w:p>
        </w:tc>
      </w:tr>
      <w:tr>
        <w:trPr/>
        <w:tc>
          <w:tcPr>
            <w:tcW w:w="14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001-37976</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Southwest Gas Holdings, Inc.</w:t>
            </w:r>
          </w:p>
        </w:tc>
        <w:tc>
          <w:tcPr>
            <w:tcW w:w="12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81-3881866</w:t>
            </w:r>
          </w:p>
        </w:tc>
      </w:tr>
      <w:tr>
        <w:trPr/>
        <w:tc>
          <w:tcPr>
            <w:tcW w:w="1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8360 S. Durango Drive</w:t>
            </w:r>
          </w:p>
        </w:tc>
        <w:tc>
          <w:tcPr>
            <w:tcW w:w="1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Post Office Box 98510</w:t>
            </w:r>
          </w:p>
        </w:tc>
        <w:tc>
          <w:tcPr>
            <w:tcW w:w="1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1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Nevada</w:t>
            </w:r>
          </w:p>
        </w:tc>
        <w:tc>
          <w:tcPr>
            <w:tcW w:w="12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89193-8510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(702) </w:t>
            </w:r>
          </w:p>
        </w:tc>
        <w:tc>
          <w:tcPr>
            <w:tcW w:w="1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876-7237</w:t>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1-7850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Southwest Gas Corporation</w:t>
            </w:r>
          </w:p>
        </w:tc>
        <w:tc>
          <w:tcPr>
            <w:tcW w:w="12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California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88-0085720</w:t>
            </w:r>
          </w:p>
        </w:tc>
      </w:tr>
      <w:tr>
        <w:trPr/>
        <w:tc>
          <w:tcPr>
            <w:tcW w:w="1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8360 S. Durango Drive</w:t>
            </w:r>
          </w:p>
        </w:tc>
        <w:tc>
          <w:tcPr>
            <w:tcW w:w="1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Post Office Box 98510</w:t>
            </w:r>
          </w:p>
        </w:tc>
        <w:tc>
          <w:tcPr>
            <w:tcW w:w="1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1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Nevada</w:t>
            </w:r>
          </w:p>
        </w:tc>
        <w:tc>
          <w:tcPr>
            <w:tcW w:w="12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89193-8510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(702) </w:t>
            </w:r>
          </w:p>
        </w:tc>
        <w:tc>
          <w:tcPr>
            <w:tcW w:w="1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876-7237</w:t>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493"/>
        <w:gridCol w:w="1290"/>
        <w:gridCol w:w="1277"/>
        <w:gridCol w:w="273"/>
        <w:gridCol w:w="273"/>
        <w:gridCol w:w="273"/>
        <w:gridCol w:w="437"/>
        <w:gridCol w:w="437"/>
        <w:gridCol w:w="422"/>
        <w:gridCol w:w="273"/>
        <w:gridCol w:w="273"/>
        <w:gridCol w:w="273"/>
        <w:gridCol w:w="941"/>
        <w:gridCol w:w="941"/>
        <w:gridCol w:w="1329"/>
      </w:tblGrid>
      <w:tr>
        <w:trPr/>
        <w:tc>
          <w:tcPr>
            <w:tcW w:w="1493"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40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40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Southwest Gas Holdings, Inc. Common Stock, $1 Par Value</w:t>
            </w:r>
          </w:p>
        </w:tc>
        <w:tc>
          <w:tcPr>
            <w:tcW w:w="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SWX</w:t>
            </w:r>
          </w:p>
        </w:tc>
        <w:tc>
          <w:tcPr>
            <w:tcW w:w="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spacing w:lineRule="auto" w:line="288" w:before="20" w:after="283"/>
        <w:rPr/>
      </w:pPr>
      <w:r>
        <w:rPr>
          <w:rFonts w:ascii="Times New Roman;sans-serif" w:hAnsi="Times New Roman;sans-serif"/>
          <w:b w:val="false"/>
          <w:color w:val="000000"/>
          <w:sz w:val="18"/>
        </w:rPr>
        <w:t>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120" w:after="283"/>
        <w:rPr/>
      </w:pPr>
      <w:r>
        <w:rPr>
          <w:rFonts w:ascii="Times New Roman;sans-serif" w:hAnsi="Times New Roman;sans-serif"/>
          <w:b w:val="false"/>
          <w:color w:val="000000"/>
          <w:sz w:val="18"/>
        </w:rPr>
        <w:t>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Southwest Gas Holdings, Inc.:</w:t>
      </w:r>
    </w:p>
    <w:tbl>
      <w:tblPr>
        <w:tblW w:w="5922" w:type="dxa"/>
        <w:jc w:val="left"/>
        <w:tblInd w:w="0" w:type="dxa"/>
        <w:tblCellMar>
          <w:top w:w="28" w:type="dxa"/>
          <w:left w:w="28" w:type="dxa"/>
          <w:bottom w:w="28" w:type="dxa"/>
          <w:right w:w="28" w:type="dxa"/>
        </w:tblCellMar>
      </w:tblPr>
      <w:tblGrid>
        <w:gridCol w:w="983"/>
        <w:gridCol w:w="611"/>
        <w:gridCol w:w="532"/>
        <w:gridCol w:w="109"/>
        <w:gridCol w:w="109"/>
        <w:gridCol w:w="109"/>
        <w:gridCol w:w="109"/>
        <w:gridCol w:w="109"/>
        <w:gridCol w:w="109"/>
        <w:gridCol w:w="109"/>
        <w:gridCol w:w="109"/>
        <w:gridCol w:w="109"/>
        <w:gridCol w:w="704"/>
        <w:gridCol w:w="704"/>
        <w:gridCol w:w="708"/>
        <w:gridCol w:w="109"/>
        <w:gridCol w:w="109"/>
        <w:gridCol w:w="109"/>
        <w:gridCol w:w="109"/>
        <w:gridCol w:w="109"/>
        <w:gridCol w:w="154"/>
      </w:tblGrid>
      <w:tr>
        <w:trPr/>
        <w:tc>
          <w:tcPr>
            <w:tcW w:w="983"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Southwest Gas Corporation:</w:t>
      </w:r>
    </w:p>
    <w:tbl>
      <w:tblPr>
        <w:tblW w:w="5852" w:type="dxa"/>
        <w:jc w:val="left"/>
        <w:tblInd w:w="0" w:type="dxa"/>
        <w:tblCellMar>
          <w:top w:w="28" w:type="dxa"/>
          <w:left w:w="28" w:type="dxa"/>
          <w:bottom w:w="28" w:type="dxa"/>
          <w:right w:w="28" w:type="dxa"/>
        </w:tblCellMar>
      </w:tblPr>
      <w:tblGrid>
        <w:gridCol w:w="745"/>
        <w:gridCol w:w="654"/>
        <w:gridCol w:w="657"/>
        <w:gridCol w:w="109"/>
        <w:gridCol w:w="109"/>
        <w:gridCol w:w="109"/>
        <w:gridCol w:w="109"/>
        <w:gridCol w:w="109"/>
        <w:gridCol w:w="109"/>
        <w:gridCol w:w="109"/>
        <w:gridCol w:w="109"/>
        <w:gridCol w:w="109"/>
        <w:gridCol w:w="704"/>
        <w:gridCol w:w="704"/>
        <w:gridCol w:w="708"/>
        <w:gridCol w:w="109"/>
        <w:gridCol w:w="109"/>
        <w:gridCol w:w="109"/>
        <w:gridCol w:w="109"/>
        <w:gridCol w:w="109"/>
        <w:gridCol w:w="154"/>
      </w:tblGrid>
      <w:tr>
        <w:trPr/>
        <w:tc>
          <w:tcPr>
            <w:tcW w:w="745"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20" w:after="283"/>
        <w:rPr/>
      </w:pPr>
      <w:r>
        <w:rPr>
          <w:rFonts w:ascii="Times New Roman;sans-serif" w:hAnsi="Times New Roman;sans-serif"/>
          <w:b w:val="false"/>
          <w:color w:val="000000"/>
          <w:sz w:val="18"/>
        </w:rPr>
        <w:t>Indicate by check mark whether each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Indicate the number of shares outstanding of each of the issuer’s classes of common stock as of the latest practicable date.</w:t>
      </w:r>
    </w:p>
    <w:p>
      <w:pPr>
        <w:pStyle w:val="TextBody"/>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Southwest Gas Holdings, Inc. Common Stock, $1 Par Value, 71,336,035 shares as of April 28, 2023.</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All of the outstanding shares of common stock ($1 par value) of Southwest Gas Corporation were held by Southwest Gas Holdings, Inc. as of April 28, 2023.</w:t>
      </w:r>
    </w:p>
    <w:p>
      <w:pPr>
        <w:pStyle w:val="TextBody"/>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SOUTHWEST GAS CORPORATION MEETS THE CONDITIONS SET FORTH IN GENERAL INSTRUCTION (H)(1)(a) and (b) OF FORM 10-Q AND IS THEREFORE FILING THIS REPORT WITH THE REDUCED DISCLOSURE FORMAT AS PERMITTED BY GENERAL INSTRUCTION H(2).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FILING FORMAT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28650"/>
                <wp:effectExtent l="0" t="0" r="0" b="0"/>
                <wp:wrapNone/>
                <wp:docPr id="2" name="Frame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SOUTHWEST GAS HOLDINGS,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(Thousands of dollars, except par value)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CellMar>
          <w:top w:w="28" w:type="dxa"/>
          <w:left w:w="28" w:type="dxa"/>
          <w:bottom w:w="28" w:type="dxa"/>
          <w:right w:w="28" w:type="dxa"/>
        </w:tblCellMar>
      </w:tblPr>
      <w:tblGrid>
        <w:gridCol w:w="2542"/>
        <w:gridCol w:w="2096"/>
        <w:gridCol w:w="2115"/>
        <w:gridCol w:w="109"/>
        <w:gridCol w:w="109"/>
        <w:gridCol w:w="109"/>
        <w:gridCol w:w="196"/>
        <w:gridCol w:w="961"/>
        <w:gridCol w:w="109"/>
        <w:gridCol w:w="109"/>
        <w:gridCol w:w="109"/>
        <w:gridCol w:w="109"/>
        <w:gridCol w:w="228"/>
        <w:gridCol w:w="1122"/>
        <w:gridCol w:w="182"/>
      </w:tblGrid>
      <w:tr>
        <w:trPr/>
        <w:tc>
          <w:tcPr>
            <w:tcW w:w="2542" w:type="dxa"/>
            <w:tcBorders/>
            <w:shd w:fill="auto" w:val="clear"/>
            <w:vAlign w:val="center"/>
          </w:tcPr>
          <w:p>
            <w:pPr>
              <w:pStyle w:val="TableContents"/>
              <w:spacing w:before="0" w:after="283"/>
              <w:rPr>
                <w:sz w:val="4"/>
                <w:szCs w:val="4"/>
              </w:rPr>
            </w:pPr>
            <w:r>
              <w:rPr>
                <w:sz w:val="4"/>
                <w:szCs w:val="4"/>
              </w:rPr>
            </w:r>
          </w:p>
        </w:tc>
        <w:tc>
          <w:tcPr>
            <w:tcW w:w="2096" w:type="dxa"/>
            <w:tcBorders/>
            <w:shd w:fill="auto" w:val="clear"/>
            <w:vAlign w:val="center"/>
          </w:tcPr>
          <w:p>
            <w:pPr>
              <w:pStyle w:val="TableContents"/>
              <w:spacing w:before="0" w:after="283"/>
              <w:rPr>
                <w:sz w:val="4"/>
                <w:szCs w:val="4"/>
              </w:rPr>
            </w:pPr>
            <w:r>
              <w:rPr>
                <w:sz w:val="4"/>
                <w:szCs w:val="4"/>
              </w:rPr>
            </w:r>
          </w:p>
        </w:tc>
        <w:tc>
          <w:tcPr>
            <w:tcW w:w="2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6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2022</w:t>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Regulated operations plant: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Gas plant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9,583,630 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9,453,907 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(2,712,093)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(2,674,157)</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Construction work in progress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250,892 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244,750 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regulated operations plant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7,122,429 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7,024,500 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property and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1,281,172 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123,078 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866,246 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utility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88,100 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8,738 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purchased gas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450,120 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433,850 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 held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1,737,530 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3,707,662 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787,334 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787,250 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charges and 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391,944 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395,948 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1,183,280 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11,810,173 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13,196,614 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CAPITALIZATION AND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$1 par (authorized - 120,000,000 shares; issued and outstanding - 71,330,991 and 67,119,143 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68,749 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2,524,631 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2,287,183 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(44,242)</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742,513 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747,069 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3,296,156 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3,058,759 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159,349 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less current maturities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4,577,600 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4,403,299 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capitalization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7,621,407 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44,557 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1,542,806 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310,748 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662,090 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deposits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51,182 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general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67,094 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38,556 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369,743 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 held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644,245 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3,422,963 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 and other credits: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 and investment tax credits,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733,199 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682,067 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removal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445,000 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deferred credits and other long-term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1,025,177 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deferred income taxes and other credits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2,198,905 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2,152,244 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capitalization and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11,810,173 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13,196,614 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28650"/>
                <wp:effectExtent l="0" t="0" r="0" b="0"/>
                <wp:wrapNone/>
                <wp:docPr id="3" name="Frame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SOUTHWEST GAS HOLDINGS,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INCOME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CellMar>
          <w:top w:w="28" w:type="dxa"/>
          <w:left w:w="28" w:type="dxa"/>
          <w:bottom w:w="28" w:type="dxa"/>
          <w:right w:w="28" w:type="dxa"/>
        </w:tblCellMar>
      </w:tblPr>
      <w:tblGrid>
        <w:gridCol w:w="1601"/>
        <w:gridCol w:w="1405"/>
        <w:gridCol w:w="1410"/>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6"/>
      </w:tblGrid>
      <w:tr>
        <w:trPr/>
        <w:tc>
          <w:tcPr>
            <w:tcW w:w="1601"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14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Twelve Months Ended</w:t>
              <w:br/>
              <w:t>March 31,</w:t>
            </w:r>
          </w:p>
        </w:tc>
      </w:tr>
      <w:tr>
        <w:trPr/>
        <w:tc>
          <w:tcPr>
            <w:tcW w:w="44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4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Regulated operations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743,532 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1,743,390 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Utility infrastructure services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653,293 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523,877 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2,889,743 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2,318,563 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1,603,304 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5,295,904 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4,061,953 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cost of gas sold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507,537 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298,918 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1,007,679 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573,804 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Operations and maintenance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149,303 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515,759 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400,245 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84,472 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Utility infrastructure services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603,680 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2,629,766 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2,123,085 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 impairment and loss on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526,655 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5,353,597 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3,697,365 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364,588 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deductions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(271,721)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(143,597)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(deductions)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income and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(146,300)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(318,387)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218,288 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32,681 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185,607 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Southwest Gas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(253,557)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179,664 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Earnings (loss)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Basic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Diluted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Basic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59,919 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Diluted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60,044 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statements.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28650"/>
                <wp:effectExtent l="0" t="0" r="0" b="0"/>
                <wp:wrapNone/>
                <wp:docPr id="4" name="Frame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SOUTHWEST GAS HOLDINGS,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COMPREHENSIVE INCOME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CellMar>
          <w:top w:w="28" w:type="dxa"/>
          <w:left w:w="28" w:type="dxa"/>
          <w:bottom w:w="28" w:type="dxa"/>
          <w:right w:w="28" w:type="dxa"/>
        </w:tblCellMar>
      </w:tblPr>
      <w:tblGrid>
        <w:gridCol w:w="1749"/>
        <w:gridCol w:w="1531"/>
        <w:gridCol w:w="1519"/>
        <w:gridCol w:w="109"/>
        <w:gridCol w:w="109"/>
        <w:gridCol w:w="109"/>
        <w:gridCol w:w="196"/>
        <w:gridCol w:w="646"/>
        <w:gridCol w:w="109"/>
        <w:gridCol w:w="109"/>
        <w:gridCol w:w="109"/>
        <w:gridCol w:w="109"/>
        <w:gridCol w:w="196"/>
        <w:gridCol w:w="646"/>
        <w:gridCol w:w="109"/>
        <w:gridCol w:w="109"/>
        <w:gridCol w:w="109"/>
        <w:gridCol w:w="109"/>
        <w:gridCol w:w="196"/>
        <w:gridCol w:w="804"/>
        <w:gridCol w:w="109"/>
        <w:gridCol w:w="109"/>
        <w:gridCol w:w="109"/>
        <w:gridCol w:w="109"/>
        <w:gridCol w:w="196"/>
        <w:gridCol w:w="736"/>
        <w:gridCol w:w="155"/>
      </w:tblGrid>
      <w:tr>
        <w:trPr/>
        <w:tc>
          <w:tcPr>
            <w:tcW w:w="1749"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c>
          <w:tcPr>
            <w:tcW w:w="15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Twelve Months Ended</w:t>
              <w:br/>
              <w:t>March 31,</w:t>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185,607 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Defined benefit pension plans: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actuarial gain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44,974 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prior service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net actuarial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32,036 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Regulatory 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(65,273)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defined benefit pension plans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Forward-starting interest rate swaps (“FSIRS”):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Amounts reclassified into net income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forward-starting interest rate swaps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 attributable to Southwest Gas Holdings,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(253,534)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194,080 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28650"/>
                <wp:effectExtent l="0" t="0" r="0" b="0"/>
                <wp:wrapNone/>
                <wp:docPr id="5" name="Frame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SOUTHWEST GAS HOLDINGS,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CellMar>
          <w:top w:w="28" w:type="dxa"/>
          <w:left w:w="28" w:type="dxa"/>
          <w:bottom w:w="28" w:type="dxa"/>
          <w:right w:w="28" w:type="dxa"/>
        </w:tblCellMar>
      </w:tblPr>
      <w:tblGrid>
        <w:gridCol w:w="1772"/>
        <w:gridCol w:w="1429"/>
        <w:gridCol w:w="1438"/>
        <w:gridCol w:w="109"/>
        <w:gridCol w:w="109"/>
        <w:gridCol w:w="109"/>
        <w:gridCol w:w="212"/>
        <w:gridCol w:w="708"/>
        <w:gridCol w:w="109"/>
        <w:gridCol w:w="109"/>
        <w:gridCol w:w="109"/>
        <w:gridCol w:w="109"/>
        <w:gridCol w:w="196"/>
        <w:gridCol w:w="736"/>
        <w:gridCol w:w="109"/>
        <w:gridCol w:w="109"/>
        <w:gridCol w:w="109"/>
        <w:gridCol w:w="109"/>
        <w:gridCol w:w="196"/>
        <w:gridCol w:w="786"/>
        <w:gridCol w:w="109"/>
        <w:gridCol w:w="109"/>
        <w:gridCol w:w="109"/>
        <w:gridCol w:w="109"/>
        <w:gridCol w:w="197"/>
        <w:gridCol w:w="742"/>
        <w:gridCol w:w="158"/>
      </w:tblGrid>
      <w:tr>
        <w:trPr/>
        <w:tc>
          <w:tcPr>
            <w:tcW w:w="1772"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Twelve Months Ended</w:t>
              <w:br/>
              <w:t>March 31,</w:t>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FROM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185,607 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400,245 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assets and other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70,232 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Gains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undistributed stock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AFUDC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current assets and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(188,989)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(139,417)</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utility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purchased gas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(535,224)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(600,191)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(134,507)</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(305,272)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(7,397)</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 and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371,035 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(4,274)</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deferred charges and 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(3,459)</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other liabilities and deferred credits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(26,917)</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350,460 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FROM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Construction expenditures and property additions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(219,124)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(162,796)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(915,749)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(725,713)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businesses, net of cash 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(2,354,260)</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sale of business, net of cash sold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1,058,272 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1,058,272 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customer advances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19,381 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(3,045,006)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FROM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453,495 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247,670 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618,146 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Centuri distribution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(39,649)</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(166,224)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(141,573)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long-term debt,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305,896 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663,774 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2,359,964 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Retirement of 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(440,685)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(574,889)</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credit facility and 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(150,000)</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short-term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(1,527,746)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(1,458,939)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(686,000)</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short-term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1,850,000 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Withholding remittance - share-based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including principal payments on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(7,274)</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(714,823)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(727,817)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3,226,725 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Effects of currency translation on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(542,581)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532,321 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included in current assets held for sale at 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624,666 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92,345 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624,666 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INFORMATION: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 net of amounts capitalized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252,581 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131,311 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3,965 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28650"/>
                <wp:effectExtent l="0" t="0" r="0" b="0"/>
                <wp:wrapNone/>
                <wp:docPr id="6" name="Frame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SOUTHWEST GAS HOLDINGS,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EQUITY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CellMar>
          <w:top w:w="28" w:type="dxa"/>
          <w:left w:w="28" w:type="dxa"/>
          <w:bottom w:w="28" w:type="dxa"/>
          <w:right w:w="28" w:type="dxa"/>
        </w:tblCellMar>
      </w:tblPr>
      <w:tblGrid>
        <w:gridCol w:w="197"/>
        <w:gridCol w:w="173"/>
        <w:gridCol w:w="173"/>
        <w:gridCol w:w="237"/>
        <w:gridCol w:w="237"/>
        <w:gridCol w:w="231"/>
        <w:gridCol w:w="2094"/>
        <w:gridCol w:w="2066"/>
        <w:gridCol w:w="2071"/>
        <w:gridCol w:w="196"/>
        <w:gridCol w:w="871"/>
        <w:gridCol w:w="109"/>
        <w:gridCol w:w="109"/>
        <w:gridCol w:w="109"/>
        <w:gridCol w:w="109"/>
        <w:gridCol w:w="196"/>
        <w:gridCol w:w="871"/>
        <w:gridCol w:w="156"/>
      </w:tblGrid>
      <w:tr>
        <w:trPr/>
        <w:tc>
          <w:tcPr>
            <w:tcW w:w="19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rPr>
                <w:sz w:val="4"/>
                <w:szCs w:val="4"/>
              </w:rPr>
            </w:pPr>
            <w:r>
              <w:rPr>
                <w:sz w:val="4"/>
                <w:szCs w:val="4"/>
              </w:rPr>
            </w:r>
          </w:p>
        </w:tc>
        <w:tc>
          <w:tcPr>
            <w:tcW w:w="2066" w:type="dxa"/>
            <w:tcBorders/>
            <w:shd w:fill="auto" w:val="clear"/>
            <w:vAlign w:val="center"/>
          </w:tcPr>
          <w:p>
            <w:pPr>
              <w:pStyle w:val="TableContents"/>
              <w:spacing w:before="0" w:after="283"/>
              <w:rPr>
                <w:sz w:val="4"/>
                <w:szCs w:val="4"/>
              </w:rPr>
            </w:pPr>
            <w:r>
              <w:rPr>
                <w:sz w:val="4"/>
                <w:szCs w:val="4"/>
              </w:rPr>
            </w:r>
          </w:p>
        </w:tc>
        <w:tc>
          <w:tcPr>
            <w:tcW w:w="207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w:t>
              <w:br/>
              <w:t>March 31,</w:t>
            </w:r>
          </w:p>
        </w:tc>
      </w:tr>
      <w:tr>
        <w:trPr/>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r>
      <w:tr>
        <w:trPr/>
        <w:tc>
          <w:tcPr>
            <w:tcW w:w="747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shares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60,422 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issuances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amount</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62,052 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issuances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2,287,183 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1,824,216 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issuances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449,621 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2,273,837 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(46,761)</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translation adjustment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actuarial gain arising during period, less amortization of unamortized benefit plan cost, net of tax</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FSIRS amounts reclassified to net income, net of tax</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(43,972)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747,069 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1,114,313 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96,178 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(41,909)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value adjustments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1,190,738 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 ending balances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3,296,156 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3,489,082 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per common share</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28650"/>
                <wp:effectExtent l="0" t="0" r="0" b="0"/>
                <wp:wrapNone/>
                <wp:docPr id="7" name="Frame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SOUTHWEST GAS CORPORATION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7240" w:type="dxa"/>
        <w:jc w:val="center"/>
        <w:tblInd w:w="0" w:type="dxa"/>
        <w:tblCellMar>
          <w:top w:w="28" w:type="dxa"/>
          <w:left w:w="28" w:type="dxa"/>
          <w:bottom w:w="28" w:type="dxa"/>
          <w:right w:w="28" w:type="dxa"/>
        </w:tblCellMar>
      </w:tblPr>
      <w:tblGrid>
        <w:gridCol w:w="1382"/>
        <w:gridCol w:w="1215"/>
        <w:gridCol w:w="1227"/>
        <w:gridCol w:w="109"/>
        <w:gridCol w:w="109"/>
        <w:gridCol w:w="109"/>
        <w:gridCol w:w="205"/>
        <w:gridCol w:w="911"/>
        <w:gridCol w:w="115"/>
        <w:gridCol w:w="109"/>
        <w:gridCol w:w="109"/>
        <w:gridCol w:w="109"/>
        <w:gridCol w:w="245"/>
        <w:gridCol w:w="1092"/>
        <w:gridCol w:w="194"/>
      </w:tblGrid>
      <w:tr>
        <w:trPr/>
        <w:tc>
          <w:tcPr>
            <w:tcW w:w="1382"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2022</w:t>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Regulated operations plant: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Gas plant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9,583,630 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9,453,907 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(2,712,093)</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(2,674,157)</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Construction work in progress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250,892 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244,750 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regulated operations plant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7,122,429 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7,024,500 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property and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144,586 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169,397 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63,099 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51,823 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300,897 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234,081 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utility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88,100 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purchased gas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970,339 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450,120 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 from parent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183,455 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401,789 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 held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26,993 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1,601,798 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1,228,146 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11,155 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charges and 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369,495 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370,483 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380,650 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381,638 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9,249,463 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8,803,681 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CAPITALIZATION AND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49,112 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49,112 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1,624,919 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1,622,969 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(38,065)</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(38,261)</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1,030,164 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935,355 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2,666,130 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2,569,175 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less current maturities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3,497,977 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3,251,296 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capitalization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6,164,107 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5,820,471 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225,000 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176,682 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497,046 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deposits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50,350 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51,182 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general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101,579 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67,094 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38,489 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29,569 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 to parent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281,597 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150,817 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1,099,690 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1,020,708 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 and other credits: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 and investment tax credits,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723,205 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683,948 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removal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445,000 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deferred credits and 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812,461 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833,554 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deferred income taxes and other credits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1,985,666 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1,962,502 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capitalization and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9,249,463 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8,803,681 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28650"/>
                <wp:effectExtent l="0" t="0" r="0" b="0"/>
                <wp:wrapNone/>
                <wp:docPr id="8" name="Frame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SOUTHWEST GAS CORPORATION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INCOME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8307" w:type="dxa"/>
        <w:jc w:val="left"/>
        <w:tblInd w:w="0" w:type="dxa"/>
        <w:tblCellMar>
          <w:top w:w="28" w:type="dxa"/>
          <w:left w:w="28" w:type="dxa"/>
          <w:bottom w:w="28" w:type="dxa"/>
          <w:right w:w="28" w:type="dxa"/>
        </w:tblCellMar>
      </w:tblPr>
      <w:tblGrid>
        <w:gridCol w:w="911"/>
        <w:gridCol w:w="803"/>
        <w:gridCol w:w="806"/>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911"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Twelve Months Ended</w:t>
              <w:br/>
              <w:t>March 31,</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Regulated operations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2,173,409 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1,676,397 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cost of gas sold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572,007 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Operations and maintenance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119,636 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503,480 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452,051 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265,579 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1,362,180 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314,217 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deductions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(102,004)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(deductions)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income and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208,419 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177,281 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28650"/>
                <wp:effectExtent l="0" t="0" r="0" b="0"/>
                <wp:wrapNone/>
                <wp:docPr id="9" name="Frame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SOUTHWEST GAS CORPORATION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COMPREHENSIVE INCOME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8876" w:type="dxa"/>
        <w:jc w:val="left"/>
        <w:tblInd w:w="0" w:type="dxa"/>
        <w:tblCellMar>
          <w:top w:w="28" w:type="dxa"/>
          <w:left w:w="28" w:type="dxa"/>
          <w:bottom w:w="28" w:type="dxa"/>
          <w:right w:w="28" w:type="dxa"/>
        </w:tblCellMar>
      </w:tblPr>
      <w:tblGrid>
        <w:gridCol w:w="1213"/>
        <w:gridCol w:w="1070"/>
        <w:gridCol w:w="1076"/>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213"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Twelve Months Ended</w:t>
              <w:br/>
              <w:t>March 31,</w:t>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Defined benefit pension plans: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actuarial gain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prior service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net actuarial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Regulatory 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(65,273)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defined benefit pension plans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Forward-starting interest rate swaps (“FSIRS”):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into 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forward-starting interest rate swaps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184,587 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28650"/>
                <wp:effectExtent l="0" t="0" r="0" b="0"/>
                <wp:wrapNone/>
                <wp:docPr id="10" name="Frame1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SOUTHWEST GAS CORPORATION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CellMar>
          <w:top w:w="28" w:type="dxa"/>
          <w:left w:w="28" w:type="dxa"/>
          <w:bottom w:w="28" w:type="dxa"/>
          <w:right w:w="28" w:type="dxa"/>
        </w:tblCellMar>
      </w:tblPr>
      <w:tblGrid>
        <w:gridCol w:w="1775"/>
        <w:gridCol w:w="1451"/>
        <w:gridCol w:w="1460"/>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775"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6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Twelve Months Ended</w:t>
              <w:br/>
              <w:t>March 31,</w:t>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FROM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177,281 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180,215 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256,814 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72,845 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property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undistributed stock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AFUDC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current assets and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(50,394)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utility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purchased gas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(520,219)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(602,385)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(129,068)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(286,164)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23,256 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 and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(20,731)</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Changes in deferred charges and other assets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(21,647)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other liabilities and deferred credits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(27,637)</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450"/>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(228,612)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FROM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Construction expenditures and property additions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(192,097)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(734,105)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(614,562)</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customer advances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19,381 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ind w:left="0" w:right="0" w:hanging="450"/>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(198,586)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(596,010)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FROM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parent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156,599 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(114,600)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long-term debt,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297,759 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891,180 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Retirement of 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credit facility and 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short-term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short-term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Withholding remittance - share-based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(2,104)</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450"/>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737,076 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437,185 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(412,777)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426,081 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475,876 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49,795 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475,876 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INFORMATION: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 net of amounts capitalized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99,045 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 (received),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(13,529)</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28650"/>
                <wp:effectExtent l="0" t="0" r="0" b="0"/>
                <wp:wrapNone/>
                <wp:docPr id="11" name="Frame1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SOUTHWEST GAS CORPORATION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EQUITY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CellMar>
          <w:top w:w="28" w:type="dxa"/>
          <w:left w:w="28" w:type="dxa"/>
          <w:bottom w:w="28" w:type="dxa"/>
          <w:right w:w="28" w:type="dxa"/>
        </w:tblCellMar>
      </w:tblPr>
      <w:tblGrid>
        <w:gridCol w:w="188"/>
        <w:gridCol w:w="165"/>
        <w:gridCol w:w="165"/>
        <w:gridCol w:w="334"/>
        <w:gridCol w:w="334"/>
        <w:gridCol w:w="323"/>
        <w:gridCol w:w="1886"/>
        <w:gridCol w:w="1886"/>
        <w:gridCol w:w="1868"/>
        <w:gridCol w:w="109"/>
        <w:gridCol w:w="109"/>
        <w:gridCol w:w="109"/>
        <w:gridCol w:w="196"/>
        <w:gridCol w:w="871"/>
        <w:gridCol w:w="109"/>
        <w:gridCol w:w="109"/>
        <w:gridCol w:w="109"/>
        <w:gridCol w:w="109"/>
        <w:gridCol w:w="196"/>
        <w:gridCol w:w="871"/>
        <w:gridCol w:w="159"/>
      </w:tblGrid>
      <w:tr>
        <w:trPr/>
        <w:tc>
          <w:tcPr>
            <w:tcW w:w="18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886" w:type="dxa"/>
            <w:tcBorders/>
            <w:shd w:fill="auto" w:val="clear"/>
            <w:vAlign w:val="center"/>
          </w:tcPr>
          <w:p>
            <w:pPr>
              <w:pStyle w:val="TableContents"/>
              <w:spacing w:before="0" w:after="283"/>
              <w:rPr>
                <w:sz w:val="4"/>
                <w:szCs w:val="4"/>
              </w:rPr>
            </w:pPr>
            <w:r>
              <w:rPr>
                <w:sz w:val="4"/>
                <w:szCs w:val="4"/>
              </w:rPr>
            </w:r>
          </w:p>
        </w:tc>
        <w:tc>
          <w:tcPr>
            <w:tcW w:w="1886"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w:t>
              <w:br/>
              <w:t>March 31,</w:t>
            </w:r>
          </w:p>
        </w:tc>
      </w:tr>
      <w:tr>
        <w:trPr/>
        <w:tc>
          <w:tcPr>
            <w:tcW w:w="5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r>
      <w:tr>
        <w:trPr/>
        <w:tc>
          <w:tcPr>
            <w:tcW w:w="714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and ending balances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47,482 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amount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and ending balances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49,112 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1,622,969 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1,618,911 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5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5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1,620,616 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(46,913)</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actuarial gain arising during period, less amortization of unamortized benefit plan cost,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FSIRS amounts reclassified to net income,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(45,371)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935,355 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906,827 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111,795 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Share-based compensation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to Southwest Gas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(31,000)</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987,177 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Southwest Gas Corporation equity ending balances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2,611,534 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pPr>
      <w:r>
        <w:rPr>
          <w:rFonts w:ascii="Times New Roman;sans-serif" w:hAnsi="Times New Roman;sans-serif"/>
          <w:b w:val="false"/>
          <w:color w:val="000000"/>
          <w:sz w:val="20"/>
        </w:rPr>
        <w:t>The accompanying notes are an integral part of these statements</w:t>
      </w:r>
      <w:r>
        <w:rPr>
          <w:rFonts w:ascii="Times New Roman;sans-serif" w:hAnsi="Times New Roman;sans-serif"/>
          <w:b w:val="false"/>
          <w:color w:val="EE2724"/>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28650"/>
                <wp:effectExtent l="0" t="0" r="0" b="0"/>
                <wp:wrapNone/>
                <wp:docPr id="12" name="Frame1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 – Background, Organization, and Summary of Significant Accounting Policies </w:t>
      </w:r>
    </w:p>
    <w:p>
      <w:pPr>
        <w:pStyle w:val="TextBody"/>
        <w:spacing w:lineRule="auto" w:line="288" w:before="120" w:after="283"/>
        <w:jc w:val="both"/>
        <w:rPr/>
      </w:pPr>
      <w:r>
        <w:rPr>
          <w:rFonts w:ascii="Times New Roman;sans-serif" w:hAnsi="Times New Roman;sans-serif"/>
          <w:b w:val="false"/>
          <w:i/>
          <w:color w:val="000000"/>
          <w:sz w:val="20"/>
        </w:rPr>
        <w:t>Nature of Operations.</w:t>
      </w:r>
      <w:r>
        <w:rPr>
          <w:color w:val="000000"/>
        </w:rPr>
        <w:t xml:space="preserve"> </w:t>
      </w:r>
      <w:r>
        <w:rPr>
          <w:rFonts w:ascii="Times New Roman;sans-serif" w:hAnsi="Times New Roman;sans-serif"/>
          <w:b w:val="false"/>
          <w:color w:val="000000"/>
          <w:sz w:val="20"/>
        </w:rPr>
        <w:t xml:space="preserve">Southwest Gas Holdings, Inc. (together with its subsidiaries, the “Company”) is a holding company, owning all of the shares of common stock of Southwest Gas Corporation (“Southwest” or the “natural gas distribution” segment), all of the shares of common stock of Centuri Group, Inc. (“Centuri,” or the “utility infrastructure services” segment), and until February 14, 2023, all of the shares of common stock of MountainWest Pipelines Holding Company (“MountainWest” or the “pipeline and storage” segment). </w:t>
      </w:r>
    </w:p>
    <w:p>
      <w:pPr>
        <w:pStyle w:val="TextBody"/>
        <w:spacing w:lineRule="auto" w:line="288" w:before="120" w:after="283"/>
        <w:jc w:val="both"/>
        <w:rPr/>
      </w:pPr>
      <w:r>
        <w:rPr>
          <w:rFonts w:ascii="Times New Roman;sans-serif" w:hAnsi="Times New Roman;sans-serif"/>
          <w:b w:val="false"/>
          <w:color w:val="000000"/>
          <w:sz w:val="20"/>
        </w:rPr>
        <w:t xml:space="preserve">In December 2022, the Company announced that its Board of Directors (the “Board”) unanimously determined to take strategic actions to simplify the Company’s portfolio of businesses. These actions included entering into a definitive agreement to sell 100% of MountainWest to Williams Partners Operating LLC (“Williams”) for $1.5 billion in total enterprise value, subject to certain adjustments (collectively, the “MountainWest sale”). Additionally, the Company determined it will pursue a spin-off of Centuri (the “Centuri spin-off”), to form a new independent publicly traded utility infrastructure services company. The MountainWest sale closed on February 14, 2023. The Centuri spin-off is expected to be completed in the fourth quarter of 2023 or the first quarter of 2024 and to be tax free to the Company and its stockholders for U.S. federal income tax purposes. See </w:t>
      </w:r>
      <w:r>
        <w:rPr>
          <w:rFonts w:ascii="Times New Roman;sans-serif" w:hAnsi="Times New Roman;sans-serif"/>
          <w:b/>
          <w:color w:val="000000"/>
          <w:sz w:val="20"/>
        </w:rPr>
        <w:t>Note 8 - Dispositions</w:t>
      </w:r>
      <w:r>
        <w:rPr>
          <w:color w:val="000000"/>
        </w:rPr>
        <w:t xml:space="preserve"> </w:t>
      </w:r>
      <w:r>
        <w:rPr>
          <w:rFonts w:ascii="Times New Roman;sans-serif" w:hAnsi="Times New Roman;sans-serif"/>
          <w:b w:val="false"/>
          <w:color w:val="000000"/>
          <w:sz w:val="20"/>
        </w:rPr>
        <w:t xml:space="preserve">for more information.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distribution segment are higher during winter periods due to the seasonality incorporated in its regulatory rate structures.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Centuri is a strategic utility infrastructure services company dedicated to partnering with North America’s gas and electric providers to build and maintain the energy network that powers millions of homes across the United States (“U.S.”) and Canada. Centuri derives revenue primarily from installation, replacement, repair, and maintenance of energy networks. Centuri operates in the U.S., primarily as NPL, Neuco, Linetec, and Riggs Distler, and in Canada, primarily as NPL Canada. Utility infrastructure services activity is seasonal in many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 </w:t>
      </w:r>
    </w:p>
    <w:p>
      <w:pPr>
        <w:pStyle w:val="TextBody"/>
        <w:spacing w:lineRule="auto" w:line="288" w:before="120" w:after="283"/>
        <w:jc w:val="both"/>
        <w:rPr/>
      </w:pPr>
      <w:r>
        <w:rPr>
          <w:rFonts w:ascii="Times New Roman;sans-serif" w:hAnsi="Times New Roman;sans-serif"/>
          <w:b w:val="false"/>
          <w:i/>
          <w:color w:val="000000"/>
          <w:sz w:val="20"/>
        </w:rPr>
        <w:t>Basis of Presentation.</w:t>
      </w:r>
      <w:r>
        <w:rPr>
          <w:color w:val="000000"/>
        </w:rPr>
        <w:t xml:space="preserve"> </w:t>
      </w:r>
      <w:r>
        <w:rPr>
          <w:rFonts w:ascii="Times New Roman;sans-serif" w:hAnsi="Times New Roman;sans-serif"/>
          <w:b w:val="false"/>
          <w:color w:val="000000"/>
          <w:sz w:val="20"/>
        </w:rPr>
        <w:t>The condensed consolidated financial statements of Southwest Gas Holdings, Inc. and subsidiaries and Southwest (with its subsidiaries) included herein have been prepared pursuant to the rules and regulations of the Securities and Exchange Commission (the “SEC”). The year-end 2022 condensed balance sheet data was derived from audited financial statements. Certain information and footnote disclosures normally included in financial statements prepared in accordance with U.S. generally accepted accounting principles (“U.S. GAAP”) have been condensed or omitted pursuant to such rules and regulations. No substantive change has occurred with regard to the Company’s business segments on the whole during the recently completed quarter, other than the sale of MountainWest, discussed above.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condensed consolidated financial statements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statement of results for the interim periods, have been made.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should be read in conjunction with the consolidated financial statements and notes thereto included in the 2022 Annual Report to Stockholders, which is incorporated by reference into the 2022 Form 10-K.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2023, management identified a misstatement related to its accounting for the cost of gas sold at Southwest, thereby determining that Net cost of gas sold was overstated in 2021 and 2022 by $2.3 million and $5.7 million, respectively. Southwest made an adjustment in the first quarter of 2023 to reduce Net cost of gas sold and to increase its asset balance for Deferred purchased gas cost by $8 million.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Also in the first quarter of 2023, the Company identified an approximately $21 million misstatement related to its initial estimation of the loss recorded upon reclassifying MountainWest as an asset held for sale during the year ended December 31, 2022. Consequently, the impairment loss for the year ended December 31, 2022 was understated by approximately $21 million, which was corrected in the first quarter of 2023.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Southwest, with respect to Net cost of gas sold) assessed, both quantitatively and qualitatively, the impact of these items on previously issued financial statements, concluding they were not material to any prior period or the current period financial statements.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28650"/>
                <wp:effectExtent l="0" t="0" r="0" b="0"/>
                <wp:wrapNone/>
                <wp:docPr id="13" name="Frame1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120" w:after="283"/>
        <w:jc w:val="both"/>
        <w:rPr/>
      </w:pPr>
      <w:r>
        <w:rPr>
          <w:rFonts w:ascii="Times New Roman;sans-serif" w:hAnsi="Times New Roman;sans-serif"/>
          <w:b w:val="false"/>
          <w:i/>
          <w:color w:val="000000"/>
          <w:sz w:val="20"/>
        </w:rPr>
        <w:t>Other Property and Investments.</w:t>
      </w:r>
      <w:r>
        <w:rPr>
          <w:color w:val="000000"/>
        </w:rPr>
        <w:t xml:space="preserve"> </w:t>
      </w:r>
      <w:r>
        <w:rPr>
          <w:rFonts w:ascii="Times New Roman;sans-serif" w:hAnsi="Times New Roman;sans-serif"/>
          <w:b w:val="false"/>
          <w:color w:val="000000"/>
          <w:sz w:val="20"/>
        </w:rPr>
        <w:t>Other property and investments on Southwest’s and the Company’s Condensed Consolidated Balance Sheets includes:</w:t>
      </w:r>
    </w:p>
    <w:tbl>
      <w:tblPr>
        <w:tblW w:w="9404" w:type="dxa"/>
        <w:jc w:val="left"/>
        <w:tblInd w:w="0" w:type="dxa"/>
        <w:tblCellMar>
          <w:top w:w="28" w:type="dxa"/>
          <w:left w:w="28" w:type="dxa"/>
          <w:bottom w:w="28" w:type="dxa"/>
          <w:right w:w="28" w:type="dxa"/>
        </w:tblCellMar>
      </w:tblPr>
      <w:tblGrid>
        <w:gridCol w:w="2157"/>
        <w:gridCol w:w="1893"/>
        <w:gridCol w:w="1905"/>
        <w:gridCol w:w="227"/>
        <w:gridCol w:w="1051"/>
        <w:gridCol w:w="118"/>
        <w:gridCol w:w="109"/>
        <w:gridCol w:w="109"/>
        <w:gridCol w:w="109"/>
        <w:gridCol w:w="271"/>
        <w:gridCol w:w="1256"/>
        <w:gridCol w:w="199"/>
      </w:tblGrid>
      <w:tr>
        <w:trPr/>
        <w:tc>
          <w:tcPr>
            <w:tcW w:w="2157" w:type="dxa"/>
            <w:tcBorders/>
            <w:shd w:fill="auto" w:val="clear"/>
            <w:vAlign w:val="center"/>
          </w:tcPr>
          <w:p>
            <w:pPr>
              <w:pStyle w:val="TableContents"/>
              <w:spacing w:before="0" w:after="283"/>
              <w:rPr>
                <w:sz w:val="4"/>
                <w:szCs w:val="4"/>
              </w:rPr>
            </w:pPr>
            <w:r>
              <w:rPr>
                <w:sz w:val="4"/>
                <w:szCs w:val="4"/>
              </w:rPr>
            </w:r>
          </w:p>
        </w:tc>
        <w:tc>
          <w:tcPr>
            <w:tcW w:w="1893" w:type="dxa"/>
            <w:tcBorders/>
            <w:shd w:fill="auto" w:val="clear"/>
            <w:vAlign w:val="center"/>
          </w:tcPr>
          <w:p>
            <w:pPr>
              <w:pStyle w:val="TableContents"/>
              <w:spacing w:before="0" w:after="283"/>
              <w:rPr>
                <w:sz w:val="4"/>
                <w:szCs w:val="4"/>
              </w:rPr>
            </w:pPr>
            <w:r>
              <w:rPr>
                <w:sz w:val="4"/>
                <w:szCs w:val="4"/>
              </w:rPr>
            </w:r>
          </w:p>
        </w:tc>
        <w:tc>
          <w:tcPr>
            <w:tcW w:w="190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5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surrender value of COLI policies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138,689 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136,245 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w:t>
            </w:r>
          </w:p>
        </w:tc>
        <w:tc>
          <w:tcPr>
            <w:tcW w:w="12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33,152 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Southwest Gas Corporation</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169,397 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Non-regulated property, equipment, and intangibles</w:t>
            </w:r>
          </w:p>
        </w:tc>
        <w:tc>
          <w:tcPr>
            <w:tcW w:w="12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1,698,327 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1,677,218 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Non-regulated accumulated provision for depreciation and amortization</w:t>
            </w:r>
          </w:p>
        </w:tc>
        <w:tc>
          <w:tcPr>
            <w:tcW w:w="12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(624,693)</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(596,518)</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and investments</w:t>
            </w:r>
          </w:p>
        </w:tc>
        <w:tc>
          <w:tcPr>
            <w:tcW w:w="12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31,075 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Southwest Gas Holdings, Inc.</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1,250,327 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1,281,172 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the table above are the net cash surrender values of company-owned life insurance (“COLI”) policies. These life insurance policies on members of management and other key employees are used by Southwest to indemnify itself against the loss of talent, expertise, and knowledge, as well as to provide indirect funding for certain nonqualified benefit plans. The term non-regulated in regard to assets and related balances in the table above is in reference to the non-rate regulated operations of Centuri.</w:t>
      </w:r>
    </w:p>
    <w:p>
      <w:pPr>
        <w:pStyle w:val="TextBody"/>
        <w:spacing w:lineRule="auto" w:line="288" w:before="120" w:after="283"/>
        <w:jc w:val="both"/>
        <w:rPr/>
      </w:pPr>
      <w:r>
        <w:rPr>
          <w:rFonts w:ascii="Times New Roman;sans-serif" w:hAnsi="Times New Roman;sans-serif"/>
          <w:b w:val="false"/>
          <w:i/>
          <w:color w:val="000000"/>
          <w:sz w:val="20"/>
        </w:rPr>
        <w:t xml:space="preserve">Held for sale. </w:t>
      </w:r>
      <w:r>
        <w:rPr>
          <w:rFonts w:ascii="Times New Roman;sans-serif" w:hAnsi="Times New Roman;sans-serif"/>
          <w:b w:val="false"/>
          <w:color w:val="000000"/>
          <w:sz w:val="20"/>
        </w:rPr>
        <w:t xml:space="preserve">The Company and Southwest have classified certain assets associated with its previous corporate headquarters as held for sale during the first quarter of 2023. An agreement for sale was signed in May 2023, subject to certain closing conditions, including possible extension periods. Amounts to be realized above the carrying value are not expected to be material to the financial statements overall. Management determined that the assets met the criteria to be classified as held for sale as of March 31, 2023. As a result, the Company and Southwest reclassified approximately $27 million from Other property and investments to current assets held for sale on their respective Condensed Consolidated Balance Sheets at March 31, 2023. </w:t>
      </w:r>
    </w:p>
    <w:p>
      <w:pPr>
        <w:pStyle w:val="TextBody"/>
        <w:spacing w:lineRule="auto" w:line="288" w:before="120" w:after="283"/>
        <w:jc w:val="both"/>
        <w:rPr/>
      </w:pPr>
      <w:r>
        <w:rPr>
          <w:rFonts w:ascii="Times New Roman;sans-serif" w:hAnsi="Times New Roman;sans-serif"/>
          <w:b w:val="false"/>
          <w:i/>
          <w:color w:val="000000"/>
          <w:sz w:val="20"/>
        </w:rPr>
        <w:t>Cash and Cash Equivalents.</w:t>
      </w:r>
      <w:r>
        <w:rPr>
          <w:color w:val="000000"/>
        </w:rPr>
        <w:t xml:space="preserve">  </w:t>
      </w:r>
      <w:r>
        <w:rPr>
          <w:rFonts w:ascii="Times New Roman;sans-serif" w:hAnsi="Times New Roman;sans-serif"/>
          <w:b w:val="false"/>
          <w:color w:val="000000"/>
          <w:sz w:val="20"/>
        </w:rPr>
        <w:t xml:space="preserve">Cash and cash equivalents of the Company include </w:t>
      </w:r>
      <w:r>
        <w:rPr>
          <w:rFonts w:ascii="Times New Roman;sans-serif" w:hAnsi="Times New Roman;sans-serif"/>
          <w:b w:val="false"/>
          <w:color w:val="000000"/>
          <w:sz w:val="20"/>
          <w:highlight w:val="white"/>
        </w:rPr>
        <w:t xml:space="preserve">$32.7 million and </w:t>
      </w:r>
      <w:r>
        <w:rPr>
          <w:rFonts w:ascii="Times New Roman;sans-serif" w:hAnsi="Times New Roman;sans-serif"/>
          <w:b w:val="false"/>
          <w:color w:val="000000"/>
          <w:sz w:val="20"/>
        </w:rPr>
        <w:t xml:space="preserve">$30 million of money market fund investments at March 31, 2023 and December 31, 2022, respectively. The money market fund investments for Southwest were $29.6 million at March 31, 2023 and $17.6 million at December 31, 2022, respectively. These investments fall within Level 2 of the fair value hierarchy, due to the asset valuation methods used by money market funds.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Noncash investing activities for the Company and Southwest include capital expenditures that were not yet paid, thereby remaining in accounts payable, the amounts related to which declined by approximately $37.3 million and $34.2 million during the three months ended March 31, 2023, respectively, and increased $5.5 million and $5.7 million during the twelve months ended March 31, 2023, respectively.</w:t>
      </w:r>
    </w:p>
    <w:p>
      <w:pPr>
        <w:pStyle w:val="TextBody"/>
        <w:spacing w:lineRule="auto" w:line="288" w:before="120" w:after="283"/>
        <w:jc w:val="both"/>
        <w:rPr/>
      </w:pPr>
      <w:r>
        <w:rPr>
          <w:rFonts w:ascii="Times New Roman;sans-serif" w:hAnsi="Times New Roman;sans-serif"/>
          <w:b w:val="false"/>
          <w:i/>
          <w:color w:val="000000"/>
          <w:sz w:val="20"/>
        </w:rPr>
        <w:t>Accounts Receivable, net of allowances.</w:t>
      </w:r>
      <w:r>
        <w:rPr>
          <w:color w:val="000000"/>
        </w:rPr>
        <w:t xml:space="preserve"> </w:t>
      </w:r>
      <w:r>
        <w:rPr>
          <w:rFonts w:ascii="Times New Roman;sans-serif" w:hAnsi="Times New Roman;sans-serif"/>
          <w:b w:val="false"/>
          <w:color w:val="000000"/>
          <w:sz w:val="20"/>
        </w:rPr>
        <w:t xml:space="preserve">Following an earlier moratorium on account disconnections amidst the COVID-19 environment, account collection efforts resumed in 2021 in all jurisdictions in which Southwest operates. Ultimately, some accounts that are receivable at the end of any reporting date may not be collected, and if collection is unsuccessful, such accounts are written off. Estimates as to collectibility are made on an ongoing basis. However, </w:t>
      </w:r>
      <w:r>
        <w:rPr>
          <w:rFonts w:ascii="Times New Roman;sans-serif" w:hAnsi="Times New Roman;sans-serif"/>
          <w:b w:val="false"/>
          <w:color w:val="212529"/>
          <w:sz w:val="20"/>
        </w:rPr>
        <w:t xml:space="preserve">Southwest continues to actively work with customers experiencing financial hardship by means of flexible payment options and partnering with assistance agencies. The cost of gas included in customer rates also influences account balances at each reporting date. </w:t>
      </w:r>
    </w:p>
    <w:p>
      <w:pPr>
        <w:pStyle w:val="TextBody"/>
        <w:spacing w:lineRule="auto" w:line="288" w:before="120" w:after="283"/>
        <w:jc w:val="both"/>
        <w:rPr/>
      </w:pPr>
      <w:r>
        <w:rPr>
          <w:rFonts w:ascii="Times New Roman;sans-serif" w:hAnsi="Times New Roman;sans-serif"/>
          <w:b w:val="false"/>
          <w:i/>
          <w:color w:val="000000"/>
          <w:sz w:val="20"/>
        </w:rPr>
        <w:t xml:space="preserve">Deferred Purchased Gas Costs. </w:t>
      </w:r>
      <w:r>
        <w:rPr>
          <w:rFonts w:ascii="Times New Roman;sans-serif" w:hAnsi="Times New Roman;sans-serif"/>
          <w:b w:val="false"/>
          <w:color w:val="000000"/>
          <w:sz w:val="20"/>
        </w:rPr>
        <w:t xml:space="preserve">The various regulatory commissions have established procedures to enable rate-regulated companies to adjust billing rates for changes in the cost of natural gas purchased. The difference between the current cost of gas purchased and the cost of gas recovered in billed rates is deferred. Generally, these deferred amounts are recovered or refunded within one year. </w:t>
      </w:r>
    </w:p>
    <w:p>
      <w:pPr>
        <w:pStyle w:val="TextBody"/>
        <w:spacing w:lineRule="auto" w:line="288" w:before="120" w:after="283"/>
        <w:jc w:val="both"/>
        <w:rPr/>
      </w:pPr>
      <w:r>
        <w:rPr>
          <w:rFonts w:ascii="Times New Roman;sans-serif" w:hAnsi="Times New Roman;sans-serif"/>
          <w:b w:val="false"/>
          <w:i/>
          <w:color w:val="000000"/>
          <w:sz w:val="20"/>
        </w:rPr>
        <w:t>Prepaid and other current assets.</w:t>
      </w:r>
      <w:r>
        <w:rPr>
          <w:color w:val="000000"/>
        </w:rPr>
        <w:t xml:space="preserve"> </w:t>
      </w:r>
      <w:r>
        <w:rPr>
          <w:rFonts w:ascii="Times New Roman;sans-serif" w:hAnsi="Times New Roman;sans-serif"/>
          <w:b w:val="false"/>
          <w:color w:val="000000"/>
          <w:sz w:val="20"/>
        </w:rPr>
        <w:t xml:space="preserve">Prepaid and other current assets for Southwest include, among other things, materials and operating supplies of </w:t>
      </w:r>
      <w:r>
        <w:rPr>
          <w:rFonts w:ascii="Times New Roman;sans-serif" w:hAnsi="Times New Roman;sans-serif"/>
          <w:b w:val="false"/>
          <w:color w:val="000000"/>
          <w:sz w:val="20"/>
          <w:highlight w:val="white"/>
        </w:rPr>
        <w:t>$79 million</w:t>
      </w:r>
      <w:r>
        <w:rPr>
          <w:color w:val="000000"/>
        </w:rPr>
        <w:t xml:space="preserve"> </w:t>
      </w:r>
      <w:r>
        <w:rPr>
          <w:rFonts w:ascii="Times New Roman;sans-serif" w:hAnsi="Times New Roman;sans-serif"/>
          <w:b w:val="false"/>
          <w:color w:val="000000"/>
          <w:sz w:val="20"/>
        </w:rPr>
        <w:t xml:space="preserve">at March 31, 2023 and </w:t>
      </w:r>
      <w:r>
        <w:rPr>
          <w:rFonts w:ascii="Times New Roman;sans-serif" w:hAnsi="Times New Roman;sans-serif"/>
          <w:b w:val="false"/>
          <w:color w:val="000000"/>
          <w:sz w:val="20"/>
          <w:highlight w:val="white"/>
        </w:rPr>
        <w:t>$77.3 million</w:t>
      </w:r>
      <w:r>
        <w:rPr>
          <w:color w:val="000000"/>
        </w:rPr>
        <w:t xml:space="preserve"> </w:t>
      </w:r>
      <w:r>
        <w:rPr>
          <w:rFonts w:ascii="Times New Roman;sans-serif" w:hAnsi="Times New Roman;sans-serif"/>
          <w:b w:val="false"/>
          <w:color w:val="000000"/>
          <w:sz w:val="20"/>
        </w:rPr>
        <w:t xml:space="preserve">at December 31, 2022 (carried at weighted average cost). Also included in the balance was $207 million as of December 31, 2022 in accrued purchased gas cost, with no corresponding asset balance as of March 31, 2023. </w:t>
      </w:r>
    </w:p>
    <w:p>
      <w:pPr>
        <w:pStyle w:val="TextBody"/>
        <w:spacing w:lineRule="auto" w:line="288" w:before="120" w:after="283"/>
        <w:jc w:val="both"/>
        <w:rPr/>
      </w:pPr>
      <w:r>
        <w:rPr>
          <w:rFonts w:ascii="Times New Roman;sans-serif" w:hAnsi="Times New Roman;sans-serif"/>
          <w:b w:val="false"/>
          <w:i/>
          <w:color w:val="000000"/>
          <w:sz w:val="20"/>
        </w:rPr>
        <w:t>Goodwill.</w:t>
      </w:r>
      <w:r>
        <w:rPr>
          <w:color w:val="000000"/>
        </w:rPr>
        <w:t xml:space="preserve"> </w:t>
      </w:r>
      <w:r>
        <w:rPr>
          <w:rFonts w:ascii="Times New Roman;sans-serif" w:hAnsi="Times New Roman;sans-serif"/>
          <w:b w:val="false"/>
          <w:color w:val="000000"/>
          <w:sz w:val="20"/>
        </w:rPr>
        <w:t>Goodwill is assessed as of October 1</w:t>
      </w:r>
      <w:r>
        <w:rPr>
          <w:rFonts w:ascii="Times New Roman;sans-serif" w:hAnsi="Times New Roman;sans-serif"/>
          <w:b w:val="false"/>
          <w:color w:val="000000"/>
          <w:sz w:val="18"/>
        </w:rPr>
        <w:t>st</w:t>
      </w:r>
      <w:r>
        <w:rPr>
          <w:color w:val="000000"/>
        </w:rPr>
        <w:t xml:space="preserve"> </w:t>
      </w:r>
      <w:r>
        <w:rPr>
          <w:rFonts w:ascii="Times New Roman;sans-serif" w:hAnsi="Times New Roman;sans-serif"/>
          <w:b w:val="false"/>
          <w:color w:val="000000"/>
          <w:sz w:val="20"/>
        </w:rPr>
        <w:t xml:space="preserve">each year for impairment, or more frequently, if circumstances indicate it may be more likely than not that the fair value of a reporting unit is less than its carrying value. The Company’s reporting units for goodwill are its operating segments, which are also its reportable segments. Since December 31, 2022, management qualitatively assessed whether events during the first three months of 2023 indicated it was more likely than not that the fair value of our reporting units was less than their carrying value, which if the case, could be an indication of a goodwill impairment. Through management’s assessments during first quarter of 2023, no impairment was deemed to have occurred in the continuing segments of the Company. However, there can be no assurances that future assessments of goodwill will not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28650"/>
                <wp:effectExtent l="0" t="0" r="0" b="0"/>
                <wp:wrapNone/>
                <wp:docPr id="14" name="Frame1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result in an impairment, and various factors, including changes in the business, strategic initiatives, economic conditions, governmental monetary policies, interest rates, or others, on their own or in combination with each other, could result in the fair value of reporting units being lower than their carrying values. Goodwill in the Natural Gas Distribution and Utility Infrastructure Services segments is included in their respective Condensed Consolidated Balance Sheets as follows: </w:t>
      </w:r>
    </w:p>
    <w:tbl>
      <w:tblPr>
        <w:tblW w:w="8631" w:type="dxa"/>
        <w:jc w:val="left"/>
        <w:tblInd w:w="0" w:type="dxa"/>
        <w:tblCellMar>
          <w:top w:w="28" w:type="dxa"/>
          <w:left w:w="28" w:type="dxa"/>
          <w:bottom w:w="28" w:type="dxa"/>
          <w:right w:w="28" w:type="dxa"/>
        </w:tblCellMar>
      </w:tblPr>
      <w:tblGrid>
        <w:gridCol w:w="1217"/>
        <w:gridCol w:w="1068"/>
        <w:gridCol w:w="1075"/>
        <w:gridCol w:w="109"/>
        <w:gridCol w:w="109"/>
        <w:gridCol w:w="109"/>
        <w:gridCol w:w="222"/>
        <w:gridCol w:w="759"/>
        <w:gridCol w:w="115"/>
        <w:gridCol w:w="109"/>
        <w:gridCol w:w="109"/>
        <w:gridCol w:w="109"/>
        <w:gridCol w:w="325"/>
        <w:gridCol w:w="1275"/>
        <w:gridCol w:w="170"/>
        <w:gridCol w:w="109"/>
        <w:gridCol w:w="109"/>
        <w:gridCol w:w="109"/>
        <w:gridCol w:w="252"/>
        <w:gridCol w:w="988"/>
        <w:gridCol w:w="184"/>
      </w:tblGrid>
      <w:tr>
        <w:trPr/>
        <w:tc>
          <w:tcPr>
            <w:tcW w:w="1217"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Natural Gas</w:t>
              <w:br/>
              <w:t>Distribution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Utility Infrastructure</w:t>
              <w:br/>
              <w:t>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Company</w:t>
            </w:r>
          </w:p>
        </w:tc>
      </w:tr>
      <w:tr>
        <w:trPr/>
        <w:tc>
          <w:tcPr>
            <w:tcW w:w="3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776,095 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787,250 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776,179 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787,334 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pPr>
      <w:r>
        <w:rPr>
          <w:rFonts w:ascii="Times New Roman;sans-serif" w:hAnsi="Times New Roman;sans-serif"/>
          <w:b w:val="false"/>
          <w:i/>
          <w:color w:val="000000"/>
          <w:sz w:val="20"/>
        </w:rPr>
        <w:t>Other Current Liabilities</w:t>
      </w:r>
      <w:r>
        <w:rPr>
          <w:rFonts w:ascii="Times New Roman;sans-serif" w:hAnsi="Times New Roman;sans-serif"/>
          <w:b w:val="false"/>
          <w:color w:val="000000"/>
          <w:sz w:val="20"/>
        </w:rPr>
        <w:t xml:space="preserve">. Management recognizes in its balance sheets various liabilities that are expected to be settled through future cash payment within the next twelve months, including amounts payable under regulatory mechanisms, customary accrued expenses for employee compensation and benefits, declared but unpaid dividends, and miscellaneous other accrued liabilities. Other current liabilities for the Company include $44.2 million and $41.6 million of dividends declared as of March 31, 2023 and December 31, 2022, respectively. Also included in the balance was $68 million as of March 31, 2023 in accrued purchased gas cost, with no corresponding liability balance as of December 31, 2022. </w:t>
      </w:r>
    </w:p>
    <w:p>
      <w:pPr>
        <w:pStyle w:val="TextBody"/>
        <w:spacing w:lineRule="auto" w:line="288" w:before="120" w:after="283"/>
        <w:jc w:val="both"/>
        <w:rPr/>
      </w:pPr>
      <w:r>
        <w:rPr>
          <w:rFonts w:ascii="Times New Roman;sans-serif" w:hAnsi="Times New Roman;sans-serif"/>
          <w:b w:val="false"/>
          <w:i/>
          <w:color w:val="000000"/>
          <w:sz w:val="20"/>
        </w:rPr>
        <w:t>Other Income (Deductions).</w:t>
      </w:r>
      <w:r>
        <w:rPr>
          <w:color w:val="000000"/>
        </w:rPr>
        <w:t xml:space="preserve"> </w:t>
      </w:r>
      <w:r>
        <w:rPr>
          <w:rFonts w:ascii="Times New Roman;sans-serif" w:hAnsi="Times New Roman;sans-serif"/>
          <w:b w:val="false"/>
          <w:color w:val="000000"/>
          <w:sz w:val="20"/>
        </w:rPr>
        <w:t>The following table provides the composition of significant items included in Other income (deductions) in Southwest’s and the Company’s Condensed Consolidated Statements of Income:</w:t>
      </w:r>
    </w:p>
    <w:tbl>
      <w:tblPr>
        <w:tblW w:w="10205" w:type="dxa"/>
        <w:jc w:val="left"/>
        <w:tblInd w:w="0" w:type="dxa"/>
        <w:tblCellMar>
          <w:top w:w="28" w:type="dxa"/>
          <w:left w:w="28" w:type="dxa"/>
          <w:bottom w:w="28" w:type="dxa"/>
          <w:right w:w="28" w:type="dxa"/>
        </w:tblCellMar>
      </w:tblPr>
      <w:tblGrid>
        <w:gridCol w:w="1762"/>
        <w:gridCol w:w="1519"/>
        <w:gridCol w:w="1530"/>
        <w:gridCol w:w="235"/>
        <w:gridCol w:w="804"/>
        <w:gridCol w:w="121"/>
        <w:gridCol w:w="121"/>
        <w:gridCol w:w="121"/>
        <w:gridCol w:w="121"/>
        <w:gridCol w:w="235"/>
        <w:gridCol w:w="765"/>
        <w:gridCol w:w="121"/>
        <w:gridCol w:w="109"/>
        <w:gridCol w:w="109"/>
        <w:gridCol w:w="109"/>
        <w:gridCol w:w="211"/>
        <w:gridCol w:w="721"/>
        <w:gridCol w:w="109"/>
        <w:gridCol w:w="109"/>
        <w:gridCol w:w="109"/>
        <w:gridCol w:w="109"/>
        <w:gridCol w:w="211"/>
        <w:gridCol w:w="685"/>
        <w:gridCol w:w="159"/>
      </w:tblGrid>
      <w:tr>
        <w:trPr/>
        <w:tc>
          <w:tcPr>
            <w:tcW w:w="1762" w:type="dxa"/>
            <w:tcBorders/>
            <w:shd w:fill="auto" w:val="clear"/>
            <w:vAlign w:val="center"/>
          </w:tcPr>
          <w:p>
            <w:pPr>
              <w:pStyle w:val="TableContents"/>
              <w:spacing w:before="0" w:after="283"/>
              <w:rPr>
                <w:sz w:val="4"/>
                <w:szCs w:val="4"/>
              </w:rPr>
            </w:pPr>
            <w:r>
              <w:rPr>
                <w:sz w:val="4"/>
                <w:szCs w:val="4"/>
              </w:rPr>
            </w:r>
          </w:p>
        </w:tc>
        <w:tc>
          <w:tcPr>
            <w:tcW w:w="1519"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 Ended</w:t>
              <w:br/>
              <w:t>March 31,</w:t>
            </w:r>
          </w:p>
        </w:tc>
      </w:tr>
      <w:tr>
        <w:trPr/>
        <w:tc>
          <w:tcPr>
            <w:tcW w:w="4811" w:type="dxa"/>
            <w:gridSpan w:val="3"/>
            <w:tcBorders/>
            <w:shd w:fill="auto" w:val="clear"/>
            <w:tcMar>
              <w:top w:w="0" w:type="dxa"/>
              <w:left w:w="0" w:type="dxa"/>
              <w:bottom w:w="0" w:type="dxa"/>
              <w:right w:w="0" w:type="dxa"/>
            </w:tcMar>
            <w:vAlign w:val="center"/>
          </w:tcPr>
          <w:p>
            <w:pPr>
              <w:pStyle w:val="TableContents"/>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Southwest Gas Corporation:</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COLI policies</w:t>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12,471 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AFUDC</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components of net periodic benefit cost</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(10,704)</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income and (expense)</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Southwest Gas Corporation - total other income (deductions)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Centuri, MountainWest, and Southwest Gas Holdings, Inc.:</w:t>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1"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5" w:type="dxa"/>
            <w:gridSpan w:val="3"/>
            <w:tcBorders/>
            <w:shd w:fill="auto" w:val="clear"/>
            <w:vAlign w:val="center"/>
          </w:tcPr>
          <w:p>
            <w:pPr>
              <w:pStyle w:val="TableContents"/>
              <w:spacing w:before="0" w:after="283"/>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transaction gain (loss)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AFUDC</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investments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income and (expense)</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5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administrative</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Southwest Gas Holdings, Inc. - total other income (deductions)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pPr>
      <w:r>
        <w:rPr>
          <w:rFonts w:ascii="Times New Roman;sans-serif" w:hAnsi="Times New Roman;sans-serif"/>
          <w:b w:val="false"/>
          <w:color w:val="000000"/>
          <w:sz w:val="20"/>
        </w:rPr>
        <w:t xml:space="preserve">Included in the table above is the change in cash surrender values of COLI policies (including net death benefits recognized). Current tax regulations provide for tax-free treatment of life insurance (death benefit) proceeds. Therefore, changes in the cash surrender values of COLI policies, as they progress towards the ultimate death benefits, are also recorded without tax consequences. Interest income primarily relates to Southwest’s regulatory asset balances, including its deferred purchased gas cost mechanisms. Interest income includes carrying charges on regulatory account balances, including deferred purchased gas cost balances, which increased from $368 million as of March 31, 2022 to $970 million as of March 31, 2023. Refer also to </w:t>
      </w:r>
      <w:r>
        <w:rPr>
          <w:rFonts w:ascii="Times New Roman;sans-serif" w:hAnsi="Times New Roman;sans-serif"/>
          <w:b/>
          <w:color w:val="000000"/>
          <w:sz w:val="20"/>
        </w:rPr>
        <w:t>Note 2 – Components of Net Periodic Benefit Cost</w:t>
      </w:r>
      <w:r>
        <w:rPr>
          <w:rFonts w:ascii="Times New Roman;sans-serif" w:hAnsi="Times New Roman;sans-serif"/>
          <w:b w:val="false"/>
          <w:color w:val="000000"/>
          <w:sz w:val="20"/>
        </w:rPr>
        <w:t>.</w:t>
      </w:r>
    </w:p>
    <w:p>
      <w:pPr>
        <w:pStyle w:val="TextBody"/>
        <w:spacing w:lineRule="auto" w:line="288" w:before="120" w:after="283"/>
        <w:jc w:val="both"/>
        <w:rPr/>
      </w:pPr>
      <w:r>
        <w:rPr>
          <w:rFonts w:ascii="Times New Roman;sans-serif" w:hAnsi="Times New Roman;sans-serif"/>
          <w:b w:val="false"/>
          <w:i/>
          <w:color w:val="000000"/>
          <w:sz w:val="20"/>
        </w:rPr>
        <w:t>Redeemable Noncontrolling Interests.</w:t>
      </w:r>
      <w:r>
        <w:rPr>
          <w:color w:val="000000"/>
        </w:rPr>
        <w:t xml:space="preserve"> </w:t>
      </w:r>
      <w:r>
        <w:rPr>
          <w:rFonts w:ascii="Times New Roman;sans-serif" w:hAnsi="Times New Roman;sans-serif"/>
          <w:b w:val="false"/>
          <w:color w:val="000000"/>
          <w:sz w:val="20"/>
        </w:rPr>
        <w:t xml:space="preserve">In connection with the acquisition of Linetec in November 2018, the previous owner initially retained a 20% equity interest in that entity, with redemption being subject to certain rights based on the passage of time or upon the occurrence of certain triggering events. Effective in 2022, the Company, through Centuri, had the right, but not the obligation, to purchase at fair value (subject to a floor) a portion of the interest held by the previous owner, and in incremental amounts each year thereafter. In March 2022, the parties agreed to a partial redemption, reducing the noncontrolling interest to 15%, and in March 2023, agreeing once again to a 5% redemption (of the 15% then remaining), and to thereby reduce the noncontrolling interest to 10% under the terms of the original agreement. As a result of this most recent election, Centuri accrued $39.9 million as of March 31, 2023, which was paid to the previous owner of Linetec in April 2023. The impact of this transaction has been excluded from the Company’s Condensed Consolidated Statement of Cash Flows for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28650"/>
                <wp:effectExtent l="0" t="0" r="0" b="0"/>
                <wp:wrapNone/>
                <wp:docPr id="15" name="Frame1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120" w:after="283"/>
        <w:jc w:val="both"/>
        <w:rPr/>
      </w:pPr>
      <w:r>
        <w:rPr>
          <w:rFonts w:ascii="Times New Roman;sans-serif" w:hAnsi="Times New Roman;sans-serif"/>
          <w:b w:val="false"/>
          <w:color w:val="000000"/>
          <w:sz w:val="20"/>
        </w:rPr>
        <w:t>2023 due to its noncash nature in advance of the April 2023 payment. The remaining balance continuing to be redeemable as of March 31, 2023 is 10% under the terms of the original agreement, with Centuri now owning a 90% stake in Linetec</w:t>
      </w:r>
      <w:r>
        <w:rPr>
          <w:rFonts w:ascii="Times New Roman;sans-serif" w:hAnsi="Times New Roman;sans-serif"/>
          <w:b w:val="false"/>
          <w:color w:val="000000"/>
          <w:sz w:val="20"/>
          <w:highlight w:val="white"/>
        </w:rPr>
        <w: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members of Riggs Distler management have a 1.42% interest in Drum, which is redeemable, subject to certain rights based on the passage of time or upon the occurrence of certain triggering events.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changes in the value of the redeemable noncontrolling interests, above a floor determined at the establishment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Based on the fair value model employed, the estimated redemption value of the Linetec redeemable noncontrolling interest increased approximately $5.8 million during the three months ended March 31, 2023, notwithstanding the change resulting from the partial redemption noted above. Valuation adjustments also impact retained earnings, as reflected in the Company’s Condensed Consolidated Statement of Equity, but do not impact net income. The following depicts changes to the balances of the redeemable noncontrolling interests:</w:t>
      </w:r>
    </w:p>
    <w:tbl>
      <w:tblPr>
        <w:tblW w:w="9578" w:type="dxa"/>
        <w:jc w:val="center"/>
        <w:tblInd w:w="0" w:type="dxa"/>
        <w:tblCellMar>
          <w:top w:w="28" w:type="dxa"/>
          <w:left w:w="28" w:type="dxa"/>
          <w:bottom w:w="28" w:type="dxa"/>
          <w:right w:w="28" w:type="dxa"/>
        </w:tblCellMar>
      </w:tblPr>
      <w:tblGrid>
        <w:gridCol w:w="1890"/>
        <w:gridCol w:w="1659"/>
        <w:gridCol w:w="1670"/>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1890"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16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Linetec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Drum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Redemption value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Redemption of equity interest from noncontrolling party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pPr>
      <w:r>
        <w:rPr>
          <w:rFonts w:ascii="Times New Roman;sans-serif" w:hAnsi="Times New Roman;sans-serif"/>
          <w:b w:val="false"/>
          <w:i/>
          <w:color w:val="000000"/>
          <w:sz w:val="20"/>
        </w:rPr>
        <w:t xml:space="preserve">Earnings Per Share. </w:t>
      </w:r>
      <w:r>
        <w:rPr>
          <w:rFonts w:ascii="Times New Roman;sans-serif" w:hAnsi="Times New Roman;sans-serif"/>
          <w:b w:val="false"/>
          <w:color w:val="000000"/>
          <w:sz w:val="20"/>
        </w:rPr>
        <w:t>Basic earnings per share (“EPS”) in each period of this report were calculated by dividing net income attributable to Southwest Gas Holdings, Inc. by the weighted-average number of shares during those periods. Diluted EPS includes additional weighted-average common stock equivalents (performance shares and restricted stock units). Unless otherwise noted, the term “Earnings Per Share” refers to Basic EPS. A reconciliation of the denominator used in Basic and Diluted EPS calculations is shown in the following table:</w:t>
      </w:r>
    </w:p>
    <w:tbl>
      <w:tblPr>
        <w:tblW w:w="8450" w:type="dxa"/>
        <w:jc w:val="left"/>
        <w:tblInd w:w="0" w:type="dxa"/>
        <w:tblCellMar>
          <w:top w:w="28" w:type="dxa"/>
          <w:left w:w="28" w:type="dxa"/>
          <w:bottom w:w="28" w:type="dxa"/>
          <w:right w:w="28" w:type="dxa"/>
        </w:tblCellMar>
      </w:tblPr>
      <w:tblGrid>
        <w:gridCol w:w="998"/>
        <w:gridCol w:w="879"/>
        <w:gridCol w:w="883"/>
        <w:gridCol w:w="109"/>
        <w:gridCol w:w="109"/>
        <w:gridCol w:w="109"/>
        <w:gridCol w:w="360"/>
        <w:gridCol w:w="361"/>
        <w:gridCol w:w="201"/>
        <w:gridCol w:w="201"/>
        <w:gridCol w:w="201"/>
        <w:gridCol w:w="201"/>
        <w:gridCol w:w="360"/>
        <w:gridCol w:w="361"/>
        <w:gridCol w:w="201"/>
        <w:gridCol w:w="109"/>
        <w:gridCol w:w="109"/>
        <w:gridCol w:w="109"/>
        <w:gridCol w:w="366"/>
        <w:gridCol w:w="355"/>
        <w:gridCol w:w="212"/>
        <w:gridCol w:w="212"/>
        <w:gridCol w:w="212"/>
        <w:gridCol w:w="212"/>
        <w:gridCol w:w="366"/>
        <w:gridCol w:w="355"/>
        <w:gridCol w:w="299"/>
      </w:tblGrid>
      <w:tr>
        <w:trPr/>
        <w:tc>
          <w:tcPr>
            <w:tcW w:w="998"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 Ended</w:t>
              <w:br/>
              <w:t>March 31,</w:t>
            </w:r>
          </w:p>
        </w:tc>
      </w:tr>
      <w:tr>
        <w:trPr/>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6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6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basic 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60,737 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59,919 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diluted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68,419 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60,854 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67,413 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60,044 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18"/>
        </w:rPr>
        <w:t xml:space="preserve">(1) The number of anti-dilutive restricted stock units excluded from the calculation of diluted shares during the twelve months ended </w:t>
      </w:r>
      <w:r>
        <w:rPr>
          <w:rFonts w:ascii="Times New Roman;sans-serif" w:hAnsi="Times New Roman;sans-serif"/>
          <w:b w:val="false"/>
          <w:color w:val="000000"/>
          <w:sz w:val="18"/>
          <w:highlight w:val="white"/>
        </w:rPr>
        <w:t>March 31, 2023</w:t>
      </w:r>
      <w:r>
        <w:rPr>
          <w:color w:val="000000"/>
        </w:rPr>
        <w:t xml:space="preserve"> </w:t>
      </w:r>
      <w:r>
        <w:rPr>
          <w:rFonts w:ascii="Times New Roman;sans-serif" w:hAnsi="Times New Roman;sans-serif"/>
          <w:b w:val="false"/>
          <w:color w:val="000000"/>
          <w:sz w:val="18"/>
        </w:rPr>
        <w:t>is 166,000.</w:t>
      </w:r>
    </w:p>
    <w:p>
      <w:pPr>
        <w:pStyle w:val="TextBody"/>
        <w:spacing w:lineRule="auto" w:line="288" w:before="0" w:after="0"/>
        <w:jc w:val="both"/>
        <w:rPr/>
      </w:pPr>
      <w:r>
        <w:rPr>
          <w:rFonts w:ascii="Times New Roman;sans-serif" w:hAnsi="Times New Roman;sans-serif"/>
          <w:b w:val="false"/>
          <w:color w:val="000000"/>
          <w:sz w:val="18"/>
        </w:rPr>
        <w:t>(2) The number of securities included 132,000</w:t>
      </w:r>
      <w:r>
        <w:rPr>
          <w:color w:val="000000"/>
          <w:highlight w:val="white"/>
        </w:rPr>
        <w:t xml:space="preserve"> </w:t>
      </w:r>
      <w:r>
        <w:rPr>
          <w:rFonts w:ascii="Times New Roman;sans-serif" w:hAnsi="Times New Roman;sans-serif"/>
          <w:b w:val="false"/>
          <w:color w:val="000000"/>
          <w:sz w:val="18"/>
          <w:highlight w:val="white"/>
        </w:rPr>
        <w:t xml:space="preserve">and </w:t>
      </w:r>
      <w:r>
        <w:rPr>
          <w:rFonts w:ascii="Times New Roman;sans-serif" w:hAnsi="Times New Roman;sans-serif"/>
          <w:b w:val="false"/>
          <w:color w:val="000000"/>
          <w:sz w:val="18"/>
        </w:rPr>
        <w:t>112,000</w:t>
      </w:r>
      <w:r>
        <w:rPr>
          <w:color w:val="000000"/>
          <w:highlight w:val="white"/>
        </w:rPr>
        <w:t xml:space="preserve"> </w:t>
      </w:r>
      <w:r>
        <w:rPr>
          <w:rFonts w:ascii="Times New Roman;sans-serif" w:hAnsi="Times New Roman;sans-serif"/>
          <w:b w:val="false"/>
          <w:color w:val="000000"/>
          <w:sz w:val="18"/>
          <w:highlight w:val="white"/>
        </w:rPr>
        <w:t xml:space="preserve">performance shares during the three months ended March 31, 2023 and 2022, and 149,000 and </w:t>
      </w:r>
      <w:r>
        <w:rPr>
          <w:rFonts w:ascii="Times New Roman;sans-serif" w:hAnsi="Times New Roman;sans-serif"/>
          <w:b w:val="false"/>
          <w:color w:val="000000"/>
          <w:sz w:val="18"/>
        </w:rPr>
        <w:t>114,000 performance shares during the twelve months en</w:t>
      </w:r>
      <w:r>
        <w:rPr>
          <w:rFonts w:ascii="Times New Roman;sans-serif" w:hAnsi="Times New Roman;sans-serif"/>
          <w:b w:val="false"/>
          <w:color w:val="000000"/>
          <w:sz w:val="18"/>
          <w:highlight w:val="white"/>
        </w:rPr>
        <w:t>ded March 31, 2023 and 2022, respectively, the total of which was derived by assuming that target performance will be achieved during the relevant performance</w:t>
      </w:r>
      <w:r>
        <w:rPr>
          <w:color w:val="000000"/>
        </w:rPr>
        <w:t xml:space="preserve"> </w:t>
      </w:r>
      <w:r>
        <w:rPr>
          <w:rFonts w:ascii="Times New Roman;sans-serif" w:hAnsi="Times New Roman;sans-serif"/>
          <w:b w:val="false"/>
          <w:color w:val="000000"/>
          <w:sz w:val="18"/>
        </w:rPr>
        <w:t xml:space="preserve">period. </w:t>
      </w:r>
    </w:p>
    <w:p>
      <w:pPr>
        <w:pStyle w:val="TextBody"/>
        <w:spacing w:before="0" w:after="0"/>
        <w:jc w:val="both"/>
        <w:rPr/>
      </w:pPr>
      <w:r>
        <w:rPr/>
      </w:r>
    </w:p>
    <w:p>
      <w:pPr>
        <w:pStyle w:val="TextBody"/>
        <w:spacing w:lineRule="auto" w:line="288" w:before="120" w:after="283"/>
        <w:jc w:val="both"/>
        <w:rPr/>
      </w:pP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 xml:space="preserve">The Company’s effective tax rate was 37.6% for the three months ended March 31, 2023, compared to 19.9% for the corresponding period in 2022. The effective tax rate increase was primarily due to the MountainWest sale, and includes the impact of book versus tax basis differences related to the transaction (See </w:t>
      </w:r>
      <w:r>
        <w:rPr>
          <w:rFonts w:ascii="Times New Roman;sans-serif" w:hAnsi="Times New Roman;sans-serif"/>
          <w:b/>
          <w:color w:val="000000"/>
          <w:sz w:val="20"/>
        </w:rPr>
        <w:t>Note 8 - Dispositions</w:t>
      </w:r>
      <w:r>
        <w:rPr>
          <w:rFonts w:ascii="Times New Roman;sans-serif" w:hAnsi="Times New Roman;sans-serif"/>
          <w:b w:val="false"/>
          <w:color w:val="000000"/>
          <w:sz w:val="20"/>
        </w:rPr>
        <w: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Southwest’s effective tax rate was 18.3% for the three months ended March 31, 2023, compared to 20.6% in the prior year quarter. These amounts varied from the statutory rate primarily as the result of the amortization of excess deferred income taxes.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the Internal Revenue Service (“IRS”) issued Revenue Procedure 2023-15, which provides a safe harbor method of accounting that taxpayers may use to determine whether expenditures to repair, maintain, replace, or improve natural gas transmission and distribution property must be capitalized for tax purposes. The Company and Southwest are currently reviewing this revenue procedure to determine the potential impact on their financial position, results of operations, and cash flows.</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28650"/>
                <wp:effectExtent l="0" t="0" r="0" b="0"/>
                <wp:wrapNone/>
                <wp:docPr id="16" name="Frame1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Standards Updates.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pronouncements effective or adopted in 2023:</w:t>
      </w:r>
    </w:p>
    <w:p>
      <w:pPr>
        <w:pStyle w:val="TextBody"/>
        <w:spacing w:lineRule="auto" w:line="288" w:before="120" w:after="283"/>
        <w:jc w:val="both"/>
        <w:rPr/>
      </w:pPr>
      <w:r>
        <w:rPr>
          <w:rFonts w:ascii="Times New Roman;sans-serif" w:hAnsi="Times New Roman;sans-serif"/>
          <w:b w:val="false"/>
          <w:color w:val="000000"/>
          <w:sz w:val="20"/>
        </w:rPr>
        <w:t xml:space="preserve">In March 2020, the Financial Accounting Standards Board (“FASB”) issued Accounting Standards Update (“ASU”) 2020-04 “Reference Rate Reform (Topic 848): Facilitation of the Effects of Reference Rate Reform on Financial Reporting.” The update provides optional guidance for a limited time to ease the potential burden in accounting for, or recognizing the effects of, reference rate reform on financial reporting, including when modifying a contract (during the eligibility period covered by the update to the topic) to replace a reference rate affected by reference rate reform. The update applies only to contracts and hedging relationships that reference the London Interbank Offered Rate (“LIBOR”) or another reference rate expected to be discontinued due to reference rate reform. In December 2022, the FASB issued ASU 2022-06 “Reference Rate Reform (Topic 848): Deferral of the Sunset Date of Topic 848.” The update provides deferral of the sunset date of Topic 848 from December 31, 2022 to December 31, 2024. Management will continue to monitor the impacts this update might have on the Company’s and Southwest’s consolidated financial statements and disclosures, and will reflect such appropriately, in the event that the optional guidance is elected. See also LIBOR discussion in </w:t>
      </w:r>
      <w:r>
        <w:rPr>
          <w:rFonts w:ascii="Times New Roman;sans-serif" w:hAnsi="Times New Roman;sans-serif"/>
          <w:b/>
          <w:color w:val="000000"/>
          <w:sz w:val="20"/>
        </w:rPr>
        <w:t>Note 5 – Debt</w:t>
      </w:r>
      <w:r>
        <w:rPr>
          <w:rFonts w:ascii="Times New Roman;sans-serif" w:hAnsi="Times New Roman;sans-serif"/>
          <w:b w:val="false"/>
          <w:color w:val="000000"/>
          <w:sz w:val="20"/>
        </w:rPr>
        <w:t xml:space="preserv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other recently issued accounting standards updates that are expected to be adopted or material to Southwest or the Company effective in 2023 or thereafter. </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28650"/>
                <wp:effectExtent l="0" t="0" r="0" b="0"/>
                <wp:wrapNone/>
                <wp:docPr id="17" name="Frame1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2 – Components of Net Periodic Benefit Cost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Southwest has a noncontributory qualified retirement plan with defined benefits covering substantially all employees for employees hired before 2022 and a separate unfunded supplemental retirement plan (“SERP”), which is limited to officers also hired before 2022. Southwest also provides limited postretirement benefits other than pensions (“PBOP”) to its qualified retirees for health care, dental, and life insurance.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service cost component of net periodic benefit costs included in the table below is a component of an overhead loading process associated with the cost of labor. The overhead process ultimately results in allocation of service cost to the same accounts to which productive labor is charged. As a result, service costs become components of various accounts, primarily operations and maintenance expense, net regulated operations plant, and deferred charges and other assets for both the Company and Southwest. The other components of net periodic benefit cost are reflected in Other income (deductions) on the Condensed Consolidated Statements of Income of each entity. Variability in total net periodic benefit cost between periods, especially with regard to the Qualified Retirement Plan, is subject to changes in underlying actuarial assumptions between periods, notably the discount rate.</w:t>
      </w:r>
    </w:p>
    <w:tbl>
      <w:tblPr>
        <w:tblW w:w="7994" w:type="dxa"/>
        <w:jc w:val="left"/>
        <w:tblInd w:w="0" w:type="dxa"/>
        <w:tblCellMar>
          <w:top w:w="28" w:type="dxa"/>
          <w:left w:w="28" w:type="dxa"/>
          <w:bottom w:w="28" w:type="dxa"/>
          <w:right w:w="28" w:type="dxa"/>
        </w:tblCellMar>
      </w:tblPr>
      <w:tblGrid>
        <w:gridCol w:w="1054"/>
        <w:gridCol w:w="924"/>
        <w:gridCol w:w="931"/>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54"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8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Qualified Retirement Plan</w:t>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85" w:type="dxa"/>
            <w:gridSpan w:val="21"/>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w:t>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actuarial loss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8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SERP</w:t>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85" w:type="dxa"/>
            <w:gridSpan w:val="21"/>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w:t>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actuarial loss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8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PBOP</w:t>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85" w:type="dxa"/>
            <w:gridSpan w:val="21"/>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w:t>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28650"/>
                <wp:effectExtent l="0" t="0" r="0" b="0"/>
                <wp:wrapNone/>
                <wp:docPr id="18" name="Frame1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3 – Revenue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about the Company’s revenues is presented by segment. Southwest encompasses the natural gas distribution segment. Centuri encompasses the utility infrastructure services segment. MountainWest, commencing January 2022 (following its acquisition) and until its sale in mid-February 2023, encompassed the pipeline and storage segment.</w:t>
      </w:r>
    </w:p>
    <w:p>
      <w:pPr>
        <w:pStyle w:val="TextBody"/>
        <w:spacing w:lineRule="auto" w:line="288" w:before="120" w:after="283"/>
        <w:jc w:val="both"/>
        <w:rPr/>
      </w:pPr>
      <w:r>
        <w:rPr>
          <w:rFonts w:ascii="Times New Roman;sans-serif" w:hAnsi="Times New Roman;sans-serif"/>
          <w:b w:val="false"/>
          <w:i/>
          <w:color w:val="000000"/>
          <w:sz w:val="20"/>
        </w:rPr>
        <w:t>Natural Gas Distribution Segment</w:t>
      </w:r>
      <w:r>
        <w:rPr>
          <w:rFonts w:ascii="Times New Roman;sans-serif" w:hAnsi="Times New Roman;sans-serif"/>
          <w:b w:val="false"/>
          <w:color w:val="000000"/>
          <w:sz w:val="20"/>
        </w:rPr>
        <w: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Southwest’s operating revenues included on the Condensed Consolidated Statements of Income of both the Company and Southwest include revenue from contracts with customers, which is shown below, disaggregated by customer type, in addition to other categories of revenue:</w:t>
      </w:r>
    </w:p>
    <w:tbl>
      <w:tblPr>
        <w:tblW w:w="9060" w:type="dxa"/>
        <w:jc w:val="left"/>
        <w:tblInd w:w="0" w:type="dxa"/>
        <w:tblCellMar>
          <w:top w:w="28" w:type="dxa"/>
          <w:left w:w="28" w:type="dxa"/>
          <w:bottom w:w="28" w:type="dxa"/>
          <w:right w:w="28" w:type="dxa"/>
        </w:tblCellMar>
      </w:tblPr>
      <w:tblGrid>
        <w:gridCol w:w="1304"/>
        <w:gridCol w:w="1146"/>
        <w:gridCol w:w="1150"/>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1304"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Twelve Months Ended March 31,</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(Thousands of dollars)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1,147,055 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 commercial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312,800 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commercial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Industrial/other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Transportation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contracts with customers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1,657,565 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Alternative revenue program revenues (deferrals)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 (1)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Regulated operations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1,676,397 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(1) Amounts include late fees and other miscellaneous revenues, and may also include the impact of certain regulatory mechanisms. Also includes the impacts of a temporary moratorium on late fees and disconnection for nonpayment during the COVID-19 pandemic.</w:t>
      </w:r>
    </w:p>
    <w:p>
      <w:pPr>
        <w:pStyle w:val="TextBody"/>
        <w:spacing w:lineRule="auto" w:line="288" w:before="120" w:after="283"/>
        <w:rPr/>
      </w:pPr>
      <w:r>
        <w:rPr>
          <w:rFonts w:ascii="Times New Roman;sans-serif" w:hAnsi="Times New Roman;sans-serif"/>
          <w:b w:val="false"/>
          <w:i/>
          <w:color w:val="000000"/>
          <w:sz w:val="20"/>
        </w:rPr>
        <w:t>Utility Infrastructure Services Segment</w:t>
      </w:r>
      <w:r>
        <w:rPr>
          <w:rFonts w:ascii="Times New Roman;sans-serif" w:hAnsi="Times New Roman;sans-serif"/>
          <w:b w:val="false"/>
          <w:color w:val="000000"/>
          <w:sz w:val="20"/>
        </w:rPr>
        <w: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display Centuri’s revenue, reflected as Utility infrastructure services revenues on the Condensed Consolidated Statements of Income of the Company, representing revenue from contracts with customers disaggregated by service and contract types:</w:t>
      </w:r>
    </w:p>
    <w:tbl>
      <w:tblPr>
        <w:tblW w:w="8715" w:type="dxa"/>
        <w:jc w:val="left"/>
        <w:tblInd w:w="0" w:type="dxa"/>
        <w:tblCellMar>
          <w:top w:w="28" w:type="dxa"/>
          <w:left w:w="28" w:type="dxa"/>
          <w:bottom w:w="28" w:type="dxa"/>
          <w:right w:w="28" w:type="dxa"/>
        </w:tblCellMar>
      </w:tblPr>
      <w:tblGrid>
        <w:gridCol w:w="1179"/>
        <w:gridCol w:w="1036"/>
        <w:gridCol w:w="1040"/>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117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Twelve Months Ended March 31,</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(Thousands of dollars)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Types: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Gas infrastructure services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297,408 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1,568,544 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1,341,185 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Electric power infrastructure services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233,640 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829,796 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613,209 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491,403 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364,169 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Utility infrastructure services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2,889,743 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2,318,563 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714" w:type="dxa"/>
        <w:jc w:val="left"/>
        <w:tblInd w:w="0" w:type="dxa"/>
        <w:tblCellMar>
          <w:top w:w="28" w:type="dxa"/>
          <w:left w:w="28" w:type="dxa"/>
          <w:bottom w:w="28" w:type="dxa"/>
          <w:right w:w="28" w:type="dxa"/>
        </w:tblCellMar>
      </w:tblPr>
      <w:tblGrid>
        <w:gridCol w:w="1178"/>
        <w:gridCol w:w="1036"/>
        <w:gridCol w:w="1040"/>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1178"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Twelve Months Ended March 31,</w:t>
            </w:r>
          </w:p>
        </w:tc>
      </w:tr>
      <w:tr>
        <w:trPr/>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(Thousands of dollars)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Types: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Master services agreement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445,345 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2,444,481 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1,804,643 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Bid contract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445,262 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513,920 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Utility infrastructure services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2,889,743 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2,318,563 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 price contracts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328,527 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1,437,156 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price contracts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319,685 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Time and materials contracts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677,191 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561,722 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Utility infrastructure services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2,889,743 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2,318,563 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identified a misstatement in the first quarter 2022 disclosure which resulted in an understatement of $88.8 million in the master services agreement category and an overstatement by the same amount in the bid contract category. Management concluded this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28650"/>
                <wp:effectExtent l="0" t="0" r="0" b="0"/>
                <wp:wrapNone/>
                <wp:docPr id="19" name="Frame1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item was not material to the previously issued financial statements and revised the disclosures for the three- and twelve- months ended March 31, 2022.</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contracts receivable and revenue earned on contracts in progress in excess of billings (contract assets), both of which are included within Accounts receivable, net of allowances, as well as amounts billed in excess of revenue earned on contracts (contract liabilities), which are included in Other current liabilities as of March 31, 2023 and December 31, 2022 on the Company’s Condensed Consolidated Balance Sheets:</w:t>
      </w:r>
    </w:p>
    <w:tbl>
      <w:tblPr>
        <w:tblW w:w="8504" w:type="dxa"/>
        <w:jc w:val="left"/>
        <w:tblInd w:w="0" w:type="dxa"/>
        <w:tblCellMar>
          <w:top w:w="28" w:type="dxa"/>
          <w:left w:w="28" w:type="dxa"/>
          <w:bottom w:w="28" w:type="dxa"/>
          <w:right w:w="28" w:type="dxa"/>
        </w:tblCellMar>
      </w:tblPr>
      <w:tblGrid>
        <w:gridCol w:w="1832"/>
        <w:gridCol w:w="1607"/>
        <w:gridCol w:w="1616"/>
        <w:gridCol w:w="257"/>
        <w:gridCol w:w="1006"/>
        <w:gridCol w:w="133"/>
        <w:gridCol w:w="109"/>
        <w:gridCol w:w="109"/>
        <w:gridCol w:w="109"/>
        <w:gridCol w:w="305"/>
        <w:gridCol w:w="1197"/>
        <w:gridCol w:w="224"/>
      </w:tblGrid>
      <w:tr>
        <w:trPr/>
        <w:tc>
          <w:tcPr>
            <w:tcW w:w="1832"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receivable, net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322,558 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394,022 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earned on contracts in progress in excess of billings</w:t>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279,624 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238,059 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billed in excess of revenue earned on contracts</w:t>
            </w:r>
          </w:p>
        </w:tc>
        <w:tc>
          <w:tcPr>
            <w:tcW w:w="12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39,595 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35,769 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revenue earned on contracts in progress in excess of billings (contract asset) primarily relates to Centuri’s right to consideration for work completed but not billed and/or approved for billing at the reporting date. These contract assets are transferred to contracts receivable when the rights become unconditional. The amounts billed in excess of revenue earned (contract liability) primarily relate to the advance consideration received from customers for which work has not yet been completed. The change in this contract liability balance from December 31, 2022 to March 31, 2023 increased due to amounts received for services not yet performed, net of revenue recognized.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contracts that have an original duration of one year or less, Centuri uses the practical expedient applicable to such contracts and does not consider/compute an interest component based on the time value of money. Furthermore, because of the short duration of these contracts, Centuri has not disclosed the transaction price for the remaining performance obligations as of the end of each reporting period or when the Company expects to recognize the revenue.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Centuri had 62 fixed price contracts with an original duration of more than one year. The aggregate amount of the transaction price allocated to the unsatisfied performance obligations of these contracts as of March 31, 2023 was $458.2 million. Centuri expects to recognize the remaining performance obligations over approximately the next two years; however, the timing of that recognition is largely within the control of the customer, including when the necessary materials required to complete the work are provided by the customer.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Utility infrastructure services contracts receivable consists of the following:</w:t>
      </w:r>
    </w:p>
    <w:tbl>
      <w:tblPr>
        <w:tblW w:w="8069" w:type="dxa"/>
        <w:jc w:val="left"/>
        <w:tblInd w:w="0" w:type="dxa"/>
        <w:tblCellMar>
          <w:top w:w="28" w:type="dxa"/>
          <w:left w:w="28" w:type="dxa"/>
          <w:bottom w:w="28" w:type="dxa"/>
          <w:right w:w="28" w:type="dxa"/>
        </w:tblCellMar>
      </w:tblPr>
      <w:tblGrid>
        <w:gridCol w:w="1674"/>
        <w:gridCol w:w="1468"/>
        <w:gridCol w:w="1478"/>
        <w:gridCol w:w="257"/>
        <w:gridCol w:w="1006"/>
        <w:gridCol w:w="133"/>
        <w:gridCol w:w="109"/>
        <w:gridCol w:w="109"/>
        <w:gridCol w:w="109"/>
        <w:gridCol w:w="305"/>
        <w:gridCol w:w="1197"/>
        <w:gridCol w:w="224"/>
      </w:tblGrid>
      <w:tr>
        <w:trPr/>
        <w:tc>
          <w:tcPr>
            <w:tcW w:w="1674"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 on completed contracts and contracts in progress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325,528 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395,771 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receivable, gross</w:t>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327,266 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398,340 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receivable, net</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322,558 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394,022 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Pipeline and Storage Segment: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MountainWest Regulated operations revenues on the Condensed Consolidated Statements of Income of the Company include revenue from contracts with customers, which is shown below, disaggregated by categories of sales and service activities. The information for 2023 reflects activity from January 1, 2023 through February 13, 2023 (the last full day of ownership).</w:t>
      </w:r>
    </w:p>
    <w:tbl>
      <w:tblPr>
        <w:tblW w:w="6653" w:type="dxa"/>
        <w:jc w:val="left"/>
        <w:tblInd w:w="0" w:type="dxa"/>
        <w:tblCellMar>
          <w:top w:w="28" w:type="dxa"/>
          <w:left w:w="28" w:type="dxa"/>
          <w:bottom w:w="28" w:type="dxa"/>
          <w:right w:w="28" w:type="dxa"/>
        </w:tblCellMar>
      </w:tblPr>
      <w:tblGrid>
        <w:gridCol w:w="1521"/>
        <w:gridCol w:w="1335"/>
        <w:gridCol w:w="1343"/>
        <w:gridCol w:w="211"/>
        <w:gridCol w:w="721"/>
        <w:gridCol w:w="109"/>
        <w:gridCol w:w="109"/>
        <w:gridCol w:w="109"/>
        <w:gridCol w:w="109"/>
        <w:gridCol w:w="211"/>
        <w:gridCol w:w="721"/>
        <w:gridCol w:w="154"/>
      </w:tblGrid>
      <w:tr>
        <w:trPr/>
        <w:tc>
          <w:tcPr>
            <w:tcW w:w="1521"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gas transportation and storage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revenues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operations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28650"/>
                <wp:effectExtent l="0" t="0" r="0" b="0"/>
                <wp:wrapNone/>
                <wp:docPr id="20" name="Frame2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Note 4 – Common Stock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Shares of the Company’s common stock are publicly traded on the New York Stock Exchange, under the ticker symbol “SWX.” Share-based compensation related to Southwest and Centuri is based on stock awards to be issued in shares of Southwest Gas Holdings, Inc.</w:t>
      </w:r>
    </w:p>
    <w:p>
      <w:pPr>
        <w:pStyle w:val="TextBody"/>
        <w:spacing w:lineRule="auto" w:line="288" w:before="120" w:after="283"/>
        <w:jc w:val="both"/>
        <w:rPr/>
      </w:pPr>
      <w:r>
        <w:rPr>
          <w:rFonts w:ascii="Times New Roman;sans-serif" w:hAnsi="Times New Roman;sans-serif"/>
          <w:b w:val="false"/>
          <w:color w:val="000000"/>
          <w:sz w:val="20"/>
        </w:rPr>
        <w:t>On April 8, 2021, the Company entered into a Sales Agency Agreement between the Company and BNY Mellon Capital Markets, LLC and J.P. Morgan Securities LLC (the “Equity Shelf Program”) for the offer and sale of up to $500 million of common stock from time to time in an at-the-market offering program. The shares are issued pursuant to the Company’s automatic shelf registration statement on Form S-3 (File No. 333-251074), or “the Universal Shelf.” There wa</w:t>
      </w:r>
      <w:r>
        <w:rPr>
          <w:rFonts w:ascii="Times New Roman;sans-serif" w:hAnsi="Times New Roman;sans-serif"/>
          <w:b w:val="false"/>
          <w:color w:val="000000"/>
          <w:sz w:val="20"/>
          <w:highlight w:val="white"/>
        </w:rPr>
        <w:t xml:space="preserve">s no activity </w:t>
      </w:r>
      <w:r>
        <w:rPr>
          <w:rFonts w:ascii="Times New Roman;sans-serif" w:hAnsi="Times New Roman;sans-serif"/>
          <w:b w:val="false"/>
          <w:color w:val="000000"/>
          <w:sz w:val="20"/>
        </w:rPr>
        <w:t>under the Equity Shelf Program during the quarter ended March 31, 2023. The following table provides the life-to-date activity under that program through March 31, 2023:</w:t>
      </w:r>
    </w:p>
    <w:tbl>
      <w:tblPr>
        <w:tblW w:w="4791" w:type="dxa"/>
        <w:jc w:val="center"/>
        <w:tblInd w:w="0" w:type="dxa"/>
        <w:tblCellMar>
          <w:top w:w="28" w:type="dxa"/>
          <w:left w:w="28" w:type="dxa"/>
          <w:bottom w:w="28" w:type="dxa"/>
          <w:right w:w="28" w:type="dxa"/>
        </w:tblCellMar>
      </w:tblPr>
      <w:tblGrid>
        <w:gridCol w:w="1013"/>
        <w:gridCol w:w="893"/>
        <w:gridCol w:w="898"/>
        <w:gridCol w:w="109"/>
        <w:gridCol w:w="109"/>
        <w:gridCol w:w="109"/>
        <w:gridCol w:w="109"/>
        <w:gridCol w:w="211"/>
        <w:gridCol w:w="1186"/>
        <w:gridCol w:w="154"/>
      </w:tblGrid>
      <w:tr>
        <w:trPr/>
        <w:tc>
          <w:tcPr>
            <w:tcW w:w="1013"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proceeds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158,180,343 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agent commissions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(1,581,803)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156,598,540 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sold</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2,302,407 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price per share</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pPr>
      <w:r>
        <w:rPr>
          <w:rFonts w:ascii="Times New Roman;sans-serif" w:hAnsi="Times New Roman;sans-serif"/>
          <w:b w:val="false"/>
          <w:color w:val="000000"/>
          <w:sz w:val="20"/>
        </w:rPr>
        <w:t xml:space="preserve">As of March 31, 2023, the Company had approximately </w:t>
      </w:r>
      <w:r>
        <w:rPr>
          <w:rFonts w:ascii="Times New Roman;sans-serif" w:hAnsi="Times New Roman;sans-serif"/>
          <w:b w:val="false"/>
          <w:color w:val="000000"/>
          <w:sz w:val="20"/>
          <w:highlight w:val="white"/>
        </w:rPr>
        <w:t>$342 million</w:t>
      </w:r>
      <w:r>
        <w:rPr>
          <w:color w:val="000000"/>
        </w:rPr>
        <w:t xml:space="preserve"> </w:t>
      </w:r>
      <w:r>
        <w:rPr>
          <w:rFonts w:ascii="Times New Roman;sans-serif" w:hAnsi="Times New Roman;sans-serif"/>
          <w:b w:val="false"/>
          <w:color w:val="000000"/>
          <w:sz w:val="20"/>
        </w:rPr>
        <w:t xml:space="preserve">in common stock available for sale under the program.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the Company issued, through a separate prospectus supplement under the Universal Shelf, an aggregate of 4.1 million shares of common stock, at an underwritten public offering price of $60.12 per share, resulting in net proceeds to the Company of $238.4 million, net of an underwriter’s discount of $8.3 million and estimated expenses of the offering. Approximately $140 million (2.3 million shares) of the offering was purchased by certain funds affiliated with Carl C. Icahn, a significant stockholder beneficially owning more that 10% of the outstanding stock of the Company. The Company used the net proceeds to repay outstanding amounts under the Company’s credit facility, with the remaining proceeds used to pay off residual amounts outstanding under the loan entered into in November 2021 in connection with the acquisition of MountainWest and the remainder, for working capital and general corporate purposes.</w:t>
      </w:r>
    </w:p>
    <w:p>
      <w:pPr>
        <w:pStyle w:val="TextBody"/>
        <w:spacing w:lineRule="auto" w:line="288" w:before="120" w:after="283"/>
        <w:jc w:val="both"/>
        <w:rPr/>
      </w:pPr>
      <w:r>
        <w:rPr>
          <w:rFonts w:ascii="Times New Roman;sans-serif" w:hAnsi="Times New Roman;sans-serif"/>
          <w:b w:val="false"/>
          <w:color w:val="000000"/>
          <w:sz w:val="20"/>
        </w:rPr>
        <w:t xml:space="preserve">During the three months ended March 31, 2023, the Company issued approximately </w:t>
      </w:r>
      <w:r>
        <w:rPr>
          <w:rFonts w:ascii="Times New Roman;sans-serif" w:hAnsi="Times New Roman;sans-serif"/>
          <w:b w:val="false"/>
          <w:color w:val="000000"/>
          <w:sz w:val="20"/>
          <w:highlight w:val="white"/>
        </w:rPr>
        <w:t>54,000</w:t>
      </w:r>
      <w:r>
        <w:rPr>
          <w:color w:val="000000"/>
        </w:rPr>
        <w:t xml:space="preserve"> </w:t>
      </w:r>
      <w:r>
        <w:rPr>
          <w:rFonts w:ascii="Times New Roman;sans-serif" w:hAnsi="Times New Roman;sans-serif"/>
          <w:b w:val="false"/>
          <w:color w:val="000000"/>
          <w:sz w:val="20"/>
        </w:rPr>
        <w:t>shares of common stock through the Restricted Stock/Unit Plan and Omnibus Incentive Plan.</w:t>
      </w:r>
    </w:p>
    <w:p>
      <w:pPr>
        <w:pStyle w:val="TextBody"/>
        <w:spacing w:lineRule="auto" w:line="288" w:before="120" w:after="283"/>
        <w:jc w:val="both"/>
        <w:rPr/>
      </w:pPr>
      <w:r>
        <w:rPr>
          <w:rFonts w:ascii="Times New Roman;sans-serif" w:hAnsi="Times New Roman;sans-serif"/>
          <w:b w:val="false"/>
          <w:color w:val="000000"/>
          <w:sz w:val="20"/>
        </w:rPr>
        <w:t xml:space="preserve">Additionally, during the three months ended March 31, 2023, the Company issued </w:t>
      </w:r>
      <w:r>
        <w:rPr>
          <w:rFonts w:ascii="Times New Roman;sans-serif" w:hAnsi="Times New Roman;sans-serif"/>
          <w:b w:val="false"/>
          <w:color w:val="000000"/>
          <w:sz w:val="20"/>
          <w:highlight w:val="white"/>
        </w:rPr>
        <w:t>46,000</w:t>
      </w:r>
      <w:r>
        <w:rPr>
          <w:color w:val="000000"/>
        </w:rPr>
        <w:t xml:space="preserve"> </w:t>
      </w:r>
      <w:r>
        <w:rPr>
          <w:rFonts w:ascii="Times New Roman;sans-serif" w:hAnsi="Times New Roman;sans-serif"/>
          <w:b w:val="false"/>
          <w:color w:val="000000"/>
          <w:sz w:val="20"/>
        </w:rPr>
        <w:t xml:space="preserve">shares of common stock through the Dividend Reinvestment and Stock Purchase Plan, raising approximately </w:t>
      </w:r>
      <w:r>
        <w:rPr>
          <w:rFonts w:ascii="Times New Roman;sans-serif" w:hAnsi="Times New Roman;sans-serif"/>
          <w:b w:val="false"/>
          <w:color w:val="000000"/>
          <w:sz w:val="20"/>
          <w:highlight w:val="white"/>
        </w:rPr>
        <w:t>$2.7 million</w:t>
      </w:r>
      <w:r>
        <w:rPr>
          <w:rFonts w:ascii="Times New Roman;sans-serif" w:hAnsi="Times New Roman;sans-serif"/>
          <w:b w:val="false"/>
          <w:color w:val="000000"/>
          <w:sz w:val="20"/>
        </w:rPr>
        <w:t>.</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28650"/>
                <wp:effectExtent l="0" t="0" r="0" b="0"/>
                <wp:wrapNone/>
                <wp:docPr id="21" name="Frame2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Note 5 – Debt </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Long-Term Debt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is recognized in the Company’s and Southwest’s Condensed Consolidated Balance Sheets generally at the carrying value of the obligations outstanding. Details surrounding the fair value and individual carrying values of instruments are provided in the table that follows. </w:t>
      </w:r>
    </w:p>
    <w:tbl>
      <w:tblPr>
        <w:tblW w:w="10205" w:type="dxa"/>
        <w:jc w:val="left"/>
        <w:tblInd w:w="0" w:type="dxa"/>
        <w:tblCellMar>
          <w:top w:w="28" w:type="dxa"/>
          <w:left w:w="28" w:type="dxa"/>
          <w:bottom w:w="28" w:type="dxa"/>
          <w:right w:w="28" w:type="dxa"/>
        </w:tblCellMar>
      </w:tblPr>
      <w:tblGrid>
        <w:gridCol w:w="1482"/>
        <w:gridCol w:w="1238"/>
        <w:gridCol w:w="1246"/>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6"/>
      </w:tblGrid>
      <w:tr>
        <w:trPr/>
        <w:tc>
          <w:tcPr>
            <w:tcW w:w="1482"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3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Southwest Gas Corporation: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Debentures: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6.1%, due 2041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113,184 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4.05%, due 2032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527,052 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4.875%, due 2043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195,703 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3.8%, due 2046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209,169 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3.7%, due 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275,043 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5.45%, due 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4.15%, due 2049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218,712 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2.2%, due 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353,763 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3.18%, due 2051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185,523 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5.8%, due 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305,913 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 Series, due 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Medium-term notes, 7.92% series, due 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Medium-term notes, 6.76% series, due 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and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and commercial paper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development revenue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Tax-exempt Series A, due 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2003 Series A, due 2038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2008 Series A, due 2038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2009 Series A, due 2039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and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Southwest Gas Corporation total long-term debt, less current maturities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Southwest Gas Holdings,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Centuri secured term loan facility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1,002,825 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997,832 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995,852 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Centuri 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82,315 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118,314 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and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Southwest Gas Holdings, Inc. total long-term debt, less current maturities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28650"/>
                <wp:effectExtent l="0" t="0" r="0" b="0"/>
                <wp:wrapNone/>
                <wp:docPr id="22" name="Frame2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120" w:after="283"/>
        <w:jc w:val="both"/>
        <w:rPr/>
      </w:pPr>
      <w:r>
        <w:rPr>
          <w:rFonts w:ascii="Times New Roman;sans-serif" w:hAnsi="Times New Roman;sans-serif"/>
          <w:b w:val="false"/>
          <w:color w:val="000000"/>
          <w:sz w:val="20"/>
        </w:rPr>
        <w:t>Southwest has a $400 million credit facility that is scheduled to expire in April 2025. Southwest designates $150 million of associated capacity as long-term debt and the remaining $250 million for working capital purposes. Interest rates for the credit facility are calculated at either the Secured Overnight Financing Rate (“SOFR”) or an “alternate base rate,” plus in each case an applicable margin that is determined based on Southwest’s senior unsecured debt rating. At March 31, 2023, the applicable margi</w:t>
      </w:r>
      <w:r>
        <w:rPr>
          <w:rFonts w:ascii="Times New Roman;sans-serif" w:hAnsi="Times New Roman;sans-serif"/>
          <w:b w:val="false"/>
          <w:color w:val="000000"/>
          <w:sz w:val="20"/>
          <w:highlight w:val="white"/>
        </w:rPr>
        <w:t>n is 1.125% for loans bearing interest with reference to SOFR and 0.125%</w:t>
      </w:r>
      <w:r>
        <w:rPr>
          <w:color w:val="000000"/>
        </w:rPr>
        <w:t xml:space="preserve"> </w:t>
      </w:r>
      <w:r>
        <w:rPr>
          <w:rFonts w:ascii="Times New Roman;sans-serif" w:hAnsi="Times New Roman;sans-serif"/>
          <w:b w:val="false"/>
          <w:color w:val="000000"/>
          <w:sz w:val="20"/>
        </w:rPr>
        <w:t xml:space="preserve">for loans bearing interest with reference to the alternative base rate. At March 31, 2023, </w:t>
      </w:r>
      <w:r>
        <w:rPr>
          <w:rFonts w:ascii="Times New Roman;sans-serif" w:hAnsi="Times New Roman;sans-serif"/>
          <w:b w:val="false"/>
          <w:color w:val="000000"/>
          <w:sz w:val="20"/>
          <w:highlight w:val="white"/>
        </w:rPr>
        <w:t>no</w:t>
      </w:r>
      <w:r>
        <w:rPr>
          <w:color w:val="000000"/>
        </w:rPr>
        <w:t xml:space="preserve"> </w:t>
      </w:r>
      <w:r>
        <w:rPr>
          <w:rFonts w:ascii="Times New Roman;sans-serif" w:hAnsi="Times New Roman;sans-serif"/>
          <w:b w:val="false"/>
          <w:color w:val="000000"/>
          <w:sz w:val="20"/>
        </w:rPr>
        <w:t>borrowings were outstanding on the long-te</w:t>
      </w:r>
      <w:r>
        <w:rPr>
          <w:rFonts w:ascii="Times New Roman;sans-serif" w:hAnsi="Times New Roman;sans-serif"/>
          <w:b w:val="false"/>
          <w:color w:val="000000"/>
          <w:sz w:val="20"/>
          <w:highlight w:val="white"/>
        </w:rPr>
        <w:t>rm portion (including under the commercial paper program), nor under the short-term portion of the facility.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Centuri has a $1.545 billion secured revolving credit and term loan multi-currency facility. Amounts can be borrowed in either Canadian or U.S. dollars. The revolving credit facility matures on August 27, 2026 and the term loan facility matures on August 27, 2028. Interest rates for the revolving credit facility are based on SOFR, plus an applicable margin; the term loan facility is based on LIBOR, plus an applicable margin. The capacity of the line of credit portion of the facility is $400 million; related amounts borrowed and repaid are available to be re-borrowed. The term loan portion of the facility has a limit of $1.145 billion.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Centuri’s assets securing the facility at March 31, 2023 totaled $2.4 billion. At March 31, 2023, $1.022 billion in borrowings were outstanding under Centuri’s combined secured revolving credit and term loan facility.</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March 2023, Southwest issued $300 million aggregate principal amount of 5.450% Senior Notes (the “March 2023 Notes”). The notes will mature in March 2028. Southwest used the net proceeds to repay amounts outstanding under its credit facility and the remainder for general corporate purposes.</w:t>
      </w:r>
    </w:p>
    <w:p>
      <w:pPr>
        <w:pStyle w:val="TextBody"/>
        <w:spacing w:lineRule="auto" w:line="288" w:before="120" w:after="283"/>
        <w:jc w:val="both"/>
        <w:rPr/>
      </w:pPr>
      <w:r>
        <w:rPr>
          <w:rFonts w:ascii="Times New Roman;sans-serif" w:hAnsi="Times New Roman;sans-serif"/>
          <w:b w:val="false"/>
          <w:color w:val="000000"/>
          <w:sz w:val="20"/>
          <w:highlight w:val="white"/>
        </w:rPr>
        <w:t xml:space="preserve">In April 2023, </w:t>
      </w:r>
      <w:r>
        <w:rPr>
          <w:rFonts w:ascii="Times New Roman;sans-serif" w:hAnsi="Times New Roman;sans-serif"/>
          <w:b w:val="false"/>
          <w:color w:val="000000"/>
          <w:sz w:val="20"/>
        </w:rPr>
        <w:t>Southwest Gas Holdings, Inc.</w:t>
      </w:r>
      <w:r>
        <w:rPr>
          <w:color w:val="000000"/>
          <w:highlight w:val="white"/>
        </w:rPr>
        <w:t xml:space="preserve"> </w:t>
      </w:r>
      <w:r>
        <w:rPr>
          <w:rFonts w:ascii="Times New Roman;sans-serif" w:hAnsi="Times New Roman;sans-serif"/>
          <w:b w:val="false"/>
          <w:color w:val="000000"/>
          <w:sz w:val="20"/>
          <w:highlight w:val="white"/>
        </w:rPr>
        <w:t xml:space="preserve">entered into a $550 million Term Loan Credit Agreement that matures in October 2024. Southwest Gas Holdings, Inc. utilized a majority of the proceeds to make an equity contribution to Southwest. On April 17, 2023, Southwest utilized the equity contribution to repay, in full, amounts outstanding under its </w:t>
      </w:r>
      <w:r>
        <w:rPr>
          <w:rFonts w:ascii="Times New Roman;sans-serif" w:hAnsi="Times New Roman;sans-serif"/>
          <w:b w:val="false"/>
          <w:color w:val="000000"/>
          <w:sz w:val="20"/>
        </w:rPr>
        <w:t>$450 million</w:t>
      </w:r>
      <w:r>
        <w:rPr>
          <w:color w:val="000000"/>
          <w:highlight w:val="white"/>
        </w:rPr>
        <w:t xml:space="preserve"> </w:t>
      </w:r>
      <w:r>
        <w:rPr>
          <w:rFonts w:ascii="Times New Roman;sans-serif" w:hAnsi="Times New Roman;sans-serif"/>
          <w:b w:val="false"/>
          <w:color w:val="000000"/>
          <w:sz w:val="20"/>
          <w:highlight w:val="white"/>
        </w:rPr>
        <w:t xml:space="preserve">364-day term loan entered into in January 2023 (discussed below), with the remainder of the equity contribution used for working capital and general corporate purposes. </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Short-Term Debt</w:t>
      </w:r>
    </w:p>
    <w:p>
      <w:pPr>
        <w:pStyle w:val="TextBody"/>
        <w:spacing w:lineRule="auto" w:line="288" w:before="120" w:after="283"/>
        <w:jc w:val="both"/>
        <w:rPr/>
      </w:pPr>
      <w:r>
        <w:rPr>
          <w:rFonts w:ascii="Times New Roman;sans-serif" w:hAnsi="Times New Roman;sans-serif"/>
          <w:b w:val="false"/>
          <w:color w:val="000000"/>
          <w:sz w:val="20"/>
        </w:rPr>
        <w:t xml:space="preserve">Southwest Gas Holdings, Inc. has a $300 million credit facility that is scheduled to expire in December 2026 and is primarily used for short-term financing needs. Interest rates for the credit facility are calculated at either SOFR or the “alternate base rate,” plus in each case an applicable margin. There was </w:t>
      </w:r>
      <w:r>
        <w:rPr>
          <w:rFonts w:ascii="Times New Roman;sans-serif" w:hAnsi="Times New Roman;sans-serif"/>
          <w:b w:val="false"/>
          <w:color w:val="000000"/>
          <w:sz w:val="20"/>
          <w:highlight w:val="white"/>
        </w:rPr>
        <w:t>$18 million</w:t>
      </w:r>
      <w:r>
        <w:rPr>
          <w:color w:val="000000"/>
        </w:rPr>
        <w:t xml:space="preserve"> </w:t>
      </w:r>
      <w:r>
        <w:rPr>
          <w:rFonts w:ascii="Times New Roman;sans-serif" w:hAnsi="Times New Roman;sans-serif"/>
          <w:b w:val="false"/>
          <w:color w:val="000000"/>
          <w:sz w:val="20"/>
        </w:rPr>
        <w:t>outstanding under this credit facility as of March 31, 2023.</w:t>
      </w:r>
    </w:p>
    <w:p>
      <w:pPr>
        <w:pStyle w:val="TextBody"/>
        <w:spacing w:lineRule="auto" w:line="288" w:before="120" w:after="283"/>
        <w:jc w:val="both"/>
        <w:rPr/>
      </w:pPr>
      <w:r>
        <w:rPr>
          <w:rFonts w:ascii="Times New Roman;sans-serif" w:hAnsi="Times New Roman;sans-serif"/>
          <w:b w:val="false"/>
          <w:color w:val="000000"/>
          <w:sz w:val="20"/>
        </w:rPr>
        <w:t xml:space="preserve">As indicated above, under Southwest’s $400 million credit facility, </w:t>
      </w:r>
      <w:r>
        <w:rPr>
          <w:rFonts w:ascii="Times New Roman;sans-serif" w:hAnsi="Times New Roman;sans-serif"/>
          <w:b w:val="false"/>
          <w:color w:val="000000"/>
          <w:sz w:val="20"/>
          <w:highlight w:val="white"/>
        </w:rPr>
        <w:t>no</w:t>
      </w:r>
      <w:r>
        <w:rPr>
          <w:color w:val="000000"/>
        </w:rPr>
        <w:t xml:space="preserve"> </w:t>
      </w:r>
      <w:r>
        <w:rPr>
          <w:rFonts w:ascii="Times New Roman;sans-serif" w:hAnsi="Times New Roman;sans-serif"/>
          <w:b w:val="false"/>
          <w:color w:val="000000"/>
          <w:sz w:val="20"/>
        </w:rPr>
        <w:t xml:space="preserve">short-term borrowings were outstanding at March 31, 2023. </w:t>
      </w:r>
    </w:p>
    <w:p>
      <w:pPr>
        <w:pStyle w:val="TextBody"/>
        <w:spacing w:lineRule="auto" w:line="288" w:before="120" w:after="283"/>
        <w:jc w:val="both"/>
        <w:rPr/>
      </w:pPr>
      <w:r>
        <w:rPr>
          <w:rFonts w:ascii="Times New Roman;sans-serif" w:hAnsi="Times New Roman;sans-serif"/>
          <w:b w:val="false"/>
          <w:color w:val="000000"/>
          <w:sz w:val="20"/>
          <w:highlight w:val="white"/>
        </w:rPr>
        <w:t>In March 2022, Southwest amended it</w:t>
      </w:r>
      <w:r>
        <w:rPr>
          <w:rFonts w:ascii="Times New Roman;sans-serif" w:hAnsi="Times New Roman;sans-serif"/>
          <w:b w:val="false"/>
          <w:color w:val="000000"/>
          <w:sz w:val="20"/>
        </w:rPr>
        <w:t xml:space="preserve">s $250 million Term Loan (the “March 2021 Term Loan”), </w:t>
      </w:r>
      <w:r>
        <w:rPr>
          <w:rFonts w:ascii="Times New Roman;sans-serif" w:hAnsi="Times New Roman;sans-serif"/>
          <w:b w:val="false"/>
          <w:color w:val="000000"/>
          <w:sz w:val="20"/>
          <w:highlight w:val="white"/>
        </w:rPr>
        <w:t>extending the maturity date to March 21, 2023 and replacing LIBOR interest rate benchmarks with SOFR interest rate benchmarks. The proceeds were originally used to fund the increased cost of natural gas supply during the month of February 2021, caused by extreme weather conditions in the central U.S. During the first quarter of 2023, the March 2021 Term Loan was repaid in full by use of Southwest’s credit facility, prior to the issuance of the March 2023 Notes, proceeds from which were used to pay down indebtedness then outstanding under the credit facility, as indicated.</w:t>
      </w:r>
    </w:p>
    <w:p>
      <w:pPr>
        <w:pStyle w:val="TextBody"/>
        <w:spacing w:lineRule="auto" w:line="288" w:before="120" w:after="283"/>
        <w:jc w:val="both"/>
        <w:rPr/>
      </w:pPr>
      <w:r>
        <w:rPr>
          <w:rFonts w:ascii="Times New Roman;sans-serif" w:hAnsi="Times New Roman;sans-serif"/>
          <w:b w:val="false"/>
          <w:color w:val="000000"/>
          <w:sz w:val="20"/>
        </w:rPr>
        <w:t>On September 26, 2022, Southwest Gas Holdings, Inc. entered into Amendment No. 1 to the 364-day Term Loan Credit Agreement, initially borrowed to fund the acquisition of the equity interests in MountainWest, of which $1.147 billion was outstanding as of December 31, 2022</w:t>
      </w:r>
      <w:r>
        <w:rPr>
          <w:rFonts w:ascii="Times New Roman;sans-serif" w:hAnsi="Times New Roman;sans-serif"/>
          <w:b w:val="false"/>
          <w:color w:val="000000"/>
          <w:sz w:val="20"/>
          <w:highlight w:val="white"/>
        </w:rPr>
        <w:t>. The Credit Agreement initially provided for a $1.6 billion delayed-draw term loan (the “Term Loan Facility”). In connection with the close of</w:t>
      </w:r>
      <w:r>
        <w:rPr>
          <w:color w:val="000000"/>
        </w:rPr>
        <w:t xml:space="preserve"> </w:t>
      </w:r>
      <w:r>
        <w:rPr>
          <w:rFonts w:ascii="Times New Roman;sans-serif" w:hAnsi="Times New Roman;sans-serif"/>
          <w:b w:val="false"/>
          <w:color w:val="000000"/>
          <w:sz w:val="20"/>
        </w:rPr>
        <w:t xml:space="preserve">the MountainWest sale on February 14, 2023, </w:t>
      </w:r>
      <w:r>
        <w:rPr>
          <w:rFonts w:ascii="Times New Roman;sans-serif" w:hAnsi="Times New Roman;sans-serif"/>
          <w:b w:val="false"/>
          <w:color w:val="000000"/>
          <w:sz w:val="20"/>
          <w:highlight w:val="white"/>
        </w:rPr>
        <w:t xml:space="preserve">$1.075 billion of the proceeds were used to pay down the Term Loan Facility. During the first quarter of 2023, the Company paid down the remaining balance of the Term Loan Facility of approximately $72 million.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Southwest entered into a 364-day $450 million term loan agreement. Southwest initially used the proceeds to fund higher than expected natural gas costs for the November 2022 through March 2023 winter period, caused by numerous market forces, including historically low storage levels, unexpected upstream pipeline maintenance events, and cold weather conditions across the western region. As indicated above, the term loan was repaid in full on April 17, 2023.</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28650"/>
                <wp:effectExtent l="0" t="0" r="0" b="0"/>
                <wp:wrapNone/>
                <wp:docPr id="23" name="Frame2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LIBOR</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rates established at LIBOR were scheduled to be discontinued after 2021 as part of reference rate reform, while other LIBOR-based rates are scheduled to be discontinued after June 2023. As of March 31, 2023, the Company had $1.003 billion in outstanding borrowings under Centuri’s term loan facility with reference to LIBOR. Southwest and Southwest Gas Holdings, Inc. had no outstanding borrowings or variable rate debt agreements with reference to LIBOR as of March 31,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Note 6 – Other Comprehensive Income and Accumulated Other Comprehensive Income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presents the Company’s Other comprehensive income (loss), both before and after-tax impacts, within the Condensed Consolidated Statements of Comprehensive Income, which also impact Accumulated other comprehensive income (“AOCI”) in the Condensed Consolidated Balance Sheets and the Condensed Consolidated Statements of Equity.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Related Tax Effects Allocated to Each Component of Other Comprehensive Income (Loss)</w:t>
      </w:r>
    </w:p>
    <w:tbl>
      <w:tblPr>
        <w:tblW w:w="10205" w:type="dxa"/>
        <w:jc w:val="left"/>
        <w:tblInd w:w="0" w:type="dxa"/>
        <w:tblCellMar>
          <w:top w:w="28" w:type="dxa"/>
          <w:left w:w="28" w:type="dxa"/>
          <w:bottom w:w="28" w:type="dxa"/>
          <w:right w:w="28" w:type="dxa"/>
        </w:tblCellMar>
      </w:tblPr>
      <w:tblGrid>
        <w:gridCol w:w="1164"/>
        <w:gridCol w:w="909"/>
        <w:gridCol w:w="914"/>
        <w:gridCol w:w="109"/>
        <w:gridCol w:w="109"/>
        <w:gridCol w:w="109"/>
        <w:gridCol w:w="196"/>
        <w:gridCol w:w="421"/>
        <w:gridCol w:w="109"/>
        <w:gridCol w:w="109"/>
        <w:gridCol w:w="109"/>
        <w:gridCol w:w="109"/>
        <w:gridCol w:w="306"/>
        <w:gridCol w:w="540"/>
        <w:gridCol w:w="171"/>
        <w:gridCol w:w="109"/>
        <w:gridCol w:w="109"/>
        <w:gridCol w:w="109"/>
        <w:gridCol w:w="196"/>
        <w:gridCol w:w="421"/>
        <w:gridCol w:w="109"/>
        <w:gridCol w:w="109"/>
        <w:gridCol w:w="109"/>
        <w:gridCol w:w="109"/>
        <w:gridCol w:w="196"/>
        <w:gridCol w:w="556"/>
        <w:gridCol w:w="109"/>
        <w:gridCol w:w="109"/>
        <w:gridCol w:w="109"/>
        <w:gridCol w:w="109"/>
        <w:gridCol w:w="268"/>
        <w:gridCol w:w="599"/>
        <w:gridCol w:w="149"/>
        <w:gridCol w:w="109"/>
        <w:gridCol w:w="109"/>
        <w:gridCol w:w="109"/>
        <w:gridCol w:w="196"/>
        <w:gridCol w:w="556"/>
        <w:gridCol w:w="158"/>
      </w:tblGrid>
      <w:tr>
        <w:trPr/>
        <w:tc>
          <w:tcPr>
            <w:tcW w:w="1164"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9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 2022</w:t>
            </w:r>
          </w:p>
        </w:tc>
      </w:tr>
      <w:tr>
        <w:trPr/>
        <w:tc>
          <w:tcPr>
            <w:tcW w:w="2987"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of dollars)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Before-</w:t>
              <w:br/>
              <w:t>Tax</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Tax</w:t>
              <w:br/>
              <w:t>(Expense)</w:t>
              <w:br/>
              <w:t>or Benefit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Net-of-</w:t>
              <w:br/>
              <w:t>Tax</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Before-</w:t>
              <w:br/>
              <w:t>Tax</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Tax</w:t>
              <w:br/>
              <w:t>(Expense)</w:t>
              <w:br/>
              <w:t>or Benefit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Net-of-</w:t>
              <w:br/>
              <w:t>Tax</w:t>
              <w:br/>
              <w:t>Amount</w:t>
            </w:r>
          </w:p>
        </w:tc>
      </w:tr>
      <w:tr>
        <w:trPr/>
        <w:tc>
          <w:tcPr>
            <w:tcW w:w="2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Defined benefit pension plans: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prior service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net actuarial (gain)/loss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(2,089)</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Regulatory 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1,745 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plans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FSIRS (designated hedging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into 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FSIRS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comprehensive income (loss) - Southwest Gas Corporation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comprehensive income (loss) - Southwest Gas Holdings,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022"/>
        <w:gridCol w:w="761"/>
        <w:gridCol w:w="766"/>
        <w:gridCol w:w="109"/>
        <w:gridCol w:w="109"/>
        <w:gridCol w:w="109"/>
        <w:gridCol w:w="196"/>
        <w:gridCol w:w="556"/>
        <w:gridCol w:w="109"/>
        <w:gridCol w:w="109"/>
        <w:gridCol w:w="109"/>
        <w:gridCol w:w="109"/>
        <w:gridCol w:w="225"/>
        <w:gridCol w:w="658"/>
        <w:gridCol w:w="127"/>
        <w:gridCol w:w="109"/>
        <w:gridCol w:w="109"/>
        <w:gridCol w:w="109"/>
        <w:gridCol w:w="196"/>
        <w:gridCol w:w="556"/>
        <w:gridCol w:w="109"/>
        <w:gridCol w:w="109"/>
        <w:gridCol w:w="109"/>
        <w:gridCol w:w="109"/>
        <w:gridCol w:w="196"/>
        <w:gridCol w:w="646"/>
        <w:gridCol w:w="109"/>
        <w:gridCol w:w="109"/>
        <w:gridCol w:w="109"/>
        <w:gridCol w:w="109"/>
        <w:gridCol w:w="197"/>
        <w:gridCol w:w="704"/>
        <w:gridCol w:w="109"/>
        <w:gridCol w:w="109"/>
        <w:gridCol w:w="109"/>
        <w:gridCol w:w="109"/>
        <w:gridCol w:w="196"/>
        <w:gridCol w:w="646"/>
        <w:gridCol w:w="159"/>
      </w:tblGrid>
      <w:tr>
        <w:trPr/>
        <w:tc>
          <w:tcPr>
            <w:tcW w:w="1022"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Twelve Months Ended</w:t>
              <w:b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Twelve Months Ended</w:t>
              <w:br/>
              <w:t>March 31, 2022</w:t>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of dollars)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Before-</w:t>
              <w:br/>
              <w:t>Tax</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Tax</w:t>
              <w:br/>
              <w:t>(Expense)</w:t>
              <w:br/>
              <w:t>or Benefit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Net-of-</w:t>
              <w:br/>
              <w:t>Tax</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Before- </w:t>
              <w:br/>
              <w:t>Tax</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Tax</w:t>
              <w:br/>
              <w:t>(Expense)</w:t>
              <w:br/>
              <w:t>or Benefit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Net-of- </w:t>
              <w:br/>
              <w:t xml:space="preserve">Tax </w:t>
              <w:br/>
              <w:t>Amount</w:t>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Defined benefit pension plans: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actuarial gain/(loss)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44,974 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prior service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net actuarial (gain)/loss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(6,348)</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32,036 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Regulatory adjustment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(65,273)</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plans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FSIRS (designated hedging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Amounts reclassified into net income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FSIRS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comprehensive income (loss) - Southwest Gas Corporation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Translation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34"/>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comprehensive income (loss) - Southwest Gas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(2,311)</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(1)Tax amounts are calculated using a 24% rate. The Company has elected to indefinitely reinvest, in Canada, the earnings of Centuri’s Canadian subsidiaries, thus precluding deferred taxes on such earnings. As a result of this assertion, and no repatriation of earnings anticipated, the Company is not recognizing a tax effect or presenting a tax expense or benefit for currency translation adjustments reported in Other comprehensive income (loss).</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28650"/>
                <wp:effectExtent l="0" t="0" r="0" b="0"/>
                <wp:wrapNone/>
                <wp:docPr id="24" name="Frame2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4932" w:type="dxa"/>
        <w:jc w:val="center"/>
        <w:tblInd w:w="0" w:type="dxa"/>
        <w:tblCellMar>
          <w:top w:w="28" w:type="dxa"/>
          <w:left w:w="28" w:type="dxa"/>
          <w:bottom w:w="28" w:type="dxa"/>
          <w:right w:w="28" w:type="dxa"/>
        </w:tblCellMar>
      </w:tblPr>
      <w:tblGrid>
        <w:gridCol w:w="1146"/>
        <w:gridCol w:w="1007"/>
        <w:gridCol w:w="1012"/>
        <w:gridCol w:w="109"/>
        <w:gridCol w:w="109"/>
        <w:gridCol w:w="109"/>
        <w:gridCol w:w="421"/>
        <w:gridCol w:w="421"/>
        <w:gridCol w:w="598"/>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HOLDINGS, INC.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 10-Q</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SOUTHWEST GAS 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rollforward of AOCI, presented on the Company’s Condensed Consolidated Balance Sheets and its Condensed Consolidated Statements of Equity:</w:t>
      </w:r>
    </w:p>
    <w:tbl>
      <w:tblPr>
        <w:tblW w:w="10926" w:type="dxa"/>
        <w:jc w:val="left"/>
        <w:tblInd w:w="0" w:type="dxa"/>
        <w:tblCellMar>
          <w:top w:w="28" w:type="dxa"/>
          <w:left w:w="28" w:type="dxa"/>
          <w:bottom w:w="28" w:type="dxa"/>
          <w:right w:w="28" w:type="dxa"/>
        </w:tblCellMar>
      </w:tblPr>
      <w:tblGrid>
        <w:gridCol w:w="613"/>
        <w:gridCol w:w="539"/>
        <w:gridCol w:w="349"/>
        <w:gridCol w:w="109"/>
        <w:gridCol w:w="109"/>
        <w:gridCol w:w="109"/>
        <w:gridCol w:w="196"/>
        <w:gridCol w:w="661"/>
        <w:gridCol w:w="109"/>
        <w:gridCol w:w="109"/>
        <w:gridCol w:w="109"/>
        <w:gridCol w:w="109"/>
        <w:gridCol w:w="196"/>
        <w:gridCol w:w="646"/>
        <w:gridCol w:w="109"/>
        <w:gridCol w:w="109"/>
        <w:gridCol w:w="109"/>
        <w:gridCol w:w="109"/>
        <w:gridCol w:w="196"/>
        <w:gridCol w:w="661"/>
        <w:gridCol w:w="109"/>
        <w:gridCol w:w="109"/>
        <w:gridCol w:w="109"/>
        <w:gridCol w:w="109"/>
        <w:gridCol w:w="109"/>
        <w:gridCol w:w="109"/>
        <w:gridCol w:w="109"/>
        <w:gridCol w:w="109"/>
        <w:gridCol w:w="109"/>
        <w:gridCol w:w="109"/>
        <w:gridCol w:w="221"/>
        <w:gridCol w:w="571"/>
        <w:gridCol w:w="109"/>
        <w:gridCol w:w="109"/>
        <w:gridCol w:w="109"/>
        <w:gridCol w:w="109"/>
        <w:gridCol w:w="223"/>
        <w:gridCol w:w="463"/>
        <w:gridCol w:w="125"/>
        <w:gridCol w:w="109"/>
        <w:gridCol w:w="109"/>
        <w:gridCol w:w="109"/>
        <w:gridCol w:w="196"/>
        <w:gridCol w:w="571"/>
        <w:gridCol w:w="109"/>
        <w:gridCol w:w="109"/>
        <w:gridCol w:w="109"/>
        <w:gridCol w:w="109"/>
        <w:gridCol w:w="196"/>
        <w:gridCol w:w="661"/>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Defined Benefit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7"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Foreign Currency Items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1" w:type="dxa"/>
            <w:gridSpan w:val="12"/>
            <w:tcBorders/>
            <w:shd w:fill="auto" w:val="clear"/>
          </w:tcPr>
          <w:p>
            <w:pPr>
              <w:pStyle w:val="TableContents"/>
              <w:spacing w:before="0" w:after="283"/>
              <w:rPr>
                <w:sz w:val="4"/>
                <w:szCs w:val="4"/>
              </w:rPr>
            </w:pPr>
            <w:r>
              <w:rPr>
                <w:sz w:val="4"/>
                <w:szCs w:val="4"/>
              </w:rPr>
            </w:r>
          </w:p>
        </w:tc>
      </w:tr>
      <w:tr>
        <w:trPr/>
        <w:tc>
          <w:tcPr>
            <w:tcW w:w="1501" w:type="dxa"/>
            <w:gridSpan w:val="3"/>
            <w:tcBorders/>
            <w:shd w:fill="auto" w:val="clear"/>
            <w:tcMar>
              <w:top w:w="0" w:type="dxa"/>
              <w:left w:w="0" w:type="dxa"/>
              <w:bottom w:w="0" w:type="dxa"/>
              <w:right w:w="0" w:type="dxa"/>
            </w:tcMar>
            <w:vAlign w:val="center"/>
          </w:tcPr>
          <w:p>
            <w:pPr>
              <w:pStyle w:val="TableContents"/>
              <w:spacing w:lineRule="auto" w:line="240"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(Thousands of dollars)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Before-Tax</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Tax</w:t>
              <w:br/>
              <w:t>(Expense)</w:t>
              <w:br/>
              <w:t>Benefit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After-Tax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Before-Tax</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Tax</w:t>
              <w:br/>
              <w:t>(Expense)</w:t>
              <w:br/>
              <w:t>Benefit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After-Tax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AOCI</w:t>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 AOCI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Translation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34"/>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prior service cost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net actuarial loss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Regulatory adjustment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34"/>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current period other comprehensive income (loss) attributable to Southwest Gas Holdings,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 AOCI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(43,949)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18"/>
        </w:rPr>
        <w:t xml:space="preserve">(1)These AOCI components are included in the computation of net periodic benefit cost (see </w:t>
      </w:r>
      <w:r>
        <w:rPr>
          <w:rFonts w:ascii="Times New Roman;sans-serif" w:hAnsi="Times New Roman;sans-serif"/>
          <w:b/>
          <w:color w:val="000000"/>
          <w:sz w:val="18"/>
        </w:rPr>
        <w:t>Note 2 – Components of Net Periodic Benefit Cost</w:t>
      </w:r>
      <w:r>
        <w:rPr>
          <w:color w:val="000000"/>
        </w:rPr>
        <w:t xml:space="preserve"> </w:t>
      </w:r>
      <w:r>
        <w:rPr>
          <w:rFonts w:ascii="Times New Roman;sans-serif" w:hAnsi="Times New Roman;sans-serif"/>
          <w:b w:val="false"/>
          <w:color w:val="000000"/>
          <w:sz w:val="18"/>
        </w:rPr>
        <w:t>for additional details).</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(2)The regulatory adjustment represents the portion of the activity above that is expected to be recovered through rates in the future (the related regulatory asset is included in Deferred charges and other assets on the Company’s Condensed Consolidated Balance Sheets).</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(3)Tax amounts are calculated using a 24% rate.</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rollforward of AOCI, presented on Southwest’s Condensed Consolidated Balance Sheets:</w:t>
      </w:r>
    </w:p>
    <w:tbl>
      <w:tblPr>
        <w:tblW w:w="10205" w:type="dxa"/>
        <w:jc w:val="left"/>
        <w:tblInd w:w="0" w:type="dxa"/>
        <w:tblCellMar>
          <w:top w:w="28" w:type="dxa"/>
          <w:left w:w="28" w:type="dxa"/>
          <w:bottom w:w="28" w:type="dxa"/>
          <w:right w:w="28" w:type="dxa"/>
        </w:tblCellMar>
      </w:tblPr>
      <w:tblGrid>
        <w:gridCol w:w="2239"/>
        <w:gridCol w:w="1969"/>
        <w:gridCol w:w="1972"/>
        <w:gridCol w:w="109"/>
        <w:gridCol w:w="109"/>
        <w:gridCol w:w="109"/>
        <w:gridCol w:w="196"/>
        <w:gridCol w:w="718"/>
        <w:gridCol w:w="109"/>
        <w:gridCol w:w="109"/>
        <w:gridCol w:w="109"/>
        <w:gridCol w:w="109"/>
        <w:gridCol w:w="196"/>
        <w:gridCol w:w="646"/>
        <w:gridCol w:w="109"/>
        <w:gridCol w:w="109"/>
        <w:gridCol w:w="109"/>
        <w:gridCol w:w="109"/>
        <w:gridCol w:w="196"/>
        <w:gridCol w:w="718"/>
        <w:gridCol w:w="156"/>
      </w:tblGrid>
      <w:tr>
        <w:trPr/>
        <w:tc>
          <w:tcPr>
            <w:tcW w:w="2239" w:type="dxa"/>
            <w:tcBorders/>
            <w:shd w:fill="auto" w:val="clear"/>
            <w:vAlign w:val="center"/>
          </w:tcPr>
          <w:p>
            <w:pPr>
              <w:pStyle w:val="TableContents"/>
              <w:spacing w:before="0" w:after="283"/>
              <w:rPr>
                <w:sz w:val="4"/>
                <w:szCs w:val="4"/>
              </w:rPr>
            </w:pPr>
            <w:r>
              <w:rPr>
                <w:sz w:val="4"/>
                <w:szCs w:val="4"/>
              </w:rPr>
            </w:r>
          </w:p>
        </w:tc>
        <w:tc>
          <w:tcPr>
            <w:tcW w:w="1969" w:type="dxa"/>
            <w:tcBorders/>
            <w:shd w:fill="auto" w:val="clear"/>
            <w:vAlign w:val="center"/>
          </w:tcPr>
          <w:p>
            <w:pPr>
              <w:pStyle w:val="TableContents"/>
              <w:spacing w:before="0" w:after="283"/>
              <w:rPr>
                <w:sz w:val="4"/>
                <w:szCs w:val="4"/>
              </w:rPr>
            </w:pPr>
            <w:r>
              <w:rPr>
                <w:sz w:val="4"/>
                <w:szCs w:val="4"/>
              </w:rPr>
            </w:r>
          </w:p>
        </w:tc>
        <w:tc>
          <w:tcPr>
            <w:tcW w:w="19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Defined Benefit Plans</w:t>
            </w:r>
          </w:p>
        </w:tc>
      </w:tr>
      <w:tr>
        <w:trPr/>
        <w:tc>
          <w:tcPr>
            <w:tcW w:w="618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(Thousands of dollars)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Before-Tax</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Tax</w:t>
              <w:br/>
              <w:t>(Expense)</w:t>
              <w:br/>
              <w:t>Benefit (6)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After-Tax</w:t>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 AOCI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(38,261)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prior service cost (4)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net actuarial loss (4)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Regulatory adjustment (5)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34"/>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current period other comprehensive income attributable to Southwest Gas Corporation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 AOCI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(38,065)</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18"/>
        </w:rPr>
        <w:t xml:space="preserve">(4)These AOCI components are included in the computation of net periodic benefit cost (see </w:t>
      </w:r>
      <w:r>
        <w:rPr>
          <w:rFonts w:ascii="Times New Roman;sans-serif" w:hAnsi="Times New Roman;sans-serif"/>
          <w:b/>
          <w:color w:val="000000"/>
          <w:sz w:val="18"/>
        </w:rPr>
        <w:t>Note 2 – Components of Net Periodic Benefit Cost</w:t>
      </w:r>
      <w:r>
        <w:rPr>
          <w:color w:val="000000"/>
        </w:rPr>
        <w:t xml:space="preserve"> </w:t>
      </w:r>
      <w:r>
        <w:rPr>
          <w:rFonts w:ascii="Times New Roman;sans-serif" w:hAnsi="Times New Roman;sans-serif"/>
          <w:b w:val="false"/>
          <w:color w:val="000000"/>
          <w:sz w:val="18"/>
        </w:rPr>
        <w:t>for additional details).</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(5)The regulatory adjustment represents the portion of the activity above that is expected to be recovered through rates in the future (the related regulatory asset is included in Deferred charges and other assets on Southwest’s Condensed Consolidated Balance Sheets).</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(6)Tax amounts are calculated using a 24% rate.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amounts (before income tax impacts) included in AOCI (in the tables above), that have not yet been recognized in net periodic benefit cost:</w:t>
      </w:r>
    </w:p>
    <w:tbl>
      <w:tblPr>
        <w:tblW w:w="7525" w:type="dxa"/>
        <w:jc w:val="left"/>
        <w:tblInd w:w="0" w:type="dxa"/>
        <w:tblCellMar>
          <w:top w:w="28" w:type="dxa"/>
          <w:left w:w="28" w:type="dxa"/>
          <w:bottom w:w="28" w:type="dxa"/>
          <w:right w:w="28" w:type="dxa"/>
        </w:tblCellMar>
      </w:tblPr>
      <w:tblGrid>
        <w:gridCol w:w="1358"/>
        <w:gridCol w:w="1192"/>
        <w:gridCol w:w="1199"/>
        <w:gridCol w:w="109"/>
        <w:gridCol w:w="109"/>
        <w:gridCol w:w="109"/>
        <w:gridCol w:w="253"/>
        <w:gridCol w:w="1011"/>
        <w:gridCol w:w="132"/>
        <w:gridCol w:w="109"/>
        <w:gridCol w:w="109"/>
        <w:gridCol w:w="109"/>
        <w:gridCol w:w="301"/>
        <w:gridCol w:w="1203"/>
        <w:gridCol w:w="222"/>
      </w:tblGrid>
      <w:tr>
        <w:trPr/>
        <w:tc>
          <w:tcPr>
            <w:tcW w:w="1358"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auto" w:val="clear"/>
            <w:tcMar>
              <w:top w:w="0" w:type="dxa"/>
              <w:left w:w="0" w:type="dxa"/>
              <w:bottom w:w="0" w:type="dxa"/>
              <w:right w:w="0" w:type="dxa"/>
            </w:tcMar>
            <w:vAlign w:val="center"/>
          </w:tcPr>
          <w:p>
            <w:pPr>
              <w:pStyle w:val="TableContents"/>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actuarial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(359,780)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(360,113)</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recognized in regulatory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311,005 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311,124 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in AOCI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(50,084)</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(50,342)</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28650"/>
                <wp:effectExtent l="0" t="0" r="0" b="0"/>
                <wp:wrapNone/>
                <wp:docPr id="25" name="Frame2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Note 7 – Segment Information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three reportable segments during the first quarter, prior to the MountainWest sale. Southwest comprises the natural gas distribution segment, Centuri comprises the utility infrastructure services segment, and MountainWest comprised the pipeline and storage segment. As a result of the MountainWest sale in February 2023, the information for 2023 presented below for MountainWest reflects activity from January 1, 2023 through February 13, 2023 (the last full day of its ownership by the Company).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Centuri accounts for services provided to Southwest at contractual prices. Accounts receivable for these services, which are not eliminated during consolidation, are presented in the table below:</w:t>
      </w:r>
    </w:p>
    <w:tbl>
      <w:tblPr>
        <w:tblW w:w="8669" w:type="dxa"/>
        <w:jc w:val="left"/>
        <w:tblInd w:w="0" w:type="dxa"/>
        <w:tblCellMar>
          <w:top w:w="28" w:type="dxa"/>
          <w:left w:w="28" w:type="dxa"/>
          <w:bottom w:w="28" w:type="dxa"/>
          <w:right w:w="28" w:type="dxa"/>
        </w:tblCellMar>
      </w:tblPr>
      <w:tblGrid>
        <w:gridCol w:w="1891"/>
        <w:gridCol w:w="1659"/>
        <w:gridCol w:w="1670"/>
        <w:gridCol w:w="282"/>
        <w:gridCol w:w="966"/>
        <w:gridCol w:w="148"/>
        <w:gridCol w:w="109"/>
        <w:gridCol w:w="109"/>
        <w:gridCol w:w="109"/>
        <w:gridCol w:w="335"/>
        <w:gridCol w:w="1145"/>
        <w:gridCol w:w="246"/>
      </w:tblGrid>
      <w:tr>
        <w:trPr/>
        <w:tc>
          <w:tcPr>
            <w:tcW w:w="1891"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167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tcMar>
              <w:top w:w="0" w:type="dxa"/>
              <w:left w:w="0" w:type="dxa"/>
              <w:bottom w:w="0" w:type="dxa"/>
              <w:right w:w="0" w:type="dxa"/>
            </w:tcMar>
            <w:vAlign w:val="center"/>
          </w:tcPr>
          <w:p>
            <w:pPr>
              <w:pStyle w:val="TableContents"/>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Centuri accounts receivable for services provided to Southwest</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14,966 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18,067 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reconcile (below) to net income (loss) as disclosed in the Condensed Consolidated Statements of Income, an Other column is included associated with impacts of corporate and administrative activities related to Southwest Gas Holdings, Inc. The financial information pertaining to the natural gas distribution, utility infrastructure services, and pipeline and storage segments are as follows:</w:t>
      </w:r>
    </w:p>
    <w:tbl>
      <w:tblPr>
        <w:tblW w:w="10205" w:type="dxa"/>
        <w:jc w:val="left"/>
        <w:tblInd w:w="0" w:type="dxa"/>
        <w:tblCellMar>
          <w:top w:w="28" w:type="dxa"/>
          <w:left w:w="28" w:type="dxa"/>
          <w:bottom w:w="28" w:type="dxa"/>
          <w:right w:w="28" w:type="dxa"/>
        </w:tblCellMar>
      </w:tblPr>
      <w:tblGrid>
        <w:gridCol w:w="943"/>
        <w:gridCol w:w="715"/>
        <w:gridCol w:w="706"/>
        <w:gridCol w:w="211"/>
        <w:gridCol w:w="826"/>
        <w:gridCol w:w="109"/>
        <w:gridCol w:w="109"/>
        <w:gridCol w:w="109"/>
        <w:gridCol w:w="109"/>
        <w:gridCol w:w="276"/>
        <w:gridCol w:w="1083"/>
        <w:gridCol w:w="144"/>
        <w:gridCol w:w="109"/>
        <w:gridCol w:w="109"/>
        <w:gridCol w:w="109"/>
        <w:gridCol w:w="279"/>
        <w:gridCol w:w="1028"/>
        <w:gridCol w:w="144"/>
        <w:gridCol w:w="109"/>
        <w:gridCol w:w="109"/>
        <w:gridCol w:w="109"/>
        <w:gridCol w:w="211"/>
        <w:gridCol w:w="768"/>
        <w:gridCol w:w="109"/>
        <w:gridCol w:w="109"/>
        <w:gridCol w:w="109"/>
        <w:gridCol w:w="109"/>
        <w:gridCol w:w="211"/>
        <w:gridCol w:w="976"/>
        <w:gridCol w:w="158"/>
      </w:tblGrid>
      <w:tr>
        <w:trPr/>
        <w:tc>
          <w:tcPr>
            <w:tcW w:w="943"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64" w:type="dxa"/>
            <w:gridSpan w:val="3"/>
            <w:tcBorders/>
            <w:shd w:fill="auto" w:val="clear"/>
            <w:tcMar>
              <w:top w:w="0" w:type="dxa"/>
              <w:left w:w="0" w:type="dxa"/>
              <w:bottom w:w="0" w:type="dxa"/>
              <w:right w:w="0" w:type="dxa"/>
            </w:tcMar>
            <w:vAlign w:val="center"/>
          </w:tcPr>
          <w:p>
            <w:pPr>
              <w:pStyle w:val="TableContents"/>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Natural Gas</w:t>
              <w:br/>
              <w:t>Distribution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Utility Infrastructure</w:t>
              <w:br/>
              <w:t>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Pipeline and Storage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2023</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external customers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914,879 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624,489 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35,132 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1,574,500 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28,804 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653,293 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1,603,304 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income (loss)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134,696 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(11,872)</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(16,288)</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45,911 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2022</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external customers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495,544 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66,993 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1,239,076 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28,333 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523,877 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1,267,409 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income (loss)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(23,486)</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16,930 </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96,178 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900"/>
        <w:gridCol w:w="643"/>
        <w:gridCol w:w="629"/>
        <w:gridCol w:w="211"/>
        <w:gridCol w:w="976"/>
        <w:gridCol w:w="109"/>
        <w:gridCol w:w="109"/>
        <w:gridCol w:w="109"/>
        <w:gridCol w:w="109"/>
        <w:gridCol w:w="242"/>
        <w:gridCol w:w="1120"/>
        <w:gridCol w:w="124"/>
        <w:gridCol w:w="109"/>
        <w:gridCol w:w="109"/>
        <w:gridCol w:w="109"/>
        <w:gridCol w:w="250"/>
        <w:gridCol w:w="1033"/>
        <w:gridCol w:w="129"/>
        <w:gridCol w:w="109"/>
        <w:gridCol w:w="109"/>
        <w:gridCol w:w="109"/>
        <w:gridCol w:w="211"/>
        <w:gridCol w:w="865"/>
        <w:gridCol w:w="109"/>
        <w:gridCol w:w="109"/>
        <w:gridCol w:w="109"/>
        <w:gridCol w:w="109"/>
        <w:gridCol w:w="211"/>
        <w:gridCol w:w="976"/>
        <w:gridCol w:w="159"/>
      </w:tblGrid>
      <w:tr>
        <w:trPr/>
        <w:tc>
          <w:tcPr>
            <w:tcW w:w="900"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172" w:type="dxa"/>
            <w:gridSpan w:val="3"/>
            <w:tcBorders/>
            <w:shd w:fill="auto" w:val="clear"/>
            <w:tcMar>
              <w:top w:w="0" w:type="dxa"/>
              <w:left w:w="0" w:type="dxa"/>
              <w:bottom w:w="0" w:type="dxa"/>
              <w:right w:w="0" w:type="dxa"/>
            </w:tcMar>
            <w:vAlign w:val="center"/>
          </w:tcPr>
          <w:p>
            <w:pPr>
              <w:pStyle w:val="TableContents"/>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Natural Gas</w:t>
              <w:br/>
              <w:t>Distribution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Utility Infrastructure</w:t>
              <w:br/>
              <w:t>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Pipeline and Storage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1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Twelve Months Ended March 31, 2023</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external customers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2,754,614 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232,752 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5,160,775 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135,129 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135,129 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2,889,743 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232,752 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5,295,904 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income (loss)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177,281 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(316,951)</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(253,557)</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Twelve Months Ended March 31, 2022</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external customers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2,212,087 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66,993 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3,955,477 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106,476 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106,476 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2,318,563 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4,061,953 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income (loss)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180,215 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17,793 </w:t>
            </w:r>
          </w:p>
        </w:tc>
        <w:tc>
          <w:tcPr>
            <w:tcW w:w="1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16,930 </w:t>
            </w:r>
          </w:p>
        </w:tc>
        <w:tc>
          <w:tcPr>
            <w:tcW w:w="1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179,664 </w:t>
            </w:r>
          </w:p>
        </w:tc>
        <w:tc>
          <w:tcPr>
            <w:tcW w:w="1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corporate and administrative activities for Southwest Gas Holdings, Inc. in the three-month period ended March 31, 2023 include, among other things, additional amounts related to commitments under the sale agreement with Williams in regard to MountainWest, including a charge of $28.4 million from the post-closing rate case settlement agreement for MountainWest Overthrust Pipeline (pending Federal Energy Regulatory Commission (the “FERC” approval)); and an additional $21 million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28650"/>
                <wp:effectExtent l="0" t="0" r="0" b="0"/>
                <wp:wrapNone/>
                <wp:docPr id="26" name="Frame2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reflects the final accrued post-closing payment of $7.4 million related to cash and net working capital balances above/below a contract benchmark, with the remaining charge associated with other changes in the assets and liabilities that were not subject to post-closing payment true-up provisions. The post-closing payment of $7.4 million will effectively return approximately the same amount initially paid by Williams to the Company at closing. Other corporate and administrative amounts during this same quarter also reflect residual costs associated with or as a result of the MountainWest sale, as well as $12 million of interest expense, primarily under the loan entered into by Southwest Gas Holdings, Inc. in November 2021 in connection with the acquisition of MountainWest prior to it being paid in full in March 2023 (including $2.5 million in debt issuance costs written off when the debt was repaid). The twelve-month period ended March 31, 2023 included more than $47 million of interest expense under the aforementioned MountainWest acquisition loan, the other items noted above, as well as $35 million in combined costs associated with stockholder activism and the associated proxy contest, the May 2022 settlement with the Icahn group, and costs of a strategic review initiative initiated in 2022. The amounts related to the MountainWest sale, including the rate case settlement, and post-closing adjustments, are included in Goodwill impairment and loss on sale on the Company’s Condensed Consolidated Statement of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8 - Dispositions</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Dispositions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the Company announced that the Board unanimously determined to take strategic actions to simplify the Company’s portfolio of businesses. These actions included entering into a definitive agreement to sell 100% of MountainWest to Williams for $1.5 billion in total enterprise value, subject to certain adjustments. The MountainWest sale closed on February 14, 2023. The Company is expected to provide certain services to Williams under a transition services agreement for a brief period, generally not beyond six months from the sale closing date. Additionally, the Company determined it will pursue a spin-off of Centuri to form a new independent publicly traded utility infrastructure services company. The Centuri spin-off is currently expected to be completed by the fourth quarter of 2023 or the end of the first quarter of 2024 and to be tax free to the Company and its stockholders for U.S. federal income tax purposes. The separation of Centuri will be subject to, among other things, finalizing the transaction structure, final approval by the Board, approval by the Arizona Corporation Commission (the “ACC”), the receipt of a favorable private letter ruling by the IRS relating to the tax-free nature of the transaction, and the effectiveness of a registration statement to be filed with the SEC. The application for the private letter ruling was filed with the IRS in March 2023 and the application to the ACC was filed in April 2023.</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MountainWest assets held-for-sale was previously estimated based on the preliminary closing statement and subject to certain adjustments, including a post-closing payment between the parties related to final working capital balances. The amount of the post-closing payment was finalized in May 2023, prior to the issuance of these financial statements. The Company recognized an additional loss on sale of approximately $21 million during the quarter ended March 31, 2023. This reflects the accrued post-closing payment of $7.4 million related to cash and net working capital balances above/below a contractual benchmark, with the remaining charge associated with other changes in the assets and liabilities that were not subject to post-closing payment true-up provisions. The post-closing payment of $7.4 million will effectively return approximately the same amount initially paid by Williams to the Company at closing.</w:t>
      </w:r>
    </w:p>
    <w:p>
      <w:pPr>
        <w:pStyle w:val="TextBody"/>
        <w:spacing w:lineRule="auto" w:line="288" w:before="120" w:after="283"/>
        <w:jc w:val="both"/>
        <w:rPr/>
      </w:pPr>
      <w:r>
        <w:rPr>
          <w:rFonts w:ascii="Times New Roman;sans-serif" w:hAnsi="Times New Roman;sans-serif"/>
          <w:b w:val="false"/>
          <w:color w:val="000000"/>
          <w:sz w:val="20"/>
        </w:rPr>
        <w:t xml:space="preserve">As referred to in </w:t>
      </w:r>
      <w:r>
        <w:rPr>
          <w:rFonts w:ascii="Times New Roman;sans-serif" w:hAnsi="Times New Roman;sans-serif"/>
          <w:b/>
          <w:color w:val="000000"/>
          <w:sz w:val="20"/>
        </w:rPr>
        <w:t>Note 7 – Segment Information</w:t>
      </w:r>
      <w:r>
        <w:rPr>
          <w:rFonts w:ascii="Times New Roman;sans-serif" w:hAnsi="Times New Roman;sans-serif"/>
          <w:b w:val="false"/>
          <w:color w:val="000000"/>
          <w:sz w:val="20"/>
        </w:rPr>
        <w:t xml:space="preserve">, on September 22, 2022, the FERC issued an order initiating an investigation, pursuant to section 5 of the Natural Gas Act, to determine whether rates charged by MountainWest Overthrust Pipeline, LLC, a subsidiary of MountainWest, were just and reasonable and setting the matter for hearing (the “Section 5 Rate Case”). Unless earlier settled by the parties, a hearing on the matter was to commence on August 1, 2023 with an initial decision from the presiding administrative law judge due by November 14, 2023. Under the terms of the purchase and sale agreement entered into in connection with the MountainWest sale, the Company is obligated, for a period of four years following the closing of the MountainWest sale, to indemnify Williams and MountainWest for any damages and liabilities resulting from the Section 5 Rate Case, including any reduction to the current applicable rate, up to a cap of $75 million. Williams agreed not to enter into any settlement of the Section 5 Rate Case that would result in damages being paid by the Company under the indemnity arrangement without prior written consent of the Company. In March 2023, the parties agreed to a settlement, which is pending approval by the FERC. As a result, the Company recorded an additional estimated loss of $28.4 million from the disposal of MountainWest in the first quarter of 2023, which is included in Goodwill impairment and loss on sale in the Company’s Condensed Consolidated Statement of Income. Other contingent commitments were part of the agreement as well, which are currently expected to be immaterial.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28650"/>
                <wp:effectExtent l="0" t="0" r="0" b="0"/>
                <wp:wrapNone/>
                <wp:docPr id="27" name="Frame2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Southwest Gas Holdings, Inc. is a holding company that owns all of the shares of common stock of Southwest Gas Corporation (“Southwest” or the “natural gas distribution” segment), all of the shares of common stock of Centuri Group, Inc. (“Centuri,” or the “utility infrastructure services” segment), and until February 14, 2023, all of the common stock of MountainWest Pipelines Holding Company (“MountainWest,” or the “pipeline and storage” segment). Southwest Gas Holdings, Inc. and its subsidiaries are collectively referred to as the “Company.” </w:t>
      </w:r>
    </w:p>
    <w:p>
      <w:pPr>
        <w:pStyle w:val="TextBody"/>
        <w:spacing w:lineRule="auto" w:line="288" w:before="120" w:after="283"/>
        <w:jc w:val="both"/>
        <w:rPr/>
      </w:pPr>
      <w:r>
        <w:rPr>
          <w:rFonts w:ascii="Times New Roman;sans-serif" w:hAnsi="Times New Roman;sans-serif"/>
          <w:b w:val="false"/>
          <w:color w:val="000000"/>
          <w:sz w:val="20"/>
        </w:rPr>
        <w:t xml:space="preserve">In December 2022, the Company announced that its Board of Directors (the “Board”) unanimously determined to take strategic actions to simplify the Company’s portfolio of businesses. These actions included entering into a definitive agreement to sell 100% of MountainWest in an all-cash transaction to Williams Partners Operating LLC (“Williams”) for $1.5 billion in total enterprise value, subject to certain adjustments (collectively, the “MountainWest sale”). The MountainWest sale closed on February 14, 2023. Additionally, the Company determined it will pursue a spin-off of Centuri (the “Centuri spin-off”), to form a new independent publicly traded utility infrastructure services company. The Centuri spin-off is currently expected to be completed in the fourth quarter of 2023 or the first quarter of 2024 and to be tax free to the Company and its stockholders for U.S. federal income tax purposes. The Centuri spin-off will be subject to, among other things, finalizing the transaction structure, final approval by the Board, approval by the Arizona Corporation Commission (the “ACC”), the receipt of a favorable Internal Revenue Service (“IRS”) private letter ruling relating to the tax-free nature of the transaction, and the effectiveness of a registration statement that will be filed with the U.S. Securities and Exchange Commission (the “SEC”). The application for the private letter ruling was filed with the IRS in March 2023 and the application to the ACC was filed in April 2023. See </w:t>
      </w:r>
      <w:r>
        <w:rPr>
          <w:rFonts w:ascii="Times New Roman;sans-serif" w:hAnsi="Times New Roman;sans-serif"/>
          <w:b/>
          <w:color w:val="000000"/>
          <w:sz w:val="20"/>
        </w:rPr>
        <w:t>Note 8 - Dispositions</w:t>
      </w:r>
      <w:r>
        <w:rPr>
          <w:color w:val="000000"/>
        </w:rPr>
        <w:t xml:space="preserve"> </w:t>
      </w:r>
      <w:r>
        <w:rPr>
          <w:rFonts w:ascii="Times New Roman;sans-serif" w:hAnsi="Times New Roman;sans-serif"/>
          <w:b w:val="false"/>
          <w:color w:val="000000"/>
          <w:sz w:val="20"/>
        </w:rPr>
        <w:t xml:space="preserve">for more information.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Southwest is engaged in the business of purchasing, distributing, and transporting natural gas for customers in portions of Arizona, Nevada, and California. Southwest is the largest distributor of natural gas in Arizona and Nevada, and distributes and transports natural gas for customers in portions of California. Additionally, through its subsidiaries, Southwest operates two regulated interstate pipelines serving portions of Southwest’s service territories. </w:t>
      </w:r>
    </w:p>
    <w:p>
      <w:pPr>
        <w:pStyle w:val="TextBody"/>
        <w:spacing w:lineRule="auto" w:line="288" w:before="120" w:after="283"/>
        <w:jc w:val="both"/>
        <w:rPr/>
      </w:pPr>
      <w:r>
        <w:rPr>
          <w:rFonts w:ascii="Times New Roman;sans-serif" w:hAnsi="Times New Roman;sans-serif"/>
          <w:b w:val="false"/>
          <w:color w:val="000000"/>
          <w:sz w:val="20"/>
        </w:rPr>
        <w:t xml:space="preserve">As of March 31, 2023, Southwest had 2,206,000 residential, commercial, industrial, and other natural gas customers, of which 1,182,000 customers were located in Arizona, 819,000 in Nevada, and 205,000 in California. </w:t>
      </w:r>
      <w:r>
        <w:rPr>
          <w:rFonts w:ascii="Times New Roman;sans-serif" w:hAnsi="Times New Roman;sans-serif"/>
          <w:b w:val="false"/>
          <w:color w:val="212529"/>
          <w:sz w:val="20"/>
        </w:rPr>
        <w:t xml:space="preserve">Over the past twelve months, first-time meter sets were approximately 42,000, compared to 38,000 for the twelve months ended March 2022. </w:t>
      </w:r>
      <w:r>
        <w:rPr>
          <w:rFonts w:ascii="Times New Roman;sans-serif" w:hAnsi="Times New Roman;sans-serif"/>
          <w:b w:val="false"/>
          <w:color w:val="000000"/>
          <w:sz w:val="20"/>
        </w:rPr>
        <w:t>Resi</w:t>
      </w:r>
      <w:r>
        <w:rPr>
          <w:rFonts w:ascii="Times New Roman;sans-serif" w:hAnsi="Times New Roman;sans-serif"/>
          <w:b w:val="false"/>
          <w:color w:val="000000"/>
          <w:sz w:val="20"/>
          <w:highlight w:val="white"/>
        </w:rPr>
        <w:t xml:space="preserve">dential and small commercial customers represented over </w:t>
      </w:r>
      <w:r>
        <w:rPr>
          <w:rFonts w:ascii="Times New Roman;sans-serif" w:hAnsi="Times New Roman;sans-serif"/>
          <w:b w:val="false"/>
          <w:color w:val="000000"/>
          <w:sz w:val="20"/>
        </w:rPr>
        <w:t>99%</w:t>
      </w:r>
      <w:r>
        <w:rPr>
          <w:color w:val="000000"/>
          <w:highlight w:val="white"/>
        </w:rPr>
        <w:t xml:space="preserve"> </w:t>
      </w:r>
      <w:r>
        <w:rPr>
          <w:rFonts w:ascii="Times New Roman;sans-serif" w:hAnsi="Times New Roman;sans-serif"/>
          <w:b w:val="false"/>
          <w:color w:val="000000"/>
          <w:sz w:val="20"/>
          <w:highlight w:val="white"/>
        </w:rPr>
        <w:t>of th</w:t>
      </w:r>
      <w:r>
        <w:rPr>
          <w:rFonts w:ascii="Times New Roman;sans-serif" w:hAnsi="Times New Roman;sans-serif"/>
          <w:b w:val="false"/>
          <w:color w:val="000000"/>
          <w:sz w:val="20"/>
        </w:rPr>
        <w:t xml:space="preserve">e total customer base. During the twelve months ended March 31, 2023, </w:t>
      </w:r>
      <w:r>
        <w:rPr>
          <w:rFonts w:ascii="Times New Roman;sans-serif" w:hAnsi="Times New Roman;sans-serif"/>
          <w:b w:val="false"/>
          <w:color w:val="000000"/>
          <w:sz w:val="20"/>
          <w:highlight w:val="white"/>
        </w:rPr>
        <w:t>54%</w:t>
      </w:r>
      <w:r>
        <w:rPr>
          <w:color w:val="000000"/>
        </w:rPr>
        <w:t xml:space="preserve"> </w:t>
      </w:r>
      <w:r>
        <w:rPr>
          <w:rFonts w:ascii="Times New Roman;sans-serif" w:hAnsi="Times New Roman;sans-serif"/>
          <w:b w:val="false"/>
          <w:color w:val="000000"/>
          <w:sz w:val="20"/>
        </w:rPr>
        <w:t xml:space="preserve">of operating margin (Regulated operations revenues less the net cost of gas sold) was earned in Arizona, </w:t>
      </w:r>
      <w:r>
        <w:rPr>
          <w:rFonts w:ascii="Times New Roman;sans-serif" w:hAnsi="Times New Roman;sans-serif"/>
          <w:b w:val="false"/>
          <w:color w:val="000000"/>
          <w:sz w:val="20"/>
          <w:highlight w:val="white"/>
        </w:rPr>
        <w:t>35% in Nevada, and 11% in Cal</w:t>
      </w:r>
      <w:r>
        <w:rPr>
          <w:rFonts w:ascii="Times New Roman;sans-serif" w:hAnsi="Times New Roman;sans-serif"/>
          <w:b w:val="false"/>
          <w:color w:val="000000"/>
          <w:sz w:val="20"/>
        </w:rPr>
        <w:t>ifornia. During this same period, Southwest earned 84% of its operating margin from residential and small commercial customers, 5% from other sales customers, and 11% from transportation customers. These patterns are expected to remain materially consistent for the foreseeable future.</w:t>
      </w:r>
    </w:p>
    <w:p>
      <w:pPr>
        <w:pStyle w:val="TextBody"/>
        <w:spacing w:lineRule="auto" w:line="288" w:before="120" w:after="283"/>
        <w:jc w:val="both"/>
        <w:rPr/>
      </w:pPr>
      <w:r>
        <w:rPr>
          <w:rFonts w:ascii="Times New Roman;sans-serif" w:hAnsi="Times New Roman;sans-serif"/>
          <w:b w:val="false"/>
          <w:color w:val="000000"/>
          <w:sz w:val="20"/>
        </w:rPr>
        <w:t xml:space="preserve">Southwest recognizes operating revenues from the distribution and transportation of natural gas (and related services) to customers. Operating margin is a financial measure defined by management as Regulated operations revenues less the net cost of gas sold. However, operating margin is not specifically defined in accounting principles generally accepted in the United States (“U.S. GAAP”). Thus, operating margin is considered a non-GAAP measure. Management uses this financial measure because Regulated operations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Commission decisions on the amount and timing of relief may impact our earnings. Refer to the Summary Operating Results table below for a reconciliation of gross margin to operating margin, and refer to </w:t>
      </w:r>
      <w:r>
        <w:rPr>
          <w:rFonts w:ascii="Times New Roman;sans-serif" w:hAnsi="Times New Roman;sans-serif"/>
          <w:b w:val="false"/>
          <w:i/>
          <w:color w:val="000000"/>
          <w:sz w:val="20"/>
        </w:rPr>
        <w:t>Rates and Regulatory Proceedings</w:t>
      </w:r>
      <w:r>
        <w:rPr>
          <w:color w:val="000000"/>
        </w:rPr>
        <w:t xml:space="preserve"> </w:t>
      </w:r>
      <w:r>
        <w:rPr>
          <w:rFonts w:ascii="Times New Roman;sans-serif" w:hAnsi="Times New Roman;sans-serif"/>
          <w:b w:val="false"/>
          <w:color w:val="000000"/>
          <w:sz w:val="20"/>
        </w:rPr>
        <w:t>in this Management’s Discussion and Analysis, for details of various rate proceedings.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unusual weather variability and conservation on operating margin, allowing Southwest to pursue energy efficiency initiatives.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Centuri is a strategic infrastructure services company that partners with regulated utilities to build and maintain the energy network that powers millions of homes and businesses across the United States (“U.S.”) and Canada. With an unwavering commitment to serve as long-term partners to customers and communities, Centuri’s employees enable regulated utilities to safely and reliably deliver natural gas and electricity, as well as achieve their goals for environmental sustainability. Centuri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28650"/>
                <wp:effectExtent l="0" t="0" r="0" b="0"/>
                <wp:wrapNone/>
                <wp:docPr id="28" name="Frame2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operates in 83 primary locations across 45 states and provinces in the U.S. and Canada. Centuri operates in the U.S., primarily as NPL, Neuco, Linetec, and Riggs Distler, and in Canada, primarily as NPL Canada. </w:t>
      </w:r>
    </w:p>
    <w:p>
      <w:pPr>
        <w:pStyle w:val="TextBody"/>
        <w:spacing w:lineRule="auto" w:line="288" w:before="120" w:after="283"/>
        <w:jc w:val="both"/>
        <w:rPr/>
      </w:pPr>
      <w:r>
        <w:rPr>
          <w:rFonts w:ascii="Times New Roman;sans-serif" w:hAnsi="Times New Roman;sans-serif"/>
          <w:b w:val="false"/>
          <w:color w:val="000000"/>
          <w:sz w:val="20"/>
        </w:rPr>
        <w:t>Utility infrastructure services activity can be impacted by changes in infrastructure replacement programs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projects throughout the U.S. Likewise, there has been similar attention placed on electric grid modernization through national infrastructure legislation and related initiatives. The Department of Energy estimates more than 70% of the nation’s grid transmission lines and power transformers are over 25 years old, creating vulnerability exacerbated by seasonal storm and extreme weather events.</w:t>
      </w:r>
      <w:r>
        <w:rPr>
          <w:color w:val="FF0000"/>
        </w:rPr>
        <w:t xml:space="preserve"> </w:t>
      </w:r>
      <w:r>
        <w:rPr>
          <w:rFonts w:ascii="Times New Roman;sans-serif" w:hAnsi="Times New Roman;sans-serif"/>
          <w:b w:val="false"/>
          <w:color w:val="000000"/>
          <w:sz w:val="20"/>
        </w:rPr>
        <w:t>Generally, Centuri revenues are lowest during the first quarter of the year due to less favorable winter weather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and related results impacts are not solely within the control of management. In addition,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MountainWest, which was sold on February 14, 2023, is an interstate natural gas transmission pipeline company that provides transportation and underground storage services to customers in Utah, Wyoming, and Colorado. During the period of ownership by the Company, its operations included a substantial portion of its revenue being derived from reservation charges, with variable rates also included as part of its primarily rate-regulated rate structures.</w:t>
      </w:r>
    </w:p>
    <w:p>
      <w:pPr>
        <w:pStyle w:val="TextBody"/>
        <w:spacing w:lineRule="auto" w:line="288" w:before="120" w:after="283"/>
        <w:jc w:val="both"/>
        <w:rPr>
          <w:rFonts w:ascii="Times New Roman;sans-serif" w:hAnsi="Times New Roman;sans-serif"/>
          <w:b w:val="false"/>
          <w:color w:val="212529"/>
          <w:sz w:val="20"/>
        </w:rPr>
      </w:pPr>
      <w:r>
        <w:rPr>
          <w:rFonts w:ascii="Times New Roman;sans-serif" w:hAnsi="Times New Roman;sans-serif"/>
          <w:b w:val="false"/>
          <w:color w:val="212529"/>
          <w:sz w:val="20"/>
        </w:rPr>
        <w:t>All of our businesses may be impacted by economic conditions that impact businesses generally, such as inflationary impacts on goods and services consumed in the business, rising interest rates, labor markets and costs (including in regard to contracted or professional services), and the availability of those resources. Certain of these impacts may be more predominant in certain of our operations, such as with regard to fuel costs for work equipment and skilled/trade labor costs at Centuri.</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(“MD&amp;A”) of Financial Condition and Results of Operations should be read in conjunction with the unaudited condensed consolidated financial statements and notes thereto included in this Quarterly Report on Form 10-Q and the audited financial statements and notes thereto, as well as the MD&amp;A included in the 2022 Annual Report to Stockholders, which is incorporated by reference into Southwest’s and the Company’s Annual Report on Form 10-K for the fiscal year ended December 31, 2022 (the “2022 Form 10-K), in addition to the Risk Factors included in these documents, and as updated from time to time.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28650"/>
                <wp:effectExtent l="0" t="0" r="0" b="0"/>
                <wp:wrapNone/>
                <wp:docPr id="29" name="Frame2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Executive Summary</w:t>
      </w:r>
    </w:p>
    <w:p>
      <w:pPr>
        <w:pStyle w:val="TextBody"/>
        <w:spacing w:lineRule="auto" w:line="288" w:before="120" w:after="283"/>
        <w:jc w:val="both"/>
        <w:rPr/>
      </w:pPr>
      <w:r>
        <w:rPr>
          <w:rFonts w:ascii="Times New Roman;sans-serif" w:hAnsi="Times New Roman;sans-serif"/>
          <w:b/>
          <w:color w:val="000000"/>
          <w:sz w:val="20"/>
        </w:rPr>
        <w:t>The items discussed in this Executive Summary are intended to provide an overview of the results of the Company’s and Southwest’s operations and are covered in greater detail in later sections of the MD&amp;A.</w:t>
      </w:r>
      <w:r>
        <w:rPr>
          <w:color w:val="000000"/>
        </w:rPr>
        <w:t xml:space="preserv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Summary Operating Results</w:t>
      </w:r>
    </w:p>
    <w:tbl>
      <w:tblPr>
        <w:tblW w:w="10205" w:type="dxa"/>
        <w:jc w:val="left"/>
        <w:tblInd w:w="0" w:type="dxa"/>
        <w:tblCellMar>
          <w:top w:w="28" w:type="dxa"/>
          <w:left w:w="28" w:type="dxa"/>
          <w:bottom w:w="28" w:type="dxa"/>
          <w:right w:w="28" w:type="dxa"/>
        </w:tblCellMar>
      </w:tblPr>
      <w:tblGrid>
        <w:gridCol w:w="1537"/>
        <w:gridCol w:w="1211"/>
        <w:gridCol w:w="121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537"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1"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Period Ended March 31,</w:t>
            </w:r>
          </w:p>
        </w:tc>
      </w:tr>
      <w:tr>
        <w:trPr/>
        <w:tc>
          <w:tcPr>
            <w:tcW w:w="39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Three Months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Twelve Months </w:t>
            </w:r>
          </w:p>
        </w:tc>
      </w:tr>
      <w:tr>
        <w:trPr/>
        <w:tc>
          <w:tcPr>
            <w:tcW w:w="39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9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Contribution to 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distribution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180,215 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infrastructure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 and storage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59,919 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Natural Gas Distribution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Gross Margin to Operating Margin (Non-GAAP measure)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Gross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571,051 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Plus: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 (excluding Admin. &amp; General)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276,525 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256,814 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1,104,390 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1st Quarter 2023 Overview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Southwest Gas Holdings highlights include the following:</w:t>
      </w:r>
    </w:p>
    <w:p>
      <w:pPr>
        <w:pStyle w:val="TextBody"/>
        <w:spacing w:lineRule="auto" w:line="288" w:before="0" w:after="0"/>
        <w:ind w:left="0" w:right="0" w:hanging="360"/>
        <w:jc w:val="both"/>
        <w:rPr/>
      </w:pPr>
      <w:r>
        <w:rPr>
          <w:color w:val="000000"/>
          <w:highlight w:val="white"/>
        </w:rPr>
        <w:t>•</w:t>
      </w:r>
      <w:r>
        <w:rPr>
          <w:rFonts w:ascii="Times New Roman;sans-serif" w:hAnsi="Times New Roman;sans-serif"/>
          <w:b w:val="false"/>
          <w:color w:val="000000"/>
          <w:sz w:val="20"/>
          <w:highlight w:val="white"/>
        </w:rPr>
        <w:t>Completed the MountainWest sale and paid down the remaining balance of the term loan used to initially fund the MountainWest acquisition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Corporate and administrative expenses include additional loss on sale of MountainWest, including $28.4 million MountainWest Overthrust Pipeline settlement (pending FERC approval), and interest on the aforementioned MountainWest acquisition term loan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Issued 4.1 million shares of common stock for net proceeds of $238.4 million</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Natural gas distribution highlights include the following:</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42,000 first-time meters sets occurred over the past 12 months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Operating margin increased</w:t>
      </w:r>
      <w:r>
        <w:rPr>
          <w:color w:val="000000"/>
          <w:highlight w:val="white"/>
        </w:rPr>
        <w:t xml:space="preserve"> </w:t>
      </w:r>
      <w:r>
        <w:rPr>
          <w:rFonts w:ascii="Times New Roman;sans-serif" w:hAnsi="Times New Roman;sans-serif"/>
          <w:b w:val="false"/>
          <w:color w:val="000000"/>
          <w:sz w:val="20"/>
          <w:highlight w:val="white"/>
        </w:rPr>
        <w:t xml:space="preserve">$34 million </w:t>
      </w:r>
      <w:r>
        <w:rPr>
          <w:rFonts w:ascii="Times New Roman;sans-serif" w:hAnsi="Times New Roman;sans-serif"/>
          <w:b w:val="false"/>
          <w:color w:val="000000"/>
          <w:sz w:val="20"/>
        </w:rPr>
        <w:t>in the first quarter of 2023, including Arizona rate relief</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$192 million capital investment during the quarter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COLI results increased </w:t>
      </w:r>
      <w:r>
        <w:rPr>
          <w:rFonts w:ascii="Times New Roman;sans-serif" w:hAnsi="Times New Roman;sans-serif"/>
          <w:b w:val="false"/>
          <w:color w:val="000000"/>
          <w:sz w:val="20"/>
          <w:highlight w:val="white"/>
        </w:rPr>
        <w:t>$4.4 million</w:t>
      </w:r>
      <w:r>
        <w:rPr>
          <w:color w:val="000000"/>
        </w:rPr>
        <w:t xml:space="preserve"> </w:t>
      </w:r>
      <w:r>
        <w:rPr>
          <w:rFonts w:ascii="Times New Roman;sans-serif" w:hAnsi="Times New Roman;sans-serif"/>
          <w:b w:val="false"/>
          <w:color w:val="000000"/>
          <w:sz w:val="20"/>
        </w:rPr>
        <w:t>compared to the prior-year quarter</w:t>
      </w:r>
    </w:p>
    <w:p>
      <w:pPr>
        <w:pStyle w:val="TextBody"/>
        <w:spacing w:lineRule="auto" w:line="288" w:before="12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Utility infrastructure services highlights include the following:</w:t>
      </w:r>
    </w:p>
    <w:p>
      <w:pPr>
        <w:pStyle w:val="TextBody"/>
        <w:spacing w:lineRule="auto" w:line="288" w:before="0" w:after="0"/>
        <w:ind w:left="0" w:right="0" w:hanging="360"/>
        <w:jc w:val="both"/>
        <w:rPr/>
      </w:pPr>
      <w:r>
        <w:rPr>
          <w:color w:val="000000"/>
          <w:highlight w:val="white"/>
        </w:rPr>
        <w:t>•</w:t>
      </w:r>
      <w:r>
        <w:rPr>
          <w:rFonts w:ascii="Times New Roman;sans-serif" w:hAnsi="Times New Roman;sans-serif"/>
          <w:b w:val="false"/>
          <w:color w:val="000000"/>
          <w:sz w:val="20"/>
          <w:highlight w:val="white"/>
        </w:rPr>
        <w:t>Record revenues of $653 million in the first quarter of 2023, an increase of $129 million, or 25%, compared to the first quarter of 2022</w:t>
      </w:r>
    </w:p>
    <w:p>
      <w:pPr>
        <w:pStyle w:val="TextBody"/>
        <w:spacing w:lineRule="auto" w:line="288" w:before="0" w:after="0"/>
        <w:ind w:left="0" w:right="0" w:hanging="360"/>
        <w:jc w:val="both"/>
        <w:rPr/>
      </w:pPr>
      <w:r>
        <w:rPr>
          <w:color w:val="000000"/>
          <w:highlight w:val="white"/>
        </w:rPr>
        <w:t>•</w:t>
      </w:r>
      <w:r>
        <w:rPr>
          <w:rFonts w:ascii="Times New Roman;sans-serif" w:hAnsi="Times New Roman;sans-serif"/>
          <w:b w:val="false"/>
          <w:color w:val="000000"/>
          <w:sz w:val="20"/>
          <w:highlight w:val="white"/>
        </w:rPr>
        <w:t>Signed over $311 million of offshore wind and large gas customer contracts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Costs continued to be impacted by inflation, including higher fuel, subcontractor, and equipment rental costs</w:t>
      </w:r>
    </w:p>
    <w:p>
      <w:pPr>
        <w:pStyle w:val="TextBody"/>
        <w:spacing w:before="12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28650"/>
                <wp:effectExtent l="0" t="0" r="0" b="0"/>
                <wp:wrapNone/>
                <wp:docPr id="30" name="Frame3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Results of Natural Gas Distribution</w:t>
      </w:r>
    </w:p>
    <w:p>
      <w:pPr>
        <w:pStyle w:val="TextBody"/>
        <w:spacing w:lineRule="auto" w:line="288" w:before="24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Quarterly Analysis</w:t>
      </w:r>
    </w:p>
    <w:tbl>
      <w:tblPr>
        <w:tblW w:w="6126" w:type="dxa"/>
        <w:jc w:val="left"/>
        <w:tblInd w:w="0" w:type="dxa"/>
        <w:tblCellMar>
          <w:top w:w="28" w:type="dxa"/>
          <w:left w:w="28" w:type="dxa"/>
          <w:bottom w:w="28" w:type="dxa"/>
          <w:right w:w="28" w:type="dxa"/>
        </w:tblCellMar>
      </w:tblPr>
      <w:tblGrid>
        <w:gridCol w:w="1136"/>
        <w:gridCol w:w="996"/>
        <w:gridCol w:w="1003"/>
        <w:gridCol w:w="109"/>
        <w:gridCol w:w="109"/>
        <w:gridCol w:w="109"/>
        <w:gridCol w:w="211"/>
        <w:gridCol w:w="826"/>
        <w:gridCol w:w="109"/>
        <w:gridCol w:w="109"/>
        <w:gridCol w:w="109"/>
        <w:gridCol w:w="109"/>
        <w:gridCol w:w="211"/>
        <w:gridCol w:w="826"/>
        <w:gridCol w:w="154"/>
      </w:tblGrid>
      <w:tr>
        <w:trPr/>
        <w:tc>
          <w:tcPr>
            <w:tcW w:w="1136"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cost of gas sold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297,121 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(deductions)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deductions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(26,610)</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to consolidated results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pPr>
      <w:r>
        <w:rPr>
          <w:rFonts w:ascii="Times New Roman;sans-serif" w:hAnsi="Times New Roman;sans-serif"/>
          <w:b w:val="false"/>
          <w:color w:val="000000"/>
          <w:sz w:val="20"/>
        </w:rPr>
        <w:t>Results from natural gas distribution operatio</w:t>
      </w:r>
      <w:r>
        <w:rPr>
          <w:rFonts w:ascii="Times New Roman;sans-serif" w:hAnsi="Times New Roman;sans-serif"/>
          <w:b w:val="false"/>
          <w:color w:val="000000"/>
          <w:sz w:val="20"/>
          <w:highlight w:val="white"/>
        </w:rPr>
        <w:t>ns improved</w:t>
      </w:r>
      <w:r>
        <w:rPr>
          <w:color w:val="000000"/>
        </w:rPr>
        <w:t xml:space="preserve"> </w:t>
      </w:r>
      <w:r>
        <w:rPr>
          <w:rFonts w:ascii="Times New Roman;sans-serif" w:hAnsi="Times New Roman;sans-serif"/>
          <w:b w:val="false"/>
          <w:color w:val="000000"/>
          <w:sz w:val="20"/>
        </w:rPr>
        <w:t>$23 million</w:t>
      </w:r>
      <w:r>
        <w:rPr>
          <w:color w:val="000000"/>
          <w:highlight w:val="white"/>
        </w:rPr>
        <w:t> </w:t>
      </w:r>
      <w:r>
        <w:rPr>
          <w:rFonts w:ascii="Times New Roman;sans-serif" w:hAnsi="Times New Roman;sans-serif"/>
          <w:b w:val="false"/>
          <w:color w:val="000000"/>
          <w:sz w:val="20"/>
          <w:highlight w:val="white"/>
        </w:rPr>
        <w:t>betwe</w:t>
      </w:r>
      <w:r>
        <w:rPr>
          <w:rFonts w:ascii="Times New Roman;sans-serif" w:hAnsi="Times New Roman;sans-serif"/>
          <w:b w:val="false"/>
          <w:color w:val="000000"/>
          <w:sz w:val="20"/>
        </w:rPr>
        <w:t>en the first quarters of 2023 and 2022. The improvement</w:t>
      </w:r>
      <w:r>
        <w:rPr>
          <w:color w:val="000000"/>
          <w:highlight w:val="white"/>
        </w:rPr>
        <w:t xml:space="preserve"> </w:t>
      </w:r>
      <w:r>
        <w:rPr>
          <w:rFonts w:ascii="Times New Roman;sans-serif" w:hAnsi="Times New Roman;sans-serif"/>
          <w:b w:val="false"/>
          <w:color w:val="000000"/>
          <w:sz w:val="20"/>
          <w:highlight w:val="white"/>
        </w:rPr>
        <w:t xml:space="preserve">was primarily due to </w:t>
      </w:r>
      <w:r>
        <w:rPr>
          <w:rFonts w:ascii="Times New Roman;sans-serif" w:hAnsi="Times New Roman;sans-serif"/>
          <w:b w:val="false"/>
          <w:color w:val="000000"/>
          <w:sz w:val="20"/>
        </w:rPr>
        <w:t xml:space="preserve">an increase in Operating margin and Other income (deductions), offset by an increase in Operations and maintenance, Depreciation and amortization, and Net interest deductions. </w:t>
      </w:r>
    </w:p>
    <w:p>
      <w:pPr>
        <w:pStyle w:val="TextBody"/>
        <w:spacing w:lineRule="auto" w:line="288" w:before="120" w:after="283"/>
        <w:jc w:val="both"/>
        <w:rPr/>
      </w:pPr>
      <w:r>
        <w:rPr>
          <w:rFonts w:ascii="Times New Roman;sans-serif" w:hAnsi="Times New Roman;sans-serif"/>
          <w:b w:val="false"/>
          <w:color w:val="000000"/>
          <w:sz w:val="20"/>
        </w:rPr>
        <w:t xml:space="preserve">Operating margin increased $34.3 million quarter over quarter. Approximately $5 million of incremental margin was attributable to customer growth, including 42,000 first-time meter sets during the last twelve months. Combined rate relief added approximately $14 million of combined margin. Amounts collected from customers associated with previously unrecovered Vintage Steel Pipe (“VSP”) and Customer-Owned Yard Line (“COYL”) programs in Arizona ($4 million) also contributed to the improvement. Additionally, an $8 million out-of-period adjusting entry in the current quarter was made, which reduced Net cost of gas sold (See </w:t>
      </w:r>
      <w:r>
        <w:rPr>
          <w:rFonts w:ascii="Times New Roman;sans-serif" w:hAnsi="Times New Roman;sans-serif"/>
          <w:b w:val="false"/>
          <w:i/>
          <w:color w:val="000000"/>
          <w:sz w:val="20"/>
        </w:rPr>
        <w:t>Basis of Presentation</w:t>
      </w:r>
      <w:r>
        <w:rPr>
          <w:color w:val="000000"/>
        </w:rPr>
        <w:t xml:space="preserve"> </w:t>
      </w:r>
      <w:r>
        <w:rPr>
          <w:rFonts w:ascii="Times New Roman;sans-serif" w:hAnsi="Times New Roman;sans-serif"/>
          <w:b w:val="false"/>
          <w:color w:val="000000"/>
          <w:sz w:val="20"/>
        </w:rPr>
        <w:t xml:space="preserve">in </w:t>
      </w:r>
      <w:r>
        <w:rPr>
          <w:rFonts w:ascii="Times New Roman;sans-serif" w:hAnsi="Times New Roman;sans-serif"/>
          <w:b/>
          <w:color w:val="000000"/>
          <w:sz w:val="20"/>
        </w:rPr>
        <w:t>Note 1 – Background, Organization, and Summary of Significant Accounting Policies</w:t>
      </w:r>
      <w:r>
        <w:rPr>
          <w:color w:val="000000"/>
        </w:rPr>
        <w:t xml:space="preserve"> </w:t>
      </w:r>
      <w:r>
        <w:rPr>
          <w:rFonts w:ascii="Times New Roman;sans-serif" w:hAnsi="Times New Roman;sans-serif"/>
          <w:b w:val="false"/>
          <w:color w:val="000000"/>
          <w:sz w:val="20"/>
        </w:rPr>
        <w:t>in this Quarterly Report on Form 10-Q). Other differences include customer-provided fuel required for pipeline operations (offset in Operations and maintenance expense), and miscellaneous revenue and margin from customers outside the decoupling mechanisms.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Operations and maintenance expense increased $11.6 million between quarters, including approximately $4 million in fuel-related costs ($3 million of which is customer-provided fuel for pipeline operations, discussed above), $1.7 million in combined leak survey and line locating costs, $2.6 million primarily related to outside services/contractor costs in various areas of the business, as well as increases in insurance related claims ($1 million). </w:t>
      </w:r>
    </w:p>
    <w:p>
      <w:pPr>
        <w:pStyle w:val="TextBody"/>
        <w:spacing w:lineRule="auto" w:line="288" w:before="120" w:after="283"/>
        <w:jc w:val="both"/>
        <w:rPr/>
      </w:pPr>
      <w:r>
        <w:rPr>
          <w:rFonts w:ascii="Times New Roman;sans-serif" w:hAnsi="Times New Roman;sans-serif"/>
          <w:b w:val="false"/>
          <w:color w:val="000000"/>
          <w:sz w:val="20"/>
        </w:rPr>
        <w:t>Depreciation and amortization exp</w:t>
      </w:r>
      <w:r>
        <w:rPr>
          <w:rFonts w:ascii="Times New Roman;sans-serif" w:hAnsi="Times New Roman;sans-serif"/>
          <w:b w:val="false"/>
          <w:color w:val="000000"/>
          <w:sz w:val="20"/>
          <w:highlight w:val="white"/>
        </w:rPr>
        <w:t xml:space="preserve">ense </w:t>
      </w:r>
      <w:r>
        <w:rPr>
          <w:rFonts w:ascii="Times New Roman;sans-serif" w:hAnsi="Times New Roman;sans-serif"/>
          <w:b w:val="false"/>
          <w:color w:val="000000"/>
          <w:sz w:val="20"/>
        </w:rPr>
        <w:t xml:space="preserve">increased $2.5 million, or 4%, </w:t>
      </w:r>
      <w:r>
        <w:rPr>
          <w:rFonts w:ascii="Times New Roman;sans-serif" w:hAnsi="Times New Roman;sans-serif"/>
          <w:b w:val="false"/>
          <w:color w:val="000000"/>
          <w:sz w:val="20"/>
          <w:highlight w:val="white"/>
        </w:rPr>
        <w:t>betwee</w:t>
      </w:r>
      <w:r>
        <w:rPr>
          <w:rFonts w:ascii="Times New Roman;sans-serif" w:hAnsi="Times New Roman;sans-serif"/>
          <w:b w:val="false"/>
          <w:color w:val="000000"/>
          <w:sz w:val="20"/>
        </w:rPr>
        <w:t>n quarters, primarily d</w:t>
      </w:r>
      <w:r>
        <w:rPr>
          <w:rFonts w:ascii="Times New Roman;sans-serif" w:hAnsi="Times New Roman;sans-serif"/>
          <w:b w:val="false"/>
          <w:color w:val="000000"/>
          <w:sz w:val="20"/>
          <w:highlight w:val="white"/>
        </w:rPr>
        <w:t>ue</w:t>
      </w:r>
      <w:r>
        <w:rPr>
          <w:color w:val="000000"/>
        </w:rPr>
        <w:t xml:space="preserve"> </w:t>
      </w:r>
      <w:r>
        <w:rPr>
          <w:rFonts w:ascii="Times New Roman;sans-serif" w:hAnsi="Times New Roman;sans-serif"/>
          <w:b w:val="false"/>
          <w:color w:val="000000"/>
          <w:sz w:val="20"/>
        </w:rPr>
        <w:t xml:space="preserve">to a $533 million, or 6%, increase in average gas plant in service since the corresponding first quarter of 2022, offset by $647,000 in reduced amortization expense related to regulatory account balances. The increase in plant was attributable to pipeline capacity reinforcement work, franchise requirements, scheduled pipe replacement activities, and new infrastructure.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increased $17 million. Interest income increased $9.7 million between quarters related to carrying charges associated with regulatory account balances, notably deferred purchased gas cost balances, which increased from $368 million existing as of March 31, 2022 to $970 million existing as of March 31, 2023. The non-service-related components of employee pension and other postretirement benefit costs decreased $5.3 million between quarters. Southwest also recognized a $4.4 million increase in COLI results in the current quarter compared to the comparable quarter in the prior year.</w:t>
      </w:r>
    </w:p>
    <w:p>
      <w:pPr>
        <w:pStyle w:val="TextBody"/>
        <w:spacing w:lineRule="auto" w:line="288" w:before="120" w:after="283"/>
        <w:jc w:val="both"/>
        <w:rPr/>
      </w:pPr>
      <w:r>
        <w:rPr>
          <w:rFonts w:ascii="Times New Roman;sans-serif" w:hAnsi="Times New Roman;sans-serif"/>
          <w:b w:val="false"/>
          <w:color w:val="000000"/>
          <w:sz w:val="20"/>
          <w:highlight w:val="white"/>
        </w:rPr>
        <w:t>Net interest deductions</w:t>
      </w:r>
      <w:r>
        <w:rPr>
          <w:color w:val="000000"/>
        </w:rPr>
        <w:t xml:space="preserve"> </w:t>
      </w:r>
      <w:r>
        <w:rPr>
          <w:rFonts w:ascii="Times New Roman;sans-serif" w:hAnsi="Times New Roman;sans-serif"/>
          <w:b w:val="false"/>
          <w:color w:val="000000"/>
          <w:sz w:val="20"/>
        </w:rPr>
        <w:t>increased $12 million</w:t>
      </w:r>
      <w:r>
        <w:rPr>
          <w:color w:val="000000"/>
          <w:highlight w:val="white"/>
        </w:rPr>
        <w:t xml:space="preserve"> </w:t>
      </w:r>
      <w:r>
        <w:rPr>
          <w:rFonts w:ascii="Times New Roman;sans-serif" w:hAnsi="Times New Roman;sans-serif"/>
          <w:b w:val="false"/>
          <w:color w:val="000000"/>
          <w:sz w:val="20"/>
          <w:highlight w:val="white"/>
        </w:rPr>
        <w:t xml:space="preserve">in the first quarter of 2023, as compared to the prior-year quarter, primarily due </w:t>
      </w:r>
      <w:r>
        <w:rPr>
          <w:rFonts w:ascii="Times New Roman;sans-serif" w:hAnsi="Times New Roman;sans-serif"/>
          <w:b w:val="false"/>
          <w:color w:val="000000"/>
          <w:sz w:val="20"/>
        </w:rPr>
        <w:t xml:space="preserve">to interest associated with $600 million of Senior Notes issued in March 2022, $300 million of Senior Notes issued in December 2022, and $300 million of Senior Notes issued in March 2023. Additionally, increased interest resulted from an increase in short-term debt, including a $450 million term loan issued in January 2023 (paid off in full in April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28650"/>
                <wp:effectExtent l="0" t="0" r="0" b="0"/>
                <wp:wrapNone/>
                <wp:docPr id="31" name="Frame3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Results of Natural Gas Distribution</w:t>
      </w:r>
    </w:p>
    <w:p>
      <w:pPr>
        <w:pStyle w:val="TextBody"/>
        <w:spacing w:lineRule="auto" w:line="288" w:before="24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Twelve-Month Analysis</w:t>
      </w:r>
    </w:p>
    <w:tbl>
      <w:tblPr>
        <w:tblW w:w="6426" w:type="dxa"/>
        <w:jc w:val="left"/>
        <w:tblInd w:w="0" w:type="dxa"/>
        <w:tblCellMar>
          <w:top w:w="28" w:type="dxa"/>
          <w:left w:w="28" w:type="dxa"/>
          <w:bottom w:w="28" w:type="dxa"/>
          <w:right w:w="28" w:type="dxa"/>
        </w:tblCellMar>
      </w:tblPr>
      <w:tblGrid>
        <w:gridCol w:w="1136"/>
        <w:gridCol w:w="996"/>
        <w:gridCol w:w="1003"/>
        <w:gridCol w:w="109"/>
        <w:gridCol w:w="109"/>
        <w:gridCol w:w="109"/>
        <w:gridCol w:w="211"/>
        <w:gridCol w:w="976"/>
        <w:gridCol w:w="109"/>
        <w:gridCol w:w="109"/>
        <w:gridCol w:w="109"/>
        <w:gridCol w:w="109"/>
        <w:gridCol w:w="211"/>
        <w:gridCol w:w="976"/>
        <w:gridCol w:w="154"/>
      </w:tblGrid>
      <w:tr>
        <w:trPr/>
        <w:tc>
          <w:tcPr>
            <w:tcW w:w="1136"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 Ended March 31,</w:t>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cost of gas sold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1,104,390 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(deductions)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deductions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to consolidated results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pPr>
      <w:r>
        <w:rPr>
          <w:rFonts w:ascii="Times New Roman;sans-serif" w:hAnsi="Times New Roman;sans-serif"/>
          <w:b w:val="false"/>
          <w:color w:val="000000"/>
          <w:sz w:val="20"/>
        </w:rPr>
        <w:t>Contrib</w:t>
      </w:r>
      <w:r>
        <w:rPr>
          <w:rFonts w:ascii="Times New Roman;sans-serif" w:hAnsi="Times New Roman;sans-serif"/>
          <w:b w:val="false"/>
          <w:color w:val="000000"/>
          <w:sz w:val="20"/>
          <w:highlight w:val="white"/>
        </w:rPr>
        <w:t>ution to consolidated net income from natural gas distribution operations</w:t>
      </w:r>
      <w:r>
        <w:rPr>
          <w:color w:val="000000"/>
        </w:rPr>
        <w:t xml:space="preserve"> </w:t>
      </w:r>
      <w:r>
        <w:rPr>
          <w:rFonts w:ascii="Times New Roman;sans-serif" w:hAnsi="Times New Roman;sans-serif"/>
          <w:b w:val="false"/>
          <w:color w:val="000000"/>
          <w:sz w:val="20"/>
        </w:rPr>
        <w:t>decreased approximately $3 million bet</w:t>
      </w:r>
      <w:r>
        <w:rPr>
          <w:rFonts w:ascii="Times New Roman;sans-serif" w:hAnsi="Times New Roman;sans-serif"/>
          <w:b w:val="false"/>
          <w:color w:val="000000"/>
          <w:sz w:val="20"/>
          <w:highlight w:val="white"/>
        </w:rPr>
        <w:t xml:space="preserve">ween the twelve-month periods ended March 2023 and 2022. The </w:t>
      </w:r>
      <w:r>
        <w:rPr>
          <w:rFonts w:ascii="Times New Roman;sans-serif" w:hAnsi="Times New Roman;sans-serif"/>
          <w:b w:val="false"/>
          <w:color w:val="000000"/>
          <w:sz w:val="20"/>
        </w:rPr>
        <w:t>decline</w:t>
      </w:r>
      <w:r>
        <w:rPr>
          <w:color w:val="000000"/>
          <w:highlight w:val="white"/>
        </w:rPr>
        <w:t xml:space="preserve"> </w:t>
      </w:r>
      <w:r>
        <w:rPr>
          <w:rFonts w:ascii="Times New Roman;sans-serif" w:hAnsi="Times New Roman;sans-serif"/>
          <w:b w:val="false"/>
          <w:color w:val="000000"/>
          <w:sz w:val="20"/>
          <w:highlight w:val="white"/>
        </w:rPr>
        <w:t xml:space="preserve">was </w:t>
      </w:r>
      <w:r>
        <w:rPr>
          <w:rFonts w:ascii="Times New Roman;sans-serif" w:hAnsi="Times New Roman;sans-serif"/>
          <w:b w:val="false"/>
          <w:color w:val="000000"/>
          <w:sz w:val="20"/>
        </w:rPr>
        <w:t>due primarily to increases in Operations and maintenance expense, Depreciation and amortization, and Net interest deductions, offset by an increase in Operating margin and Other income.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margin increased $76 million between periods. Customer growth provided $15 million, and combined rate relief provided $27 million of incremental operating margin. Also contributing to the increase were customer late fees that were $2.4 million greater in the current period due to lifting the earlier moratorium on such fees in all jurisdictions. Approved VSP and COYL revenue in Arizona also contributed to the improvement between periods ($21 million). The $8 million out-of-period adjustment to Net cost of gas sold, noted earlier, also contributed to the increase. Offsetting these increases were lower recoveries associated with regulatory account balances ($4 million); an associated comparable decrease is also reflected in amortization expense between periods (discussed below).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 expense increased $51 million between periods. In addition to general inflationary impacts and labor market challenges overall, specific increases include pipeline integrity, reliability, line location, and engineering services costs ($12 million), increased cost of fuel (nearly $8 million, almost half of which is used in our operations), an increase in the reserve for customer accounts deemed uncollectible ($7.8 million), approximately $8 million in contractor/professional services in various areas of the business, higher legal and claim-related costs ($6 million), employee travel and training costs ($2.5 million), and higher labor-related costs ($2.6 million).</w:t>
      </w:r>
    </w:p>
    <w:p>
      <w:pPr>
        <w:pStyle w:val="TextBody"/>
        <w:spacing w:lineRule="auto" w:line="288" w:before="120" w:after="283"/>
        <w:jc w:val="both"/>
        <w:rPr/>
      </w:pPr>
      <w:r>
        <w:rPr>
          <w:rFonts w:ascii="Times New Roman;sans-serif" w:hAnsi="Times New Roman;sans-serif"/>
          <w:b w:val="false"/>
          <w:color w:val="000000"/>
          <w:sz w:val="20"/>
        </w:rPr>
        <w:t>Depreciation and amortization exp</w:t>
      </w:r>
      <w:r>
        <w:rPr>
          <w:rFonts w:ascii="Times New Roman;sans-serif" w:hAnsi="Times New Roman;sans-serif"/>
          <w:b w:val="false"/>
          <w:color w:val="000000"/>
          <w:sz w:val="20"/>
          <w:highlight w:val="white"/>
        </w:rPr>
        <w:t>ense</w:t>
      </w:r>
      <w:r>
        <w:rPr>
          <w:color w:val="000000"/>
        </w:rPr>
        <w:t xml:space="preserve"> </w:t>
      </w:r>
      <w:r>
        <w:rPr>
          <w:rFonts w:ascii="Times New Roman;sans-serif" w:hAnsi="Times New Roman;sans-serif"/>
          <w:b w:val="false"/>
          <w:color w:val="000000"/>
          <w:sz w:val="20"/>
        </w:rPr>
        <w:t xml:space="preserve">increased $8.8 million, or 3%, </w:t>
      </w:r>
      <w:r>
        <w:rPr>
          <w:rFonts w:ascii="Times New Roman;sans-serif" w:hAnsi="Times New Roman;sans-serif"/>
          <w:b w:val="false"/>
          <w:color w:val="000000"/>
          <w:sz w:val="20"/>
          <w:highlight w:val="white"/>
        </w:rPr>
        <w:t>bet</w:t>
      </w:r>
      <w:r>
        <w:rPr>
          <w:rFonts w:ascii="Times New Roman;sans-serif" w:hAnsi="Times New Roman;sans-serif"/>
          <w:b w:val="false"/>
          <w:color w:val="000000"/>
          <w:sz w:val="20"/>
        </w:rPr>
        <w:t>ween periods pri</w:t>
      </w:r>
      <w:r>
        <w:rPr>
          <w:rFonts w:ascii="Times New Roman;sans-serif" w:hAnsi="Times New Roman;sans-serif"/>
          <w:b w:val="false"/>
          <w:color w:val="000000"/>
          <w:sz w:val="20"/>
          <w:highlight w:val="white"/>
        </w:rPr>
        <w:t xml:space="preserve">marily due to a </w:t>
      </w:r>
      <w:r>
        <w:rPr>
          <w:rFonts w:ascii="Times New Roman;sans-serif" w:hAnsi="Times New Roman;sans-serif"/>
          <w:b w:val="false"/>
          <w:color w:val="000000"/>
          <w:sz w:val="20"/>
        </w:rPr>
        <w:t>$531 million, or 6%, increase</w:t>
      </w:r>
      <w:r>
        <w:rPr>
          <w:color w:val="000000"/>
          <w:highlight w:val="white"/>
        </w:rPr>
        <w:t xml:space="preserve"> </w:t>
      </w:r>
      <w:r>
        <w:rPr>
          <w:rFonts w:ascii="Times New Roman;sans-serif" w:hAnsi="Times New Roman;sans-serif"/>
          <w:b w:val="false"/>
          <w:color w:val="000000"/>
          <w:sz w:val="20"/>
          <w:highlight w:val="white"/>
        </w:rPr>
        <w:t xml:space="preserve">in average gas plant in service since the corresponding period in the prior year, </w:t>
      </w:r>
      <w:r>
        <w:rPr>
          <w:rFonts w:ascii="Times New Roman;sans-serif" w:hAnsi="Times New Roman;sans-serif"/>
          <w:b w:val="false"/>
          <w:color w:val="000000"/>
          <w:sz w:val="20"/>
        </w:rPr>
        <w:t>offset by a reduction ($4 million) in amortization of regulatory account balances, as discussed in regard to Operating margin above.</w:t>
      </w:r>
      <w:r>
        <w:rPr>
          <w:color w:val="000000"/>
          <w:highlight w:val="white"/>
        </w:rPr>
        <w:t xml:space="preserve"> </w:t>
      </w:r>
      <w:r>
        <w:rPr>
          <w:rFonts w:ascii="Times New Roman;sans-serif" w:hAnsi="Times New Roman;sans-serif"/>
          <w:b w:val="false"/>
          <w:color w:val="000000"/>
          <w:sz w:val="20"/>
          <w:highlight w:val="white"/>
        </w:rPr>
        <w:t xml:space="preserve">The increase in gas plant was attributable to pipeline capacity reinforcement work, franchise requirements, scheduled pipe replacement activities, and new infrastructure.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increased $14 million between the twelve-month periods of 2023 and 2022. Interest income increased $18.7 million between periods related to carrying charges associated with regulatory account balances, notably deferred purchased gas cost balances, which have increased substantially since the comparable period in the the prior year. Non-service-related components of employee pension and other postretirement benefit costs decreased $15.1 million between periods. Offsetting these impacts was a $5.1 million decline in COLI results between periods, a $9 million reserve for a software project deemed non-recoverable from utility operations, and a $3 million market adjustment on other property in 2022. </w:t>
      </w:r>
    </w:p>
    <w:p>
      <w:pPr>
        <w:pStyle w:val="TextBody"/>
        <w:spacing w:lineRule="auto" w:line="288" w:before="120" w:after="283"/>
        <w:jc w:val="both"/>
        <w:rPr/>
      </w:pPr>
      <w:r>
        <w:rPr>
          <w:rFonts w:ascii="Times New Roman;sans-serif" w:hAnsi="Times New Roman;sans-serif"/>
          <w:b w:val="false"/>
          <w:color w:val="000000"/>
          <w:sz w:val="20"/>
        </w:rPr>
        <w:t>Net interest deduct</w:t>
      </w:r>
      <w:r>
        <w:rPr>
          <w:rFonts w:ascii="Times New Roman;sans-serif" w:hAnsi="Times New Roman;sans-serif"/>
          <w:b w:val="false"/>
          <w:color w:val="000000"/>
          <w:sz w:val="20"/>
          <w:highlight w:val="white"/>
        </w:rPr>
        <w:t>ion</w:t>
      </w:r>
      <w:r>
        <w:rPr>
          <w:rFonts w:ascii="Times New Roman;sans-serif" w:hAnsi="Times New Roman;sans-serif"/>
          <w:b w:val="false"/>
          <w:color w:val="000000"/>
          <w:sz w:val="20"/>
        </w:rPr>
        <w:t>s increased $26 million</w:t>
      </w:r>
      <w:r>
        <w:rPr>
          <w:color w:val="000000"/>
          <w:highlight w:val="white"/>
        </w:rPr>
        <w:t xml:space="preserve"> </w:t>
      </w:r>
      <w:r>
        <w:rPr>
          <w:rFonts w:ascii="Times New Roman;sans-serif" w:hAnsi="Times New Roman;sans-serif"/>
          <w:b w:val="false"/>
          <w:color w:val="000000"/>
          <w:sz w:val="20"/>
        </w:rPr>
        <w:t xml:space="preserve">between periods </w:t>
      </w:r>
      <w:r>
        <w:rPr>
          <w:rFonts w:ascii="Times New Roman;sans-serif" w:hAnsi="Times New Roman;sans-serif"/>
          <w:b w:val="false"/>
          <w:color w:val="000000"/>
          <w:sz w:val="20"/>
          <w:highlight w:val="white"/>
        </w:rPr>
        <w:t xml:space="preserve">primarily due to </w:t>
      </w:r>
      <w:r>
        <w:rPr>
          <w:rFonts w:ascii="Times New Roman;sans-serif" w:hAnsi="Times New Roman;sans-serif"/>
          <w:b w:val="false"/>
          <w:color w:val="000000"/>
          <w:sz w:val="20"/>
        </w:rPr>
        <w:t>$600 million of Senior Notes issued in March 2022, $300 million of Senior Notes issued in December 2022, and, to a lesser extent, $300 million of Senior Notes issued in March 2023. Other impacts include increased interest associated with a higher amount of short-term debt and higher rates on variable-rate debt overall, including under Southwest’s credit facility.</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28650"/>
                <wp:effectExtent l="0" t="0" r="0" b="0"/>
                <wp:wrapNone/>
                <wp:docPr id="32" name="Frame3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increased $3.7 million between the twelve-month periods ended March 31, 2023 and 2022, primarily due to amortization of excess accumulated deferred income taxes (“EADIT”) ($5.3 million), changes in Arizona and California state apportionment percentages of $3.2 million, and return to provision differences of $5.1 million. Income tax expense in both periods reflects that COLI results are recognized without tax consequences.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Results of Utility Infrastructure Services</w:t>
      </w:r>
    </w:p>
    <w:p>
      <w:pPr>
        <w:pStyle w:val="TextBody"/>
        <w:spacing w:lineRule="auto" w:line="288" w:before="12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Quarterly Analysis</w:t>
      </w:r>
    </w:p>
    <w:tbl>
      <w:tblPr>
        <w:tblW w:w="7235" w:type="dxa"/>
        <w:jc w:val="left"/>
        <w:tblInd w:w="0" w:type="dxa"/>
        <w:tblCellMar>
          <w:top w:w="28" w:type="dxa"/>
          <w:left w:w="28" w:type="dxa"/>
          <w:bottom w:w="28" w:type="dxa"/>
          <w:right w:w="28" w:type="dxa"/>
        </w:tblCellMar>
      </w:tblPr>
      <w:tblGrid>
        <w:gridCol w:w="1537"/>
        <w:gridCol w:w="1350"/>
        <w:gridCol w:w="1357"/>
        <w:gridCol w:w="109"/>
        <w:gridCol w:w="109"/>
        <w:gridCol w:w="109"/>
        <w:gridCol w:w="211"/>
        <w:gridCol w:w="826"/>
        <w:gridCol w:w="109"/>
        <w:gridCol w:w="109"/>
        <w:gridCol w:w="109"/>
        <w:gridCol w:w="109"/>
        <w:gridCol w:w="211"/>
        <w:gridCol w:w="826"/>
        <w:gridCol w:w="154"/>
      </w:tblGrid>
      <w:tr>
        <w:trPr/>
        <w:tc>
          <w:tcPr>
            <w:tcW w:w="1537"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infrastructure services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infrastructure services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(deductions)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deductions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Contribution to consolidated results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pPr>
      <w:r>
        <w:rPr>
          <w:rFonts w:ascii="Times New Roman;sans-serif" w:hAnsi="Times New Roman;sans-serif"/>
          <w:b w:val="false"/>
          <w:color w:val="000000"/>
          <w:sz w:val="20"/>
        </w:rPr>
        <w:t xml:space="preserve">Utility infrastructure services revenues increased $129.4 million in the first quarter of 2023 when compared to the prior-year quarter, driven primarily by a $51.7 million increase in electric infrastructure revenues and a $43.3 million increase in offshore wind revenue, which is reflected as a component of other revenues (refer to </w:t>
      </w:r>
      <w:r>
        <w:rPr>
          <w:rFonts w:ascii="Times New Roman;sans-serif" w:hAnsi="Times New Roman;sans-serif"/>
          <w:b/>
          <w:color w:val="000000"/>
          <w:sz w:val="20"/>
        </w:rPr>
        <w:t>Note 3 – Revenue</w:t>
      </w:r>
      <w:r>
        <w:rPr>
          <w:color w:val="000000"/>
        </w:rPr>
        <w:t xml:space="preserve"> </w:t>
      </w:r>
      <w:r>
        <w:rPr>
          <w:rFonts w:ascii="Times New Roman;sans-serif" w:hAnsi="Times New Roman;sans-serif"/>
          <w:b w:val="false"/>
          <w:color w:val="000000"/>
          <w:sz w:val="20"/>
        </w:rPr>
        <w:t>in this Quarterly Report on Form 10-Q). Offshore wind revenue stems from three multi-year contracts whereby Riggs Distler provides materials, subcontracts manufacturing, and self performs fabrication and assembly of secondary steel components onshore, with delivery at a port facility. The increase in electric infrastructure services revenues was due to growth from both new and existing customers as well as revenues of $30.6 million from emergency restoration services following tornado and other storm damage to customers’ above-ground utility infrastructure in and around the Gulf Coast and eastern regions of the U.S., compared to $14.1 million in storm restoration work in the prior-year quarter. Centuri’s revenues derived from storm-related services vary from period to period due to the unpredictable nature of weather-related events, and when this type of work is performed, it typically generates a higher profit margin than core infrastructure services, due to improved operating efficiencies related to equipment utilization and absorption of fixed costs. The current quarter also included increased gas infrastructure services revenues of $36.7 million primarily resulting from</w:t>
      </w:r>
      <w:r>
        <w:rPr>
          <w:color w:val="000000"/>
          <w:highlight w:val="white"/>
        </w:rPr>
        <w:t xml:space="preserve"> </w:t>
      </w:r>
      <w:r>
        <w:rPr>
          <w:rFonts w:ascii="Times New Roman;sans-serif" w:hAnsi="Times New Roman;sans-serif"/>
          <w:b w:val="false"/>
          <w:color w:val="000000"/>
          <w:sz w:val="20"/>
          <w:highlight w:val="white"/>
        </w:rPr>
        <w:t>$29.7 million o</w:t>
      </w:r>
      <w:r>
        <w:rPr>
          <w:rFonts w:ascii="Times New Roman;sans-serif" w:hAnsi="Times New Roman;sans-serif"/>
          <w:b w:val="false"/>
          <w:color w:val="000000"/>
          <w:sz w:val="20"/>
        </w:rPr>
        <w:t xml:space="preserve">f revenue related to a new bid contract that commenced during the first quarter of 2023, as well as favorable weather in several operating locations, which allowed projects in those areas to be completed during an otherwise seasonally slow period.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Utility infrastructure services expenses increased $100.4 million in the first quarter of 2023 when compared to the prior year quarter, driven primarily by a higher volume of work. Subcontractor costs increased during the first quarter of 2023 compared to the prior-year quarter primarily due to increased work under offshore wind projects. Despite continued inflationary pressures, operating margin in the first quarter of 2023 improved due to changes in the mix of work and increased operating efficiencies related to emergency restoration services, as well as favorable weather conditions in other locations. Also included in total Utility infrastructure services expenses were general and administrative costs, which decreased approximately $0.1 million between quarters due to the full integration of Riggs Distler as well as the impact of cost saving measures implemented in 2022. Gains on sale of equipment in the first quarter of 2023 and 2022 (reflected as an offset to Utility infrastructure services expenses) were approximately $661,000 and $413,000, respectively.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net interest deductions of $11.2 million was primarily due to higher interest rates on outstanding variable-rate borrowings.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decreased $5 million between quarters, primarily due to a reduction in pre-tax loss in 2023 and changes in state apportionment rates.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28650"/>
                <wp:effectExtent l="0" t="0" r="0" b="0"/>
                <wp:wrapNone/>
                <wp:docPr id="33" name="Frame3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Results of Utility Infrastructure Services</w:t>
      </w:r>
    </w:p>
    <w:p>
      <w:pPr>
        <w:pStyle w:val="TextBody"/>
        <w:spacing w:lineRule="auto" w:line="288" w:before="12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Twelve-Month Analysis</w:t>
      </w:r>
    </w:p>
    <w:tbl>
      <w:tblPr>
        <w:tblW w:w="7535" w:type="dxa"/>
        <w:jc w:val="left"/>
        <w:tblInd w:w="0" w:type="dxa"/>
        <w:tblCellMar>
          <w:top w:w="28" w:type="dxa"/>
          <w:left w:w="28" w:type="dxa"/>
          <w:bottom w:w="28" w:type="dxa"/>
          <w:right w:w="28" w:type="dxa"/>
        </w:tblCellMar>
      </w:tblPr>
      <w:tblGrid>
        <w:gridCol w:w="1537"/>
        <w:gridCol w:w="1350"/>
        <w:gridCol w:w="1357"/>
        <w:gridCol w:w="109"/>
        <w:gridCol w:w="109"/>
        <w:gridCol w:w="109"/>
        <w:gridCol w:w="211"/>
        <w:gridCol w:w="976"/>
        <w:gridCol w:w="109"/>
        <w:gridCol w:w="109"/>
        <w:gridCol w:w="109"/>
        <w:gridCol w:w="109"/>
        <w:gridCol w:w="211"/>
        <w:gridCol w:w="976"/>
        <w:gridCol w:w="154"/>
      </w:tblGrid>
      <w:tr>
        <w:trPr/>
        <w:tc>
          <w:tcPr>
            <w:tcW w:w="1537"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 Ended March 31,</w:t>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infrastructure services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infrastructure services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2,629,766 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2,123,085 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(deductions)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deductions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to consolidated results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pPr>
      <w:r>
        <w:rPr>
          <w:rFonts w:ascii="Times New Roman;sans-serif" w:hAnsi="Times New Roman;sans-serif"/>
          <w:b w:val="false"/>
          <w:color w:val="000000"/>
          <w:sz w:val="20"/>
        </w:rPr>
        <w:t>Utility infrastructure services revenu</w:t>
      </w:r>
      <w:r>
        <w:rPr>
          <w:rFonts w:ascii="Times New Roman;sans-serif" w:hAnsi="Times New Roman;sans-serif"/>
          <w:b w:val="false"/>
          <w:color w:val="000000"/>
          <w:sz w:val="20"/>
          <w:highlight w:val="white"/>
        </w:rPr>
        <w:t>es</w:t>
      </w:r>
      <w:r>
        <w:rPr>
          <w:color w:val="000000"/>
        </w:rPr>
        <w:t xml:space="preserve"> </w:t>
      </w:r>
      <w:r>
        <w:rPr>
          <w:rFonts w:ascii="Times New Roman;sans-serif" w:hAnsi="Times New Roman;sans-serif"/>
          <w:b w:val="false"/>
          <w:color w:val="000000"/>
          <w:sz w:val="20"/>
        </w:rPr>
        <w:t>increased $571.2 million</w:t>
      </w:r>
      <w:r>
        <w:rPr>
          <w:color w:val="000000"/>
          <w:highlight w:val="white"/>
        </w:rPr>
        <w:t xml:space="preserve"> </w:t>
      </w:r>
      <w:r>
        <w:rPr>
          <w:rFonts w:ascii="Times New Roman;sans-serif" w:hAnsi="Times New Roman;sans-serif"/>
          <w:b w:val="false"/>
          <w:color w:val="000000"/>
          <w:sz w:val="20"/>
          <w:highlight w:val="white"/>
        </w:rPr>
        <w:t>in</w:t>
      </w:r>
      <w:r>
        <w:rPr>
          <w:color w:val="000000"/>
        </w:rPr>
        <w:t xml:space="preserve"> </w:t>
      </w:r>
      <w:r>
        <w:rPr>
          <w:rFonts w:ascii="Times New Roman;sans-serif" w:hAnsi="Times New Roman;sans-serif"/>
          <w:b w:val="false"/>
          <w:color w:val="000000"/>
          <w:sz w:val="20"/>
        </w:rPr>
        <w:t xml:space="preserve">the current twelve-month period compared to the corresponding period of 2022, </w:t>
      </w:r>
      <w:r>
        <w:rPr>
          <w:rFonts w:ascii="Times New Roman;sans-serif" w:hAnsi="Times New Roman;sans-serif"/>
          <w:b w:val="false"/>
          <w:color w:val="000000"/>
          <w:sz w:val="20"/>
          <w:highlight w:val="white"/>
        </w:rPr>
        <w:t>including a</w:t>
      </w:r>
      <w:r>
        <w:rPr>
          <w:color w:val="000000"/>
        </w:rPr>
        <w:t xml:space="preserve"> </w:t>
      </w:r>
      <w:r>
        <w:rPr>
          <w:rFonts w:ascii="Times New Roman;sans-serif" w:hAnsi="Times New Roman;sans-serif"/>
          <w:b w:val="false"/>
          <w:color w:val="000000"/>
          <w:sz w:val="20"/>
        </w:rPr>
        <w:t xml:space="preserve">$408.4 million increase at Riggs Distler (acquired in August 2021), of which $132.9 million related to offshore wind projects that are reflected as a component of other revenues. Revenues from electric infrastructure services overall increased $216.6 million in the current twelve-month period when compared to the prior year, with </w:t>
      </w:r>
      <w:r>
        <w:rPr>
          <w:rFonts w:ascii="Times New Roman;sans-serif" w:hAnsi="Times New Roman;sans-serif"/>
          <w:b w:val="false"/>
          <w:color w:val="000000"/>
          <w:sz w:val="20"/>
          <w:highlight w:val="white"/>
        </w:rPr>
        <w:t>$125.6 million attributable to</w:t>
      </w:r>
      <w:r>
        <w:rPr>
          <w:color w:val="000000"/>
        </w:rPr>
        <w:t xml:space="preserve"> </w:t>
      </w:r>
      <w:r>
        <w:rPr>
          <w:rFonts w:ascii="Times New Roman;sans-serif" w:hAnsi="Times New Roman;sans-serif"/>
          <w:b w:val="false"/>
          <w:color w:val="000000"/>
          <w:sz w:val="20"/>
        </w:rPr>
        <w:t xml:space="preserve">Riggs Distler. Included in the incremental electric infrastructure revenues during the twelve-month period of 2023 was $86.1 million from emergency restoration services following storm damage to customers’ above-ground utility infrastructure in and around the Gulf Coast and eastern regions of the U.S. and Canada, as compared to $70.5 million in similar services during the twelve-month period in 2022. The remaining increase in revenue was attributable to continued growth with existing gas infrastructure customers under master service and bid agreements. </w:t>
      </w:r>
    </w:p>
    <w:p>
      <w:pPr>
        <w:pStyle w:val="TextBody"/>
        <w:spacing w:lineRule="auto" w:line="288" w:before="120" w:after="283"/>
        <w:jc w:val="both"/>
        <w:rPr/>
      </w:pPr>
      <w:r>
        <w:rPr>
          <w:rFonts w:ascii="Times New Roman;sans-serif" w:hAnsi="Times New Roman;sans-serif"/>
          <w:b w:val="false"/>
          <w:color w:val="000000"/>
          <w:sz w:val="20"/>
        </w:rPr>
        <w:t>Utility infrastructure services expens</w:t>
      </w:r>
      <w:r>
        <w:rPr>
          <w:rFonts w:ascii="Times New Roman;sans-serif" w:hAnsi="Times New Roman;sans-serif"/>
          <w:b w:val="false"/>
          <w:color w:val="000000"/>
          <w:sz w:val="20"/>
          <w:highlight w:val="white"/>
        </w:rPr>
        <w:t>es</w:t>
      </w:r>
      <w:r>
        <w:rPr>
          <w:color w:val="000000"/>
        </w:rPr>
        <w:t xml:space="preserve"> </w:t>
      </w:r>
      <w:r>
        <w:rPr>
          <w:rFonts w:ascii="Times New Roman;sans-serif" w:hAnsi="Times New Roman;sans-serif"/>
          <w:b w:val="false"/>
          <w:color w:val="000000"/>
          <w:sz w:val="20"/>
        </w:rPr>
        <w:t>increased $506.7 million</w:t>
      </w:r>
      <w:r>
        <w:rPr>
          <w:color w:val="000000"/>
          <w:highlight w:val="white"/>
        </w:rPr>
        <w:t xml:space="preserve"> </w:t>
      </w:r>
      <w:r>
        <w:rPr>
          <w:rFonts w:ascii="Times New Roman;sans-serif" w:hAnsi="Times New Roman;sans-serif"/>
          <w:b w:val="false"/>
          <w:color w:val="000000"/>
          <w:sz w:val="20"/>
          <w:highlight w:val="white"/>
        </w:rPr>
        <w:t>between periods</w:t>
      </w:r>
      <w:r>
        <w:rPr>
          <w:rFonts w:ascii="Times New Roman;sans-serif" w:hAnsi="Times New Roman;sans-serif"/>
          <w:b w:val="false"/>
          <w:color w:val="000000"/>
          <w:sz w:val="20"/>
        </w:rPr>
        <w:t>. The overall increase incl</w:t>
      </w:r>
      <w:r>
        <w:rPr>
          <w:rFonts w:ascii="Times New Roman;sans-serif" w:hAnsi="Times New Roman;sans-serif"/>
          <w:b w:val="false"/>
          <w:color w:val="000000"/>
          <w:sz w:val="20"/>
          <w:highlight w:val="white"/>
        </w:rPr>
        <w:t>uded $373.7 million from Riggs Distler, and incremental costs related to the generally higher volume of work. Changes in the mix of work caused by customers’ supply chain challenges, as well as inflation, led to higher input costs including fuel and subcontractor expenses, as well as increased project-related travel and equipment rental costs incurred to fulfill electric infrastructure services. A loss of $7.5 million was incurred on a gas infrastructure bid project during the current twelve-month period due to higher costs than anticipated and scheduling delays. General and administrative costs, included in total Utility infrastructur</w:t>
      </w:r>
      <w:r>
        <w:rPr>
          <w:rFonts w:ascii="Times New Roman;sans-serif" w:hAnsi="Times New Roman;sans-serif"/>
          <w:b w:val="false"/>
          <w:color w:val="000000"/>
          <w:sz w:val="20"/>
        </w:rPr>
        <w:t>e services expenses, decreased approximately $3.4 million between comparative periods attributable to $13.9 million of professional fees incurred during the twelve-month period of 2022 in connection with the Riggs Distler acquisition that did not recur in 2023, offset by $6.1 million of strategic review and severance costs incurred in the current twelve-month period. O</w:t>
      </w:r>
      <w:r>
        <w:rPr>
          <w:rFonts w:ascii="Times New Roman;sans-serif" w:hAnsi="Times New Roman;sans-serif"/>
          <w:b w:val="false"/>
          <w:color w:val="000000"/>
          <w:sz w:val="20"/>
          <w:highlight w:val="white"/>
        </w:rPr>
        <w:t>ther administrative costs increased due to the growth in the business, including incremental costs incurred by Riggs Distler. Gains on sale of equipment (reflected as an offset to Utility infrastructure services expenses) were approx</w:t>
      </w:r>
      <w:r>
        <w:rPr>
          <w:rFonts w:ascii="Times New Roman;sans-serif" w:hAnsi="Times New Roman;sans-serif"/>
          <w:b w:val="false"/>
          <w:color w:val="000000"/>
          <w:sz w:val="20"/>
        </w:rPr>
        <w:t>imately $6.6 million and $5.8 million for the twelve-month periods of 2023 and 2022, respectively.</w:t>
      </w:r>
    </w:p>
    <w:p>
      <w:pPr>
        <w:pStyle w:val="TextBody"/>
        <w:spacing w:lineRule="auto" w:line="288" w:before="120" w:after="283"/>
        <w:jc w:val="both"/>
        <w:rPr/>
      </w:pPr>
      <w:r>
        <w:rPr>
          <w:rFonts w:ascii="Times New Roman;sans-serif" w:hAnsi="Times New Roman;sans-serif"/>
          <w:b w:val="false"/>
          <w:color w:val="000000"/>
          <w:sz w:val="20"/>
        </w:rPr>
        <w:t xml:space="preserve">Depreciation and amortization expense increased </w:t>
      </w:r>
      <w:r>
        <w:rPr>
          <w:rFonts w:ascii="Times New Roman;sans-serif" w:hAnsi="Times New Roman;sans-serif"/>
          <w:b w:val="false"/>
          <w:color w:val="000000"/>
          <w:sz w:val="20"/>
          <w:highlight w:val="white"/>
        </w:rPr>
        <w:t>$25.1 million betw</w:t>
      </w:r>
      <w:r>
        <w:rPr>
          <w:rFonts w:ascii="Times New Roman;sans-serif" w:hAnsi="Times New Roman;sans-serif"/>
          <w:b w:val="false"/>
          <w:color w:val="000000"/>
          <w:sz w:val="20"/>
        </w:rPr>
        <w:t>een the current and prior-year twelve-month periods, of which $23.3 million relates to Riggs Distler.</w:t>
      </w:r>
    </w:p>
    <w:p>
      <w:pPr>
        <w:pStyle w:val="TextBody"/>
        <w:spacing w:lineRule="auto" w:line="288" w:before="120" w:after="283"/>
        <w:jc w:val="both"/>
        <w:rPr/>
      </w:pPr>
      <w:r>
        <w:rPr>
          <w:rFonts w:ascii="Times New Roman;sans-serif" w:hAnsi="Times New Roman;sans-serif"/>
          <w:b w:val="false"/>
          <w:color w:val="000000"/>
          <w:sz w:val="20"/>
        </w:rPr>
        <w:t>Net interest deductions increased $42.1 million</w:t>
      </w:r>
      <w:r>
        <w:rPr>
          <w:color w:val="000000"/>
          <w:highlight w:val="white"/>
        </w:rPr>
        <w:t xml:space="preserve"> </w:t>
      </w:r>
      <w:r>
        <w:rPr>
          <w:rFonts w:ascii="Times New Roman;sans-serif" w:hAnsi="Times New Roman;sans-serif"/>
          <w:b w:val="false"/>
          <w:color w:val="000000"/>
          <w:sz w:val="20"/>
          <w:highlight w:val="white"/>
        </w:rPr>
        <w:t>betwe</w:t>
      </w:r>
      <w:r>
        <w:rPr>
          <w:rFonts w:ascii="Times New Roman;sans-serif" w:hAnsi="Times New Roman;sans-serif"/>
          <w:b w:val="false"/>
          <w:color w:val="000000"/>
          <w:sz w:val="20"/>
        </w:rPr>
        <w:t>en periods due to incremental outstanding borrowings under Centuri’s $1.545 billion amended and restated secured revolving credit and term loan facility which funded the 2021 acquisition of Riggs Distler, in addition to higher interest rates on outstanding variable-rate borrowings.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28650"/>
                <wp:effectExtent l="0" t="0" r="0" b="0"/>
                <wp:wrapNone/>
                <wp:docPr id="34" name="Frame3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Results of Pipeline and Storage</w:t>
      </w:r>
    </w:p>
    <w:p>
      <w:pPr>
        <w:pStyle w:val="TextBody"/>
        <w:spacing w:lineRule="auto" w:line="288" w:before="12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Quarterly Analysis</w:t>
      </w:r>
    </w:p>
    <w:tbl>
      <w:tblPr>
        <w:tblW w:w="6209" w:type="dxa"/>
        <w:jc w:val="left"/>
        <w:tblInd w:w="0" w:type="dxa"/>
        <w:tblCellMar>
          <w:top w:w="28" w:type="dxa"/>
          <w:left w:w="28" w:type="dxa"/>
          <w:bottom w:w="28" w:type="dxa"/>
          <w:right w:w="28" w:type="dxa"/>
        </w:tblCellMar>
      </w:tblPr>
      <w:tblGrid>
        <w:gridCol w:w="1136"/>
        <w:gridCol w:w="996"/>
        <w:gridCol w:w="1003"/>
        <w:gridCol w:w="109"/>
        <w:gridCol w:w="109"/>
        <w:gridCol w:w="109"/>
        <w:gridCol w:w="211"/>
        <w:gridCol w:w="796"/>
        <w:gridCol w:w="109"/>
        <w:gridCol w:w="109"/>
        <w:gridCol w:w="109"/>
        <w:gridCol w:w="109"/>
        <w:gridCol w:w="211"/>
        <w:gridCol w:w="721"/>
        <w:gridCol w:w="109"/>
        <w:gridCol w:w="109"/>
        <w:gridCol w:w="154"/>
      </w:tblGrid>
      <w:tr>
        <w:trPr/>
        <w:tc>
          <w:tcPr>
            <w:tcW w:w="1136"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cost of gas sold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(deductions)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deductions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to consolidated results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pPr>
      <w:r>
        <w:rPr>
          <w:rFonts w:ascii="Times New Roman;sans-serif" w:hAnsi="Times New Roman;sans-serif"/>
          <w:b w:val="false"/>
          <w:color w:val="000000"/>
          <w:sz w:val="20"/>
        </w:rPr>
        <w:t xml:space="preserve">Operating results for the pipeline and storage segment for the first quarter of 2023 reflect activity from January 1, 2023 through February 13, 2023 (the last full day of ownership by the Company). Operating results included rate-regulated transmission and subscription storage revenues of $34 million and $62 million during the three months ended March 31, 2023 and 2022, respectively. Operating expenses include $2.6 million during the current quarter related to integration/stand-up costs leading up to the sale date. Depreciation and amortization was not recorded in 2023 as MountainWest was classified as held for sale during the holding period. Income tax expense includes the impact of book versus tax basis differences related to the sale completed in 2023. A discussion of the twelve months ended March 31, 2023 to the comparable prior-year period is omitted as the Company owned MountainWest for only three months of the twelve-month period ended March 31, 2022. For further impacts from the sale on MountainWest to Southwest Gas Holdings, Inc. in the post-closing period, refer to </w:t>
      </w:r>
      <w:r>
        <w:rPr>
          <w:rFonts w:ascii="Times New Roman;sans-serif" w:hAnsi="Times New Roman;sans-serif"/>
          <w:b/>
          <w:color w:val="000000"/>
          <w:sz w:val="20"/>
        </w:rPr>
        <w:t>Note 7 – Segment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Rates and Regulatory Proceedings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Southwest is subject to the regulation of the Arizona Corporation Commission (“ACC”), the Public Utilities Commission of Nevada (the “PUCN”), the California Public Utilities Commission (the “CPUC”), and the Federal Energy Regulatory Commission (the “FERC”).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General Rate Relief and Rate Design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Rates charged to customers vary according to customer class and rate jurisdiction and are set by the individual state and federal regulatory commissions that govern Southwest’s service territories. Southwest makes periodic filings for rate adjustments as the cost of providing service changes (including the cost of natural gas purchased), and as additional investments in new or replacement pipeline and related facilities are made. Rates are intended to provide for recovery of all commission-approved costs and a reasonable return on investment. The mix of fixed and variable components in rates assigned to various customer classes (rate design) can significantly impact the operating margin actually realized by Southwest. Management has worked with its regulatory commissions in designing rate structures that strive to provide affordable and reliable service while mitigating volatility in prices to customers and stabilizing returns to investors. Such rate structures were in place in all of Southwest’s operating areas during all periods for which results of natural gas distribution operations are disclosed above.</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Arizona Jurisdiction</w:t>
      </w:r>
    </w:p>
    <w:p>
      <w:pPr>
        <w:pStyle w:val="TextBody"/>
        <w:spacing w:lineRule="auto" w:line="288" w:before="120" w:after="283"/>
        <w:jc w:val="both"/>
        <w:rPr/>
      </w:pPr>
      <w:r>
        <w:rPr>
          <w:rFonts w:ascii="Times New Roman;sans-serif" w:hAnsi="Times New Roman;sans-serif"/>
          <w:b w:val="false"/>
          <w:i/>
          <w:color w:val="000000"/>
          <w:sz w:val="20"/>
        </w:rPr>
        <w:t>Arizona General Rate Case.</w:t>
      </w:r>
      <w:r>
        <w:rPr>
          <w:color w:val="000000"/>
        </w:rPr>
        <w:t xml:space="preserve"> </w:t>
      </w:r>
      <w:r>
        <w:rPr>
          <w:rFonts w:ascii="Times New Roman;sans-serif" w:hAnsi="Times New Roman;sans-serif"/>
          <w:b w:val="false"/>
          <w:color w:val="000000"/>
          <w:sz w:val="20"/>
        </w:rPr>
        <w:t xml:space="preserve">Southwest filed a general rate case application in December 2021, primarily to reflect in rates the substantial capital investments that were made since the end of the test year in an earlier case, including investments in a customer information system implemented in May 2021. At a hearing held in September 2022, Southwest, the Utilities Division Staff (the “Staff”), and the Residential Utility Consumer Office jointly stipulated to several issues, including a target capital structure consisting of 50% equity and 50% debt; a 9.30% return on equity; and foregoing an acquisition premium related to the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28650"/>
                <wp:effectExtent l="0" t="0" r="0" b="0"/>
                <wp:wrapNone/>
                <wp:docPr id="35" name="Frame3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recent Graham County acquisition as well as recovery of $12 million of waived late fees on customer account balances that would have otherwise applied to delinquent accounts in the absence of a COVID-19 moratorium on such fees. Among the uncontested issues identified prior to the hearing were the continuation of the Delivery Charge Adjustment (“DCA”), Southwest’s full revenue decoupling mechanism, the continuation of the existing rate design (with the exception of an updated year-round Low Income Ratepayer Assistance program), and Southwest’s alternate property tax expense calculation, reflecting actual incurred property tax expense in 2021, instead of a pro-forma adjustment reflecting forecasted property tax expense. Approximately $12 million in costs related to the Liquefied Natural Gas facility deferred in an authorized regulatory asset will be amortized over four years. The ACC’s final order authorized a $54.3 million increase, with new rates effective February 1, 2023.</w:t>
      </w:r>
    </w:p>
    <w:p>
      <w:pPr>
        <w:pStyle w:val="TextBody"/>
        <w:spacing w:lineRule="auto" w:line="288" w:before="120" w:after="283"/>
        <w:jc w:val="both"/>
        <w:rPr/>
      </w:pPr>
      <w:r>
        <w:rPr>
          <w:rFonts w:ascii="Times New Roman;sans-serif" w:hAnsi="Times New Roman;sans-serif"/>
          <w:b w:val="false"/>
          <w:i/>
          <w:color w:val="000000"/>
          <w:sz w:val="20"/>
        </w:rPr>
        <w:t>Delivery Charge Adjustment.</w:t>
      </w:r>
      <w:r>
        <w:rPr>
          <w:color w:val="000000"/>
        </w:rPr>
        <w:t xml:space="preserve"> </w:t>
      </w:r>
      <w:r>
        <w:rPr>
          <w:rFonts w:ascii="Times New Roman;sans-serif" w:hAnsi="Times New Roman;sans-serif"/>
          <w:b w:val="false"/>
          <w:color w:val="000000"/>
          <w:sz w:val="20"/>
        </w:rPr>
        <w:t xml:space="preserve">The DCA is filed each April, which along with other reporting requirements, contemplates a rate to recover/return the over- or under-collected margin tracker (decoupling mechanism) balance. An April 2022 request proposed a rate to return $10.5 million, the over-collected balance existing at the end of the first quarter 2022, which became effective July 1, 2022. A filing was made prior to the end of April 2023 to request a rate to address the over-collected balance of $53.5 million as of March 31, 2023. </w:t>
      </w:r>
    </w:p>
    <w:p>
      <w:pPr>
        <w:pStyle w:val="TextBody"/>
        <w:spacing w:lineRule="auto" w:line="288" w:before="120" w:after="283"/>
        <w:jc w:val="both"/>
        <w:rPr/>
      </w:pPr>
      <w:r>
        <w:rPr>
          <w:rFonts w:ascii="Times New Roman;sans-serif" w:hAnsi="Times New Roman;sans-serif"/>
          <w:b w:val="false"/>
          <w:i/>
          <w:color w:val="000000"/>
          <w:sz w:val="20"/>
        </w:rPr>
        <w:t xml:space="preserve">Tax Reform. </w:t>
      </w:r>
      <w:r>
        <w:rPr>
          <w:rFonts w:ascii="Times New Roman;sans-serif" w:hAnsi="Times New Roman;sans-serif"/>
          <w:b w:val="false"/>
          <w:color w:val="000000"/>
          <w:sz w:val="20"/>
        </w:rPr>
        <w:t>A Tax Expense Adjustor Mechanism (“TEAM”) was approved in Southwest’s 2019 general rate case to timely recognize tax rate changes resulting from federal or state tax legislation following the TEAM implementation. In addition, the TEAM tracks and returns/recovers the revenue requirement impact of changes in amortization of EADIT (including that which resulted from 2017 U.S. federal tax reform) compared to the amount authorized in the most recently concluded rate case. Following inaugural surcredit rate establishment under the TEAM mechanism, in December 2022, Southwest filed its most recent TEAM rate application, proposing to update the TEAM surcredit to refund $6.5 million of estimated net EADIT savings, which was approved by the ACC and will be effective May 1, 2023.</w:t>
      </w:r>
    </w:p>
    <w:p>
      <w:pPr>
        <w:pStyle w:val="TextBody"/>
        <w:spacing w:lineRule="auto" w:line="288" w:before="120" w:after="283"/>
        <w:jc w:val="both"/>
        <w:rPr/>
      </w:pPr>
      <w:r>
        <w:rPr>
          <w:rFonts w:ascii="Times New Roman;sans-serif" w:hAnsi="Times New Roman;sans-serif"/>
          <w:b w:val="false"/>
          <w:i/>
          <w:color w:val="000000"/>
          <w:sz w:val="20"/>
        </w:rPr>
        <w:t>Customer-Owned Yard Line (“COYL”) Program</w:t>
      </w:r>
      <w:r>
        <w:rPr>
          <w:rFonts w:ascii="Times New Roman;sans-serif" w:hAnsi="Times New Roman;sans-serif"/>
          <w:b w:val="false"/>
          <w:color w:val="000000"/>
          <w:sz w:val="20"/>
        </w:rPr>
        <w:t>. Southwest originally received approval, in connection with its 2010 Arizona general rate case, to implement a program to conduct leak surveys, and if leaks were present, to replace and relocate service lines and meters for Arizona customers whose meters were set off from the customer’s home, representing a non-traditional configuration. The COYL program has been subject to proceedings to recover investments since that time. In February 2023, Southwest requested approval to recover the outstanding revenue requirement of approximately $4.3 million associated with 2022 COYL investments, which will increase the COYL recovery rate. The new rate is anticipated to become effective June 1, 2023.</w:t>
      </w:r>
    </w:p>
    <w:p>
      <w:pPr>
        <w:pStyle w:val="TextBody"/>
        <w:spacing w:lineRule="auto" w:line="288" w:before="120" w:after="283"/>
        <w:jc w:val="both"/>
        <w:rPr/>
      </w:pPr>
      <w:r>
        <w:rPr>
          <w:rFonts w:ascii="Times New Roman;sans-serif" w:hAnsi="Times New Roman;sans-serif"/>
          <w:b w:val="false"/>
          <w:i/>
          <w:color w:val="000000"/>
          <w:sz w:val="20"/>
        </w:rPr>
        <w:t>Vintage Steel Pipe (“VSP”) Program.</w:t>
      </w:r>
      <w:r>
        <w:rPr>
          <w:color w:val="000000"/>
        </w:rPr>
        <w:t xml:space="preserve"> </w:t>
      </w:r>
      <w:r>
        <w:rPr>
          <w:rFonts w:ascii="Times New Roman;sans-serif" w:hAnsi="Times New Roman;sans-serif"/>
          <w:b w:val="false"/>
          <w:color w:val="000000"/>
          <w:sz w:val="20"/>
        </w:rPr>
        <w:t>Southwest received approval, in connection with its 2016 Arizona general rate case, to implement a VSP replacement program, due to having a substantial amount of pre-1970s vintage steel pipe in Arizona. However, as part of Southwest’s 2020 general rate case decision, the ACC ultimately decided to discontinue the accelerated VSP program. A filing in May 2021 proposed the recovery of previously unrecovered surcharge revenue relating to investments during 2019 and 2020, with approximately $60 million to be recovered over a three-year period. In November 2021, the ACC approved full recovery over the proposed three-year timeline with updated rates, which became effective in March 2022.</w:t>
      </w:r>
    </w:p>
    <w:p>
      <w:pPr>
        <w:pStyle w:val="TextBody"/>
        <w:spacing w:lineRule="auto" w:line="288" w:before="120" w:after="283"/>
        <w:jc w:val="both"/>
        <w:rPr/>
      </w:pPr>
      <w:r>
        <w:rPr>
          <w:rFonts w:ascii="Times New Roman;sans-serif" w:hAnsi="Times New Roman;sans-serif"/>
          <w:b w:val="false"/>
          <w:i/>
          <w:color w:val="000000"/>
          <w:sz w:val="20"/>
        </w:rPr>
        <w:t xml:space="preserve">Graham County Utilities. </w:t>
      </w:r>
      <w:r>
        <w:rPr>
          <w:rFonts w:ascii="Times New Roman;sans-serif" w:hAnsi="Times New Roman;sans-serif"/>
          <w:b w:val="false"/>
          <w:color w:val="000000"/>
          <w:sz w:val="20"/>
        </w:rPr>
        <w:t xml:space="preserve">In April 2021, Southwest and Graham County Utilities, Inc. (“GCU”) filed a joint application with the ACC for approval to transfer assets of GCU to Southwest and extend Southwest’s Certificate of Public Convenience and Necessity to serve the more than 5,000 associated customers, for a purchase price of $3.5 million. Approval of the application by the ACC was received in December 2021, with final transfer in mid-January 2022. Former GCU customers retained their existing rates while Southwest’s most recent rate case was processed; the customers moved to Southwest’s rates effective March 1, 2023. </w:t>
      </w:r>
    </w:p>
    <w:p>
      <w:pPr>
        <w:pStyle w:val="TextBody"/>
        <w:spacing w:lineRule="auto" w:line="288" w:before="120" w:after="283"/>
        <w:jc w:val="both"/>
        <w:rPr/>
      </w:pPr>
      <w:r>
        <w:rPr>
          <w:rFonts w:ascii="Times New Roman;sans-serif" w:hAnsi="Times New Roman;sans-serif"/>
          <w:b w:val="false"/>
          <w:i/>
          <w:color w:val="000000"/>
          <w:sz w:val="20"/>
        </w:rPr>
        <w:t>PGA Modification</w:t>
      </w:r>
      <w:r>
        <w:rPr>
          <w:rFonts w:ascii="Times New Roman;sans-serif" w:hAnsi="Times New Roman;sans-serif"/>
          <w:b w:val="false"/>
          <w:color w:val="000000"/>
          <w:sz w:val="20"/>
        </w:rPr>
        <w:t xml:space="preserve">. On March 1, 2023, Southwest filed a request to adjust the interest rate applicable to the outstanding Purchased Gas Adjustment (“PGA”) balance to more closely match the interest expense incurred to finance the balance. In the alternative, the filing requests an expansion of the current gas cost balancing account (“GCBA”) adjustment to clear the then existing $351 million balance over one year, which would result in an increase of the current GCBA adjustment rate of $0.10 per therm to more than $0.50 per therm until the balance drops below $10 million, at which time the GCBA adjustment rate would be set to $0.00 per therm. The GCBA is in addition to ongoing deferred energy rates updated monthly. Expedited treatment was requested with a proposed June 1, 2023 implementation. </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California Jurisdiction</w:t>
      </w:r>
    </w:p>
    <w:p>
      <w:pPr>
        <w:pStyle w:val="TextBody"/>
        <w:spacing w:lineRule="auto" w:line="288" w:before="120" w:after="283"/>
        <w:jc w:val="both"/>
        <w:rPr/>
      </w:pPr>
      <w:r>
        <w:rPr>
          <w:rFonts w:ascii="Times New Roman;sans-serif" w:hAnsi="Times New Roman;sans-serif"/>
          <w:b w:val="false"/>
          <w:i/>
          <w:color w:val="000000"/>
          <w:sz w:val="20"/>
        </w:rPr>
        <w:t>Attrition Filing.</w:t>
      </w:r>
      <w:r>
        <w:rPr>
          <w:color w:val="000000"/>
        </w:rPr>
        <w:t xml:space="preserve"> </w:t>
      </w:r>
      <w:r>
        <w:rPr>
          <w:rFonts w:ascii="Times New Roman;sans-serif" w:hAnsi="Times New Roman;sans-serif"/>
          <w:b w:val="false"/>
          <w:color w:val="000000"/>
          <w:sz w:val="20"/>
        </w:rPr>
        <w:t>Following the 2021 implementation of rates approved as part of the general rate case, and the continuing annual Post Test Year (“PTY”) attrition increases of 2.75% indicated above, the first such increase following the rate case effective date began in January 2022, with the most recent annual attrition increase effective January 1, 2023. The PTY increase associated with the North Lake Tahoe Lateral revenue requirement became effective February 1, 2023.</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28650"/>
                <wp:effectExtent l="0" t="0" r="0" b="0"/>
                <wp:wrapNone/>
                <wp:docPr id="36" name="Frame3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120" w:after="283"/>
        <w:jc w:val="both"/>
        <w:rPr/>
      </w:pPr>
      <w:r>
        <w:rPr>
          <w:rFonts w:ascii="Times New Roman;sans-serif" w:hAnsi="Times New Roman;sans-serif"/>
          <w:b w:val="false"/>
          <w:i/>
          <w:color w:val="000000"/>
          <w:sz w:val="20"/>
        </w:rPr>
        <w:t xml:space="preserve">Customer Data Modernization Initiative (“CDMI”). </w:t>
      </w:r>
      <w:r>
        <w:rPr>
          <w:rFonts w:ascii="Times New Roman;sans-serif" w:hAnsi="Times New Roman;sans-serif"/>
          <w:b w:val="false"/>
          <w:color w:val="000000"/>
          <w:sz w:val="20"/>
        </w:rPr>
        <w:t>In April 2019, Southwest filed an application with the CPUC seeking authority to establish a two-way, interest-bearing balancing account to record costs associated with the CDMI to mitigate adverse financial implications related to the earlier multi-year project (including a new customer information system, ultimately implemented in May 2021). Effective October 2019, the CPUC granted a memorandum account, which allowed Southwest to track costs, including operations and maintenance costs and capital-related costs, such as depreciation, taxes, and return associated with California’s portion of the CDMI (initially estimated at $19 million). The balance tracked in the memorandum account was transferred to the two-way balancing account in July 2020. A rate to begin recovering the balance accumulated through June 30, 2020 was established and made effective September 1, 2020, and updated multiple times since, including in January 2023. This rate is expected to be updated at least annually.</w:t>
      </w:r>
    </w:p>
    <w:p>
      <w:pPr>
        <w:pStyle w:val="TextBody"/>
        <w:spacing w:lineRule="auto" w:line="288" w:before="120" w:after="283"/>
        <w:jc w:val="both"/>
        <w:rPr/>
      </w:pPr>
      <w:r>
        <w:rPr>
          <w:rFonts w:ascii="Times New Roman;sans-serif" w:hAnsi="Times New Roman;sans-serif"/>
          <w:b w:val="false"/>
          <w:i/>
          <w:color w:val="000000"/>
          <w:sz w:val="20"/>
        </w:rPr>
        <w:t xml:space="preserve">Carbon Offset Program. </w:t>
      </w:r>
      <w:r>
        <w:rPr>
          <w:rFonts w:ascii="Times New Roman;sans-serif" w:hAnsi="Times New Roman;sans-serif"/>
          <w:b w:val="false"/>
          <w:color w:val="000000"/>
          <w:sz w:val="20"/>
        </w:rPr>
        <w:t>In March 2022, Southwest filed an application to seek approval to offer a voluntary program to California customers to purchase carbon offsets in an effort to provide customers additional options to offset their respective greenhouse gas (“GHG”) emissions. A request to establish a two-way balancing account to track program-related costs and revenues was included as part of the application. The CPUC issued a decision dismissing Southwest’s application without prejudice. Southwest anticipates filing a new application in 2023 addressing concerns raised by third parties as part of the earlier request, which included a request to demonstrate that purchased offsets would result in GHG emissions reductions.</w:t>
      </w:r>
    </w:p>
    <w:p>
      <w:pPr>
        <w:pStyle w:val="TextBody"/>
        <w:spacing w:lineRule="auto" w:line="288" w:before="120" w:after="283"/>
        <w:jc w:val="both"/>
        <w:rPr/>
      </w:pPr>
      <w:r>
        <w:rPr>
          <w:rFonts w:ascii="Times New Roman;sans-serif" w:hAnsi="Times New Roman;sans-serif"/>
          <w:b w:val="false"/>
          <w:i/>
          <w:color w:val="000000"/>
          <w:sz w:val="20"/>
        </w:rPr>
        <w:t xml:space="preserve">Building Decarbonization. </w:t>
      </w:r>
      <w:r>
        <w:rPr>
          <w:rFonts w:ascii="Times New Roman;sans-serif" w:hAnsi="Times New Roman;sans-serif"/>
          <w:b w:val="false"/>
          <w:color w:val="000000"/>
          <w:sz w:val="20"/>
        </w:rPr>
        <w:t>A CPUC decision was issued regarding the elimination of monetary allowances for gas line extensions, a 10-year refundable payment option, and the 50% discount payment option for both residential and non-residential customers of all California gas utilities. This applies to new applications for gas line extensions submitted on or after July 1, 2023. Although this decision eliminates the various allowances related to line extensions, it does not preclude extending natural gas service to customers.</w:t>
      </w:r>
    </w:p>
    <w:p>
      <w:pPr>
        <w:pStyle w:val="TextBody"/>
        <w:spacing w:lineRule="auto" w:line="288" w:before="120" w:after="283"/>
        <w:jc w:val="both"/>
        <w:rPr/>
      </w:pPr>
      <w:r>
        <w:rPr>
          <w:rFonts w:ascii="Times New Roman;sans-serif" w:hAnsi="Times New Roman;sans-serif"/>
          <w:b w:val="false"/>
          <w:i/>
          <w:color w:val="000000"/>
          <w:sz w:val="20"/>
        </w:rPr>
        <w:t>Residential Disconnection Protections.</w:t>
      </w:r>
      <w:r>
        <w:rPr>
          <w:color w:val="000000"/>
        </w:rPr>
        <w:t xml:space="preserve"> </w:t>
      </w:r>
      <w:r>
        <w:rPr>
          <w:rFonts w:ascii="Times New Roman;sans-serif" w:hAnsi="Times New Roman;sans-serif"/>
          <w:b w:val="false"/>
          <w:color w:val="000000"/>
          <w:sz w:val="20"/>
        </w:rPr>
        <w:t xml:space="preserve">A decision was issued by the CPUC establishing disconnection protections for residential customers of small and multi-jurisdictional utilities, including Southwest. A similar decision was adopted for four large California utilities in 2020. This decision imposes an annual disconnection cap and prohibits the utility from assessing credit deposits for residential customers establishing or re-establishing service, and prohibits the assessment of reconnection fees for residential customers, among other provisions. The decision, however, also provides authorization to establish a two-way balancing account to track residential uncollectible charges with the first rates expected to be implemented January 1, 2024. The decision also authorized a memorandum account to track uncollected reconnection charges for possible future recovery in Southwest’s next general rate case. </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Nevada Jurisdiction</w:t>
      </w:r>
    </w:p>
    <w:p>
      <w:pPr>
        <w:pStyle w:val="TextBody"/>
        <w:spacing w:lineRule="auto" w:line="288" w:before="120" w:after="283"/>
        <w:jc w:val="both"/>
        <w:rPr/>
      </w:pPr>
      <w:r>
        <w:rPr>
          <w:rFonts w:ascii="Times New Roman;sans-serif" w:hAnsi="Times New Roman;sans-serif"/>
          <w:b w:val="false"/>
          <w:i/>
          <w:color w:val="000000"/>
          <w:sz w:val="20"/>
        </w:rPr>
        <w:t>Nevada General Rate Case</w:t>
      </w:r>
      <w:r>
        <w:rPr>
          <w:rFonts w:ascii="Times New Roman;sans-serif" w:hAnsi="Times New Roman;sans-serif"/>
          <w:b w:val="false"/>
          <w:color w:val="000000"/>
          <w:sz w:val="20"/>
        </w:rPr>
        <w:t>. Southwest concluded its most recent Nevada general rate case in February 2022, providing for a statewide revenue increase of $14.05 million, a return on common equity of 9.40% relative to a 50% target equity ratio, and continuation of Southwest’s full revenue decoupling mechanism, the General Revenues Adjustment (“GRA”). The stipulation was approved by the PUCN, and new rates became effective April 1, 2022. The PUCN’s order did not include recovery of the approximate $6.6 million in deferred late payment charges related to a regulatory asset associated with a COVID-19 moratorium on disconnections previously in place.</w:t>
      </w:r>
    </w:p>
    <w:p>
      <w:pPr>
        <w:pStyle w:val="TextBody"/>
        <w:spacing w:lineRule="auto" w:line="288" w:before="120" w:after="283"/>
        <w:jc w:val="both"/>
        <w:rPr/>
      </w:pPr>
      <w:r>
        <w:rPr>
          <w:rFonts w:ascii="Times New Roman;sans-serif" w:hAnsi="Times New Roman;sans-serif"/>
          <w:b w:val="false"/>
          <w:i/>
          <w:color w:val="000000"/>
          <w:sz w:val="20"/>
        </w:rPr>
        <w:t>General Revenues Adjustment.</w:t>
      </w:r>
      <w:r>
        <w:rPr>
          <w:color w:val="000000"/>
        </w:rPr>
        <w:t xml:space="preserve"> </w:t>
      </w:r>
      <w:r>
        <w:rPr>
          <w:rFonts w:ascii="Times New Roman;sans-serif" w:hAnsi="Times New Roman;sans-serif"/>
          <w:b w:val="false"/>
          <w:color w:val="000000"/>
          <w:sz w:val="20"/>
        </w:rPr>
        <w:t>As noted above, the continuation of the GRA was affirmed as part of Southwest’s most recent general rate case with an expansion to include a large customer class (with average monthly throughput requirements greater than 15,000 therms), effective April 2022. Southwest makes Annual Rate Adjustment (“ARA”) filings to update rates to recover or return amounts associated with various regulatory mechanisms, including the GRA. Southwest made its most recent ARA filing in November 2022 related to balances as of September 30, 2022. Given the magnitude of the outstanding balances, further discussion with the parties resulted in a settlement of the issues and utilizing a more current balance as of January 2023 to better align the rates implemented with the existing balance. Recovery rates and adjustments thereto as part of the ARA primarily impact cash flows but not net income overall.</w:t>
      </w:r>
    </w:p>
    <w:p>
      <w:pPr>
        <w:pStyle w:val="TextBody"/>
        <w:spacing w:lineRule="auto" w:line="288" w:before="120" w:after="283"/>
        <w:jc w:val="both"/>
        <w:rPr/>
      </w:pPr>
      <w:r>
        <w:rPr>
          <w:rFonts w:ascii="Times New Roman;sans-serif" w:hAnsi="Times New Roman;sans-serif"/>
          <w:b w:val="false"/>
          <w:i/>
          <w:color w:val="000000"/>
          <w:sz w:val="20"/>
        </w:rPr>
        <w:t>Conservation and Energy Efficiency.</w:t>
      </w:r>
      <w:r>
        <w:rPr>
          <w:color w:val="000000"/>
        </w:rPr>
        <w:t xml:space="preserve"> </w:t>
      </w:r>
      <w:r>
        <w:rPr>
          <w:rFonts w:ascii="Times New Roman;sans-serif" w:hAnsi="Times New Roman;sans-serif"/>
          <w:b w:val="false"/>
          <w:color w:val="000000"/>
          <w:sz w:val="20"/>
        </w:rPr>
        <w:t xml:space="preserve">The PUCN allows deferral (and later recovery) of approved conservation and energy efficiency costs, recovery rates for which are adjusted in association with ARA filings. In its November 2022 ARA filing, Southwest proposed an annualized revenue increase of $139,000 and a decrease of $290,000 for southern and northern Nevada, respectively. A stipulation related to the conservation and energy efficiency costs and other ARA-related mechanisms was reached with the parties and approved by the PUCN with rates effective July 1, 2023. Separately, in May 2022, Southwest filed an application seeking approval of its annual Conservation and Energy Efficiency Plan Report for 2021, with no proposed modifications to the previously approved $1.3 million annual budget for years 2022-2024. The parties reached a stipulation that was approved by the PUCN in July 2022. </w:t>
      </w:r>
    </w:p>
    <w:p>
      <w:pPr>
        <w:pStyle w:val="TextBody"/>
        <w:spacing w:lineRule="auto" w:line="288" w:before="120" w:after="283"/>
        <w:jc w:val="both"/>
        <w:rPr/>
      </w:pPr>
      <w:r>
        <w:rPr>
          <w:rFonts w:ascii="Times New Roman;sans-serif" w:hAnsi="Times New Roman;sans-serif"/>
          <w:b w:val="false"/>
          <w:i/>
          <w:color w:val="000000"/>
          <w:sz w:val="20"/>
        </w:rPr>
        <w:t xml:space="preserve">Carbon Offset Program. </w:t>
      </w:r>
      <w:r>
        <w:rPr>
          <w:rFonts w:ascii="Times New Roman;sans-serif" w:hAnsi="Times New Roman;sans-serif"/>
          <w:b w:val="false"/>
          <w:color w:val="000000"/>
          <w:sz w:val="20"/>
        </w:rPr>
        <w:t xml:space="preserve">In June 2021, Southwest filed an application to seek approval to offer a voluntary program to northern and southern Nevada customers to purchase carbon offsets in an effort to provide customers additional options to offset their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28650"/>
                <wp:effectExtent l="0" t="0" r="0" b="0"/>
                <wp:wrapNone/>
                <wp:docPr id="37" name="Frame3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respective GHG emissions. A request to establish a regulatory asset to track program-related costs and revenues was included as part of the application. The parties reached a stipulation that was approved by the PUCN in December 2021, approving Southwest’s proposal. The program opened for customer participation in the fourth quarter of 2022.</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FERC Jurisdiction</w:t>
      </w:r>
    </w:p>
    <w:p>
      <w:pPr>
        <w:pStyle w:val="TextBody"/>
        <w:spacing w:lineRule="auto" w:line="288" w:before="120" w:after="283"/>
        <w:jc w:val="both"/>
        <w:rPr/>
      </w:pPr>
      <w:r>
        <w:rPr>
          <w:rFonts w:ascii="Times New Roman;sans-serif" w:hAnsi="Times New Roman;sans-serif"/>
          <w:b w:val="false"/>
          <w:i/>
          <w:color w:val="000000"/>
          <w:sz w:val="20"/>
        </w:rPr>
        <w:t>General Rate Case.</w:t>
      </w:r>
      <w:r>
        <w:rPr>
          <w:color w:val="000000"/>
        </w:rPr>
        <w:t xml:space="preserve"> </w:t>
      </w:r>
      <w:r>
        <w:rPr>
          <w:rFonts w:ascii="Times New Roman;sans-serif" w:hAnsi="Times New Roman;sans-serif"/>
          <w:b w:val="false"/>
          <w:color w:val="000000"/>
          <w:sz w:val="20"/>
        </w:rPr>
        <w:t>Great Basin Gas Transmission Company (“Great Basin”), a wholly owned subsidiary of Southwest, reached an agreement in principle with the FERC Staff providing that its three largest transportation customers and all storage customers would be required to have primary service agreement terms of at least five years, that term-differentiated rates would continue generally, and included a 9.90% pre-tax rate of return. Interim rates were made effective February 2020. As part of the settlement, Great Basin will not file a rate case later than May 31, 2025.</w:t>
      </w:r>
    </w:p>
    <w:p>
      <w:pPr>
        <w:pStyle w:val="TextBody"/>
        <w:spacing w:lineRule="auto" w:line="288" w:before="120" w:after="283"/>
        <w:jc w:val="both"/>
        <w:rPr/>
      </w:pPr>
      <w:r>
        <w:rPr>
          <w:rFonts w:ascii="Times New Roman;sans-serif" w:hAnsi="Times New Roman;sans-serif"/>
          <w:b w:val="false"/>
          <w:i/>
          <w:color w:val="000000"/>
          <w:sz w:val="20"/>
        </w:rPr>
        <w:t>MountainWest Overthrust Pipeline.</w:t>
      </w:r>
      <w:r>
        <w:rPr>
          <w:color w:val="000000"/>
        </w:rPr>
        <w:t xml:space="preserve"> </w:t>
      </w:r>
      <w:r>
        <w:rPr>
          <w:rFonts w:ascii="Times New Roman;sans-serif" w:hAnsi="Times New Roman;sans-serif"/>
          <w:b w:val="false"/>
          <w:color w:val="000000"/>
          <w:sz w:val="20"/>
        </w:rPr>
        <w:t xml:space="preserve">On September 22, 2022, during the period of Southwest Gas Holdings’ ownership of the MountainWest entities, the FERC issued an order initiating an investigation, pursuant to section 5 of the Natural Gas Act, to determine whether rates charged by MountainWest Overthrust Pipeline, LLC, a subsidiary of MountainWest, were just and reasonable and setting the matter for hearing (the “Section 5 Rate Case”). Unless earlier settled by the parties, a hearing on the matter was to commence in August 2023 with an initial decision from the presiding administrative law judge due by November 14, 2023. Under the terms of the purchase and sale agreement entered into in connection with the MountainWest sale, the Company became obligated, for a period of four years following the closing of the MountainWest sale, to indemnify Williams and MountainWest for any damages and liabilities resulting from the Section 5 Rate Case, including any reduction to the current applicable rate, up to a cap of $75 million. Williams, in collaboration with the Company, agreed to a settlement of the Section 5 Rate Case, which is pending approval by the FERC. As a result of the settlement, the Company recorded a charge of $28.4 million, an amount for which it is now expected to be obligated, which is included in Goodwill impairment and loss on sale on the Company’s Consolidated Statements of Income for the three- and twelve- months ended March 31, 2023.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PGA Filings</w:t>
      </w:r>
    </w:p>
    <w:p>
      <w:pPr>
        <w:pStyle w:val="TextBody"/>
        <w:spacing w:lineRule="auto" w:line="288" w:before="120" w:after="283"/>
        <w:jc w:val="both"/>
        <w:rPr/>
      </w:pPr>
      <w:r>
        <w:rPr>
          <w:rFonts w:ascii="Times New Roman;sans-serif" w:hAnsi="Times New Roman;sans-serif"/>
          <w:b w:val="false"/>
          <w:color w:val="000000"/>
          <w:sz w:val="20"/>
        </w:rPr>
        <w:t xml:space="preserve">The rate schedules in all of Southwest’s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Balances are recovered from or refunded to customers on an ongoing basis with interest. As of March 31, 2023, under-collections in each of Southwest’s service territories resulted in an asset of $970 million on the Company’s and Southwest’s Condensed Consolidated Balance Sheets. See also </w:t>
      </w:r>
      <w:r>
        <w:rPr>
          <w:rFonts w:ascii="Times New Roman;sans-serif" w:hAnsi="Times New Roman;sans-serif"/>
          <w:b w:val="false"/>
          <w:i/>
          <w:color w:val="000000"/>
          <w:sz w:val="20"/>
        </w:rPr>
        <w:t>Deferred Purchased Gas Costs</w:t>
      </w:r>
      <w:r>
        <w:rPr>
          <w:color w:val="000000"/>
        </w:rPr>
        <w:t xml:space="preserve"> </w:t>
      </w:r>
      <w:r>
        <w:rPr>
          <w:rFonts w:ascii="Times New Roman;sans-serif" w:hAnsi="Times New Roman;sans-serif"/>
          <w:b w:val="false"/>
          <w:color w:val="000000"/>
          <w:sz w:val="20"/>
        </w:rPr>
        <w:t xml:space="preserve">in </w:t>
      </w:r>
      <w:r>
        <w:rPr>
          <w:rFonts w:ascii="Times New Roman;sans-serif" w:hAnsi="Times New Roman;sans-serif"/>
          <w:b/>
          <w:color w:val="000000"/>
          <w:sz w:val="20"/>
        </w:rPr>
        <w:t>Note 1 – Background, Organization, and Summary of Significant Accounting Policies</w:t>
      </w:r>
      <w:r>
        <w:rPr>
          <w:color w:val="000000"/>
        </w:rPr>
        <w:t xml:space="preserve"> </w:t>
      </w:r>
      <w:r>
        <w:rPr>
          <w:rFonts w:ascii="Times New Roman;sans-serif" w:hAnsi="Times New Roman;sans-serif"/>
          <w:b w:val="false"/>
          <w:color w:val="000000"/>
          <w:sz w:val="20"/>
        </w:rPr>
        <w:t>in this quarterly report on Form 10-Q</w:t>
      </w:r>
      <w:r>
        <w:rPr>
          <w:rFonts w:ascii="Times New Roman;sans-serif" w:hAnsi="Times New Roman;sans-serif"/>
          <w:b/>
          <w:color w:val="000000"/>
          <w:sz w:val="20"/>
        </w:rPr>
        <w: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Filings to change rates in accordance with PGA clauses are subject to audit by state regulatory commission staffs. PGA changes impact cash flows but have no direct impact on operating margin. However, gas cost deferrals and recoveries can impact comparisons between periods of individual consolidated income statement components. These include Regulated operations revenues, Net cost of gas sold, Net interest deductions, and Other income (deductions).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Southwest’s outstanding PGA balances receivable/(payable):</w:t>
      </w:r>
    </w:p>
    <w:tbl>
      <w:tblPr>
        <w:tblW w:w="7433" w:type="dxa"/>
        <w:jc w:val="left"/>
        <w:tblInd w:w="0" w:type="dxa"/>
        <w:tblCellMar>
          <w:top w:w="28" w:type="dxa"/>
          <w:left w:w="28" w:type="dxa"/>
          <w:bottom w:w="28" w:type="dxa"/>
          <w:right w:w="28" w:type="dxa"/>
        </w:tblCellMar>
      </w:tblPr>
      <w:tblGrid>
        <w:gridCol w:w="701"/>
        <w:gridCol w:w="615"/>
        <w:gridCol w:w="619"/>
        <w:gridCol w:w="109"/>
        <w:gridCol w:w="109"/>
        <w:gridCol w:w="109"/>
        <w:gridCol w:w="257"/>
        <w:gridCol w:w="1006"/>
        <w:gridCol w:w="133"/>
        <w:gridCol w:w="109"/>
        <w:gridCol w:w="109"/>
        <w:gridCol w:w="109"/>
        <w:gridCol w:w="309"/>
        <w:gridCol w:w="1211"/>
        <w:gridCol w:w="161"/>
        <w:gridCol w:w="109"/>
        <w:gridCol w:w="109"/>
        <w:gridCol w:w="109"/>
        <w:gridCol w:w="255"/>
        <w:gridCol w:w="999"/>
        <w:gridCol w:w="186"/>
      </w:tblGrid>
      <w:tr>
        <w:trPr/>
        <w:tc>
          <w:tcPr>
            <w:tcW w:w="70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1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 of dollars)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r>
      <w:tr>
        <w:trPr/>
        <w:tc>
          <w:tcPr>
            <w:tcW w:w="1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417,931 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292,472 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255,472 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Northern Nevada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80,540 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Southern Nevada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415,146 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122,959 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93,153 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970,339 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450,120 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367,954 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Capital Resources and Liquidity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cash on hand and cash flows from operations have provided a substantial portion of cash used in investing activities (primarily for construction expenditures and property additions). In recent years, Southwest has undertaken significant pipe replacement activities to fortify system integrity and reliability, including on an accelerated basis in association with certain gas infrastructure replacement programs. This activity has necessitated the issuance of both debt and equity securities to supplement cash flows from operations. More recently, a number of conditions, such as winter storms and market forces (including historically low storage levels) have caused gas prices to spike and remain higher than previous historical levels. The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28650"/>
                <wp:effectExtent l="0" t="0" r="0" b="0"/>
                <wp:wrapNone/>
                <wp:docPr id="38" name="Frame3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Company’s capitalization strategy is to maintain an appropriate balance of equity and debt to preserve investment-grade credit ratings, which help minimize interest costs. </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Southwest Gas Holdings, Inc.:</w:t>
      </w:r>
    </w:p>
    <w:p>
      <w:pPr>
        <w:pStyle w:val="TextBody"/>
        <w:spacing w:lineRule="auto" w:line="288" w:before="120" w:after="283"/>
        <w:jc w:val="both"/>
        <w:rPr/>
      </w:pPr>
      <w:r>
        <w:rPr>
          <w:rFonts w:ascii="Times New Roman;sans-serif" w:hAnsi="Times New Roman;sans-serif"/>
          <w:b w:val="false"/>
          <w:i/>
          <w:color w:val="000000"/>
          <w:sz w:val="20"/>
        </w:rPr>
        <w:t>Operating Cash Flows.</w:t>
      </w:r>
      <w:r>
        <w:rPr>
          <w:color w:val="000000"/>
        </w:rPr>
        <w:t xml:space="preserve"> </w:t>
      </w:r>
      <w:r>
        <w:rPr>
          <w:rFonts w:ascii="Times New Roman;sans-serif" w:hAnsi="Times New Roman;sans-serif"/>
          <w:b w:val="false"/>
          <w:color w:val="000000"/>
          <w:sz w:val="20"/>
        </w:rPr>
        <w:t>Cash flows from consolidated operating activities decreased $372 million in the first three months of 2023 as compared to the same period of 2022. The decline in cash flows primarily resulted from the change in purchased gas costs for Southwest, including amounts incurred and deferred, as well as impacts related to when amounts are incorporated in customer bills to recover or return deferred balances. Gas costs recovered from customers were higher in both periods compared to earlier historical periods, but amounts expended for gas purchases substantially increased in the first quarter of 2023, reflected also as higher Deferred purchased gas cost balances in advance of rates to recover the balance. Other impacts include changes in components of working capital overall.</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and administrative expenses/outflows for Southwest Gas Holdings, Inc. in the three- and twelve-month periods ended March 31, 2023 mainly include charges related to the MountainWest sale that closed in February 2023.</w:t>
      </w:r>
    </w:p>
    <w:p>
      <w:pPr>
        <w:pStyle w:val="TextBody"/>
        <w:spacing w:lineRule="auto" w:line="288" w:before="120" w:after="283"/>
        <w:jc w:val="both"/>
        <w:rPr/>
      </w:pPr>
      <w:r>
        <w:rPr>
          <w:rFonts w:ascii="Times New Roman;sans-serif" w:hAnsi="Times New Roman;sans-serif"/>
          <w:b w:val="false"/>
          <w:i/>
          <w:color w:val="000000"/>
          <w:sz w:val="20"/>
        </w:rPr>
        <w:t>Investing Cash Flows.</w:t>
      </w:r>
      <w:r>
        <w:rPr>
          <w:color w:val="000000"/>
        </w:rPr>
        <w:t xml:space="preserve"> </w:t>
      </w:r>
      <w:r>
        <w:rPr>
          <w:rFonts w:ascii="Times New Roman;sans-serif" w:hAnsi="Times New Roman;sans-serif"/>
          <w:b w:val="false"/>
          <w:color w:val="000000"/>
          <w:sz w:val="20"/>
        </w:rPr>
        <w:t xml:space="preserve">Cash flows from consolidated investing activities increased $1 billion in the first three months of 2023 as compared to the same period of 2022. The overall increase related to $1.06 billion in proceeds received in connection with the MountainWest sale (which amount is net of cash sold), partially offset by an increase in capital expenditures in both the natural gas distribution and utility infrastructure services segments. </w:t>
      </w:r>
    </w:p>
    <w:p>
      <w:pPr>
        <w:pStyle w:val="TextBody"/>
        <w:spacing w:lineRule="auto" w:line="288" w:before="120" w:after="283"/>
        <w:jc w:val="both"/>
        <w:rPr/>
      </w:pPr>
      <w:r>
        <w:rPr>
          <w:rFonts w:ascii="Times New Roman;sans-serif" w:hAnsi="Times New Roman;sans-serif"/>
          <w:b w:val="false"/>
          <w:i/>
          <w:color w:val="000000"/>
          <w:sz w:val="20"/>
        </w:rPr>
        <w:t>Financing Cash Flows.</w:t>
      </w:r>
      <w:r>
        <w:rPr>
          <w:color w:val="000000"/>
        </w:rPr>
        <w:t xml:space="preserve"> </w:t>
      </w:r>
      <w:r>
        <w:rPr>
          <w:rFonts w:ascii="Times New Roman;sans-serif" w:hAnsi="Times New Roman;sans-serif"/>
          <w:b w:val="false"/>
          <w:color w:val="000000"/>
          <w:sz w:val="20"/>
        </w:rPr>
        <w:t>Cash flows from consolidated financing activities decreased $1.1 billion in the first three months of 2023 as compared to the same period of 2022. The overall decrease was primarily due to the repayment ($1.1 billion) of the term loan entered into by Southwest Gas Holdings, Inc. in November 2021 in connection with the acquisition of MountainWest. Other impacts that offset this decrease were proceeds from the issuance of common stock in an underwritten public offering in March 2023 and debt proceeds by Southwest from the 364-day $450 million term loan to address an escalation in gas purchases (entered into in January 2023 and repaid in full in April 2023). The first quarter of 2023 also included $300 million of Senior Notes (the “March 2023 Notes”) issued by Southwest compared to $600 million in the first quarter of 2022. Other cash flows relate to borrowings and repayment under the companies’ credit facilities.</w:t>
      </w:r>
    </w:p>
    <w:p>
      <w:pPr>
        <w:pStyle w:val="TextBody"/>
        <w:spacing w:lineRule="auto" w:line="288" w:before="120" w:after="283"/>
        <w:jc w:val="both"/>
        <w:rPr/>
      </w:pPr>
      <w:r>
        <w:rPr>
          <w:rFonts w:ascii="Times New Roman;sans-serif" w:hAnsi="Times New Roman;sans-serif"/>
          <w:b w:val="false"/>
          <w:color w:val="000000"/>
          <w:sz w:val="20"/>
          <w:highlight w:val="white"/>
        </w:rPr>
        <w:t>The capital requirements and resources of the Company generally are determi</w:t>
      </w:r>
      <w:r>
        <w:rPr>
          <w:rFonts w:ascii="Times New Roman;sans-serif" w:hAnsi="Times New Roman;sans-serif"/>
          <w:b w:val="false"/>
          <w:color w:val="000000"/>
          <w:sz w:val="20"/>
        </w:rPr>
        <w:t>ned independently for the individual business segments. Each business segment is generally responsible for securing its own debt financing sources. However, the holding company may raise funds through stock issuances or other external financing sources in support of each business segment.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Southwest Gas Corporation:</w:t>
      </w:r>
    </w:p>
    <w:p>
      <w:pPr>
        <w:pStyle w:val="TextBody"/>
        <w:spacing w:lineRule="auto" w:line="288" w:before="120" w:after="283"/>
        <w:jc w:val="both"/>
        <w:rPr/>
      </w:pPr>
      <w:r>
        <w:rPr>
          <w:rFonts w:ascii="Times New Roman;sans-serif" w:hAnsi="Times New Roman;sans-serif"/>
          <w:b w:val="false"/>
          <w:i/>
          <w:color w:val="000000"/>
          <w:sz w:val="20"/>
        </w:rPr>
        <w:t>Operating Cash Flows.</w:t>
      </w:r>
      <w:r>
        <w:rPr>
          <w:color w:val="000000"/>
        </w:rPr>
        <w:t xml:space="preserve"> </w:t>
      </w:r>
      <w:r>
        <w:rPr>
          <w:rFonts w:ascii="Times New Roman;sans-serif" w:hAnsi="Times New Roman;sans-serif"/>
          <w:b w:val="false"/>
          <w:color w:val="000000"/>
          <w:sz w:val="20"/>
        </w:rPr>
        <w:t>Cash flows from operating activities decreased $393 million in the first three months of 2023 as compared to the same period of 2022. The decline in operating cash flows was primarily attributable to Deferred purchased gas costs changes (as discussed above), as well as to other working capital changes.</w:t>
      </w:r>
    </w:p>
    <w:p>
      <w:pPr>
        <w:pStyle w:val="TextBody"/>
        <w:spacing w:lineRule="auto" w:line="288" w:before="120" w:after="283"/>
        <w:jc w:val="both"/>
        <w:rPr/>
      </w:pPr>
      <w:r>
        <w:rPr>
          <w:rFonts w:ascii="Times New Roman;sans-serif" w:hAnsi="Times New Roman;sans-serif"/>
          <w:b w:val="false"/>
          <w:i/>
          <w:color w:val="000000"/>
          <w:sz w:val="20"/>
        </w:rPr>
        <w:t>Investing Cash Flows.</w:t>
      </w:r>
      <w:r>
        <w:rPr>
          <w:color w:val="000000"/>
        </w:rPr>
        <w:t xml:space="preserve"> </w:t>
      </w:r>
      <w:r>
        <w:rPr>
          <w:rFonts w:ascii="Times New Roman;sans-serif" w:hAnsi="Times New Roman;sans-serif"/>
          <w:b w:val="false"/>
          <w:color w:val="000000"/>
          <w:sz w:val="20"/>
        </w:rPr>
        <w:t xml:space="preserve">Cash used in investing activities increased $64 million in the first three months of 2023 as compared to the same period of 2022. The change was primarily due to increases in capital expenditures in 2023 and decreases related to customer advances for construction (amounts collected and/or returned) as compared to the same period in the prior year. See also </w:t>
      </w:r>
      <w:r>
        <w:rPr>
          <w:rFonts w:ascii="Times New Roman;sans-serif" w:hAnsi="Times New Roman;sans-serif"/>
          <w:b w:val="false"/>
          <w:i/>
          <w:color w:val="000000"/>
          <w:sz w:val="20"/>
        </w:rPr>
        <w:t>Gas Segment Construction Expenditures, and Debt Maturities, and Financing</w:t>
      </w:r>
      <w:r>
        <w:rPr>
          <w:color w:val="000000"/>
        </w:rPr>
        <w:t xml:space="preserve"> </w:t>
      </w:r>
      <w:r>
        <w:rPr>
          <w:rFonts w:ascii="Times New Roman;sans-serif" w:hAnsi="Times New Roman;sans-serif"/>
          <w:b w:val="false"/>
          <w:color w:val="000000"/>
          <w:sz w:val="20"/>
        </w:rPr>
        <w:t>below.</w:t>
      </w:r>
    </w:p>
    <w:p>
      <w:pPr>
        <w:pStyle w:val="TextBody"/>
        <w:spacing w:lineRule="auto" w:line="288" w:before="120" w:after="283"/>
        <w:jc w:val="both"/>
        <w:rPr/>
      </w:pPr>
      <w:r>
        <w:rPr>
          <w:rFonts w:ascii="Times New Roman;sans-serif" w:hAnsi="Times New Roman;sans-serif"/>
          <w:b w:val="false"/>
          <w:i/>
          <w:color w:val="000000"/>
          <w:sz w:val="20"/>
          <w:highlight w:val="white"/>
        </w:rPr>
        <w:t>Financing Cash Flows.</w:t>
      </w:r>
      <w:r>
        <w:rPr>
          <w:color w:val="000000"/>
          <w:highlight w:val="white"/>
        </w:rPr>
        <w:t xml:space="preserve"> </w:t>
      </w:r>
      <w:r>
        <w:rPr>
          <w:rFonts w:ascii="Times New Roman;sans-serif" w:hAnsi="Times New Roman;sans-serif"/>
          <w:b w:val="false"/>
          <w:color w:val="000000"/>
          <w:sz w:val="20"/>
          <w:highlight w:val="white"/>
        </w:rPr>
        <w:t>Net cash provided by financing acti</w:t>
      </w:r>
      <w:r>
        <w:rPr>
          <w:rFonts w:ascii="Times New Roman;sans-serif" w:hAnsi="Times New Roman;sans-serif"/>
          <w:b w:val="false"/>
          <w:color w:val="000000"/>
          <w:sz w:val="20"/>
        </w:rPr>
        <w:t xml:space="preserve">vities increased $31 million in the first three months of 2023 as compared to the same period of 2022. The increase was primarily due to Southwest’s $450 million term loan borrowing in January 2023 offset by $225 million payment of the term loan entered into in March 2021, along with the issuance of the March 2023 Notes noted above, and borrowing and repayment activity under the credit facility. See </w:t>
      </w:r>
      <w:r>
        <w:rPr>
          <w:rFonts w:ascii="Times New Roman;sans-serif" w:hAnsi="Times New Roman;sans-serif"/>
          <w:b/>
          <w:color w:val="000000"/>
          <w:sz w:val="20"/>
        </w:rPr>
        <w:t>Note 5 – Debt</w:t>
      </w:r>
      <w:r>
        <w:rPr>
          <w:rFonts w:ascii="Times New Roman;sans-serif" w:hAnsi="Times New Roman;sans-serif"/>
          <w:b w:val="false"/>
          <w:color w:val="000000"/>
          <w:sz w:val="20"/>
        </w:rPr>
        <w:t xml:space="preserve">. </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Gas Segment Construction Expenditures, Debt Maturities, and Financing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twelve-month period ended March 31, 2023, construction expenditures for the natural gas distribution segment were $734 million (not including amounts incurred for capital expenditures not yet paid). The majority of these expenditures represented costs associated with the replacement of existing transmission and distribution pipeline facilities to fortify system integrity and reliability, as well as other general plant expenditures.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estimates natural gas segment construction expenditures during the three-year period ending December 31, 2025 will be approximately $2.0 billion. Of this amount, approximately $665 million to $685 million is expected to be incurred during calendar year 2023. Southwest plans to continue to request regulatory support to undertake projects, or to accelerate projects as necessary for the improvement of system flexibility and reliability, or to expand, where relevant, to unserved or underserved areas. Southwest may expand existing, or initiate new, programs. Significant replacement activities are expected to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28650"/>
                <wp:effectExtent l="0" t="0" r="0" b="0"/>
                <wp:wrapNone/>
                <wp:docPr id="39" name="Frame3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120" w:after="283"/>
        <w:jc w:val="both"/>
        <w:rPr/>
      </w:pPr>
      <w:r>
        <w:rPr>
          <w:rFonts w:ascii="Times New Roman;sans-serif" w:hAnsi="Times New Roman;sans-serif"/>
          <w:b w:val="false"/>
          <w:color w:val="000000"/>
          <w:sz w:val="20"/>
        </w:rPr>
        <w:t xml:space="preserve">continue well beyond the next few years. See also </w:t>
      </w:r>
      <w:r>
        <w:rPr>
          <w:rFonts w:ascii="Times New Roman;sans-serif" w:hAnsi="Times New Roman;sans-serif"/>
          <w:b/>
          <w:color w:val="000000"/>
          <w:sz w:val="20"/>
        </w:rPr>
        <w:t>Rates and Regulatory Proceedings</w:t>
      </w:r>
      <w:r>
        <w:rPr>
          <w:rFonts w:ascii="Times New Roman;sans-serif" w:hAnsi="Times New Roman;sans-serif"/>
          <w:b w:val="false"/>
          <w:color w:val="000000"/>
          <w:sz w:val="20"/>
        </w:rPr>
        <w:t xml:space="preserve">. During the three-year period ending December 31, 2025, cash flows from operating activities of Southwest are expected to provide approximately 77% of the funding for </w:t>
      </w:r>
      <w:r>
        <w:rPr>
          <w:rFonts w:ascii="Times New Roman;sans-serif" w:hAnsi="Times New Roman;sans-serif"/>
          <w:b w:val="false"/>
          <w:color w:val="000000"/>
          <w:sz w:val="20"/>
          <w:highlight w:val="white"/>
        </w:rPr>
        <w:t>gas operations</w:t>
      </w:r>
      <w:r>
        <w:rPr>
          <w:color w:val="000000"/>
        </w:rPr>
        <w:t xml:space="preserve"> </w:t>
      </w:r>
      <w:r>
        <w:rPr>
          <w:rFonts w:ascii="Times New Roman;sans-serif" w:hAnsi="Times New Roman;sans-serif"/>
          <w:b w:val="false"/>
          <w:color w:val="000000"/>
          <w:sz w:val="20"/>
        </w:rPr>
        <w:t xml:space="preserve">of Southwest and total construction expenditures and dividend requirements. During the quarter ended March 31, 2023, Southwest entered into a 364-day $450 million term loan agreement, and also fully paid off the March 2021 term loan, each of which were initiated to fund spikes in natural gas purchases. Additional cash requirements, including construction-related, and pay down or refinancing of debt, are expected to be provided by existing credit facilities, equity contributions from the Company, and/or other external financing sources. The timing, types, and amounts of additional external financings will be dependent on a number of factors, including the cost of gas purchases, conditions in capital markets, timing and amount of rate relief, timing and amount of surcharge collections from, or amounts returned to, customers related to other regulatory mechanisms and programs, as well as growth levels in Southwest’s service areas and earnings. External financings may include the issuance of debt securities, bank and other short-term borrowings, and other forms of financing. </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 Policy</w:t>
      </w:r>
    </w:p>
    <w:p>
      <w:pPr>
        <w:pStyle w:val="TextBody"/>
        <w:spacing w:lineRule="auto" w:line="288" w:before="120" w:after="283"/>
        <w:jc w:val="both"/>
        <w:rPr/>
      </w:pPr>
      <w:r>
        <w:rPr>
          <w:rFonts w:ascii="Times New Roman;sans-serif" w:hAnsi="Times New Roman;sans-serif"/>
          <w:b w:val="false"/>
          <w:color w:val="000000"/>
          <w:sz w:val="20"/>
        </w:rPr>
        <w:t>Dividends are payable on the Company’s common stock at the discretion of the Board. In setting the dividend rate, the Board considers, among other factors, current and expected future earnings levels, our ongoing capital expenditure plans, expected external funding needs, and our ability to maintain investment-grade credit ratings and liquidity. The Company has paid dividends on its common stock since 1956</w:t>
      </w:r>
      <w:r>
        <w:rPr>
          <w:rFonts w:ascii="Times New Roman;sans-serif" w:hAnsi="Times New Roman;sans-serif"/>
          <w:b w:val="false"/>
          <w:color w:val="000000"/>
          <w:sz w:val="20"/>
          <w:highlight w:val="white"/>
        </w:rPr>
        <w:t>. In February 2023, the Board determined to maintain the quarterly dividend at</w:t>
      </w:r>
      <w:r>
        <w:rPr>
          <w:color w:val="000000"/>
        </w:rPr>
        <w:t xml:space="preserve"> </w:t>
      </w:r>
      <w:r>
        <w:rPr>
          <w:rFonts w:ascii="Times New Roman;sans-serif" w:hAnsi="Times New Roman;sans-serif"/>
          <w:b w:val="false"/>
          <w:color w:val="000000"/>
          <w:sz w:val="20"/>
        </w:rPr>
        <w:t>$0.62 per share</w:t>
      </w:r>
      <w:r>
        <w:rPr>
          <w:rFonts w:ascii="Times New Roman;sans-serif" w:hAnsi="Times New Roman;sans-serif"/>
          <w:b w:val="false"/>
          <w:color w:val="000000"/>
          <w:sz w:val="20"/>
          <w:highlight w:val="white"/>
        </w:rPr>
        <w:t>, effective with the June 2023 payment.</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Several factors (some of which are out of the control of the Company) that could significantly affect liquidity in the future include: variability of natural gas prices, changes in ratemaking policies of regulatory commissions, regulatory lag, customer growth in the natural gas distribution segment,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pStyle w:val="TextBody"/>
        <w:spacing w:lineRule="auto" w:line="288" w:before="120" w:after="283"/>
        <w:jc w:val="both"/>
        <w:rPr/>
      </w:pPr>
      <w:r>
        <w:rPr>
          <w:rFonts w:ascii="Times New Roman;sans-serif" w:hAnsi="Times New Roman;sans-serif"/>
          <w:b w:val="false"/>
          <w:color w:val="000000"/>
          <w:sz w:val="20"/>
        </w:rPr>
        <w:t>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March 31, 2023, the combined balance in the PGA accounts totaled an under-collection</w:t>
      </w:r>
      <w:r>
        <w:rPr>
          <w:color w:val="000000"/>
          <w:highlight w:val="white"/>
        </w:rPr>
        <w:t xml:space="preserve"> </w:t>
      </w:r>
      <w:r>
        <w:rPr>
          <w:rFonts w:ascii="Times New Roman;sans-serif" w:hAnsi="Times New Roman;sans-serif"/>
          <w:b w:val="false"/>
          <w:color w:val="000000"/>
          <w:sz w:val="20"/>
          <w:highlight w:val="white"/>
        </w:rPr>
        <w:t>of $970 million. S</w:t>
      </w:r>
      <w:r>
        <w:rPr>
          <w:rFonts w:ascii="Times New Roman;sans-serif" w:hAnsi="Times New Roman;sans-serif"/>
          <w:b w:val="false"/>
          <w:color w:val="000000"/>
          <w:sz w:val="20"/>
        </w:rPr>
        <w:t xml:space="preserve">ee </w:t>
      </w:r>
      <w:r>
        <w:rPr>
          <w:rFonts w:ascii="Times New Roman;sans-serif" w:hAnsi="Times New Roman;sans-serif"/>
          <w:b/>
          <w:color w:val="000000"/>
          <w:sz w:val="20"/>
        </w:rPr>
        <w:t>PGA Filings</w:t>
      </w:r>
      <w:r>
        <w:rPr>
          <w:color w:val="000000"/>
        </w:rPr>
        <w:t xml:space="preserve"> </w:t>
      </w:r>
      <w:r>
        <w:rPr>
          <w:rFonts w:ascii="Times New Roman;sans-serif" w:hAnsi="Times New Roman;sans-serif"/>
          <w:b w:val="false"/>
          <w:color w:val="000000"/>
          <w:sz w:val="20"/>
        </w:rPr>
        <w:t xml:space="preserve">for more information. The market price of natural gas spiked as a result of numerous market forces including historically low storage levels, unexpected upstream pipeline maintenance events, and cold weather conditions across the western region in the latter part of 2022 and continuing into January 2023. As a result of this increase in pricing, in January 2023, Southwest entered into a 364-day $450 million term loan in order to fund the incremental cost. This indebtedness was repaid in April 2023 (refer to </w:t>
      </w:r>
      <w:r>
        <w:rPr>
          <w:rFonts w:ascii="Times New Roman;sans-serif" w:hAnsi="Times New Roman;sans-serif"/>
          <w:b/>
          <w:color w:val="000000"/>
          <w:sz w:val="20"/>
        </w:rPr>
        <w:t>Note 5 – Debt</w:t>
      </w:r>
      <w:r>
        <w:rPr>
          <w:color w:val="000000"/>
        </w:rPr>
        <w:t xml:space="preserve"> </w:t>
      </w:r>
      <w:r>
        <w:rPr>
          <w:rFonts w:ascii="Times New Roman;sans-serif" w:hAnsi="Times New Roman;sans-serif"/>
          <w:b w:val="false"/>
          <w:color w:val="000000"/>
          <w:sz w:val="20"/>
        </w:rPr>
        <w:t>in this Quarterly Report on Form 10-Q). We may be required to incur additional indebtedness in connection with future spikes in natural gas prices as a result of extreme weather events or otherwise.</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March 2023, Southwest issued $300 million aggregate principal amount of 5.450% Senior Notes. The notes will mature in March 2028. Southwest used the net proceeds to repay amounts outstanding under Southwest’s credit facility and the remainder for general corporate purposes. </w:t>
      </w:r>
    </w:p>
    <w:p>
      <w:pPr>
        <w:pStyle w:val="TextBody"/>
        <w:spacing w:lineRule="auto" w:line="288" w:before="120" w:after="283"/>
        <w:jc w:val="both"/>
        <w:rPr/>
      </w:pPr>
      <w:r>
        <w:rPr>
          <w:rFonts w:ascii="Times New Roman;sans-serif" w:hAnsi="Times New Roman;sans-serif"/>
          <w:b w:val="false"/>
          <w:color w:val="000000"/>
          <w:sz w:val="20"/>
          <w:highlight w:val="white"/>
        </w:rPr>
        <w:t xml:space="preserve">In April 2023, </w:t>
      </w:r>
      <w:r>
        <w:rPr>
          <w:rFonts w:ascii="Times New Roman;sans-serif" w:hAnsi="Times New Roman;sans-serif"/>
          <w:b w:val="false"/>
          <w:color w:val="000000"/>
          <w:sz w:val="20"/>
        </w:rPr>
        <w:t>Southwest Gas Holdings, Inc.</w:t>
      </w:r>
      <w:r>
        <w:rPr>
          <w:color w:val="000000"/>
          <w:highlight w:val="white"/>
        </w:rPr>
        <w:t xml:space="preserve"> </w:t>
      </w:r>
      <w:r>
        <w:rPr>
          <w:rFonts w:ascii="Times New Roman;sans-serif" w:hAnsi="Times New Roman;sans-serif"/>
          <w:b w:val="false"/>
          <w:color w:val="000000"/>
          <w:sz w:val="20"/>
          <w:highlight w:val="white"/>
        </w:rPr>
        <w:t xml:space="preserve">entered into a $550 million Term Loan Credit Agreement that matures in October 2024. Southwest Gas Holdings, Inc. utilized a majority of the proceeds to make an equity contribution to Southwest. On April 17, 2023, Southwest utilized the equity contribution to repay, in full, amounts outstanding under its </w:t>
      </w:r>
      <w:r>
        <w:rPr>
          <w:rFonts w:ascii="Times New Roman;sans-serif" w:hAnsi="Times New Roman;sans-serif"/>
          <w:b w:val="false"/>
          <w:color w:val="000000"/>
          <w:sz w:val="20"/>
        </w:rPr>
        <w:t>$450 million</w:t>
      </w:r>
      <w:r>
        <w:rPr>
          <w:color w:val="000000"/>
          <w:highlight w:val="white"/>
        </w:rPr>
        <w:t xml:space="preserve"> </w:t>
      </w:r>
      <w:r>
        <w:rPr>
          <w:rFonts w:ascii="Times New Roman;sans-serif" w:hAnsi="Times New Roman;sans-serif"/>
          <w:b w:val="false"/>
          <w:color w:val="000000"/>
          <w:sz w:val="20"/>
          <w:highlight w:val="white"/>
        </w:rPr>
        <w:t xml:space="preserve">364-day term loan entered into in January 2023, with the remainder of the equity contribution used for working capital and general corporate purposes. </w:t>
      </w:r>
    </w:p>
    <w:p>
      <w:pPr>
        <w:pStyle w:val="TextBody"/>
        <w:spacing w:lineRule="auto" w:line="288" w:before="120" w:after="283"/>
        <w:jc w:val="both"/>
        <w:rPr/>
      </w:pPr>
      <w:r>
        <w:rPr>
          <w:rFonts w:ascii="Times New Roman;sans-serif" w:hAnsi="Times New Roman;sans-serif"/>
          <w:b w:val="false"/>
          <w:color w:val="000000"/>
          <w:sz w:val="20"/>
        </w:rPr>
        <w:t xml:space="preserve">Southwest Gas Holdings, Inc. has a credit facility with a borrowing capacity of </w:t>
      </w:r>
      <w:r>
        <w:rPr>
          <w:rFonts w:ascii="Times New Roman;sans-serif" w:hAnsi="Times New Roman;sans-serif"/>
          <w:b w:val="false"/>
          <w:color w:val="000000"/>
          <w:sz w:val="20"/>
          <w:highlight w:val="white"/>
        </w:rPr>
        <w:t>$300 million</w:t>
      </w:r>
      <w:r>
        <w:rPr>
          <w:color w:val="000000"/>
        </w:rPr>
        <w:t xml:space="preserve"> </w:t>
      </w:r>
      <w:r>
        <w:rPr>
          <w:rFonts w:ascii="Times New Roman;sans-serif" w:hAnsi="Times New Roman;sans-serif"/>
          <w:b w:val="false"/>
          <w:color w:val="000000"/>
          <w:sz w:val="20"/>
        </w:rPr>
        <w:t>that expires in December 2026. This facility is intended for short-term financing needs. At March 31, 2023, $18 million was outstanding under this facility.</w:t>
      </w:r>
    </w:p>
    <w:p>
      <w:pPr>
        <w:pStyle w:val="TextBody"/>
        <w:spacing w:lineRule="auto" w:line="288" w:before="120" w:after="283"/>
        <w:jc w:val="both"/>
        <w:rPr/>
      </w:pPr>
      <w:r>
        <w:rPr>
          <w:rFonts w:ascii="Times New Roman;sans-serif" w:hAnsi="Times New Roman;sans-serif"/>
          <w:b w:val="false"/>
          <w:color w:val="000000"/>
          <w:sz w:val="20"/>
        </w:rPr>
        <w:t>Southwest has a credit facility with a borrowing capacity of $400 million, which expires in April 2025. Southwest designates $150 million of the facility for long-term borrowing needs and the remaining $250 million for working capital purposes. The maximum amount outstanding on the long-term portion of t</w:t>
      </w:r>
      <w:r>
        <w:rPr>
          <w:rFonts w:ascii="Times New Roman;sans-serif" w:hAnsi="Times New Roman;sans-serif"/>
          <w:b w:val="false"/>
          <w:color w:val="000000"/>
          <w:sz w:val="20"/>
          <w:highlight w:val="white"/>
        </w:rPr>
        <w:t>he credit facility (including a commercial paper program) during the first three months of 2023 wa</w:t>
      </w:r>
      <w:r>
        <w:rPr>
          <w:rFonts w:ascii="Times New Roman;sans-serif" w:hAnsi="Times New Roman;sans-serif"/>
          <w:b w:val="false"/>
          <w:color w:val="000000"/>
          <w:sz w:val="20"/>
        </w:rPr>
        <w:t xml:space="preserve">s $150 million. The maximum amount outstanding on the short-term portion of the credit facility during the first three months of 2023 was $75 million. At March 31, 2023, </w:t>
      </w:r>
      <w:r>
        <w:rPr>
          <w:rFonts w:ascii="Times New Roman;sans-serif" w:hAnsi="Times New Roman;sans-serif"/>
          <w:b w:val="false"/>
          <w:color w:val="000000"/>
          <w:sz w:val="20"/>
          <w:highlight w:val="white"/>
        </w:rPr>
        <w:t>no</w:t>
      </w:r>
      <w:r>
        <w:rPr>
          <w:color w:val="000000"/>
        </w:rPr>
        <w:t xml:space="preserve"> </w:t>
      </w:r>
      <w:r>
        <w:rPr>
          <w:rFonts w:ascii="Times New Roman;sans-serif" w:hAnsi="Times New Roman;sans-serif"/>
          <w:b w:val="false"/>
          <w:color w:val="000000"/>
          <w:sz w:val="20"/>
        </w:rPr>
        <w:t>borrowings were outstanding on the long-te</w:t>
      </w:r>
      <w:r>
        <w:rPr>
          <w:rFonts w:ascii="Times New Roman;sans-serif" w:hAnsi="Times New Roman;sans-serif"/>
          <w:b w:val="false"/>
          <w:color w:val="000000"/>
          <w:sz w:val="20"/>
          <w:highlight w:val="white"/>
        </w:rPr>
        <w:t>rm portion or the short-term portion of the facility. The cr</w:t>
      </w:r>
      <w:r>
        <w:rPr>
          <w:rFonts w:ascii="Times New Roman;sans-serif" w:hAnsi="Times New Roman;sans-serif"/>
          <w:b w:val="false"/>
          <w:color w:val="000000"/>
          <w:sz w:val="20"/>
        </w:rPr>
        <w:t>edit facility can be used as necessary to meet liquid</w:t>
      </w:r>
      <w:r>
        <w:rPr>
          <w:rFonts w:ascii="Times New Roman;sans-serif" w:hAnsi="Times New Roman;sans-serif"/>
          <w:b w:val="false"/>
          <w:color w:val="000000"/>
          <w:sz w:val="20"/>
          <w:highlight w:val="white"/>
        </w:rPr>
        <w:t xml:space="preserve">ity requirements, including temporarily financing under-collected </w:t>
      </w:r>
      <w:r>
        <w:rPr>
          <w:rFonts w:ascii="Times New Roman;sans-serif" w:hAnsi="Times New Roman;sans-serif"/>
          <w:b w:val="false"/>
          <w:color w:val="000000"/>
          <w:sz w:val="20"/>
        </w:rPr>
        <w:t xml:space="preserve">PGA balances, or meeting the refund needs of over-collected balances. The credit facility has generally been adequate for Southwest’s working capital needs outside of funds raised through operations and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28650"/>
                <wp:effectExtent l="0" t="0" r="0" b="0"/>
                <wp:wrapNone/>
                <wp:docPr id="40" name="Frame4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types of external financing. Any additional cash requirements would include the existing credit facility, equity contributions from the Company, and/or other external financing sources.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is designated as long-term debt. Interest rates for the commercial paper program are calculated at the current commercial paper rate during the borrowing term. At March 31, 2023, there were no borrowings outstanding under this program.</w:t>
      </w:r>
    </w:p>
    <w:p>
      <w:pPr>
        <w:pStyle w:val="TextBody"/>
        <w:spacing w:lineRule="auto" w:line="288" w:before="120" w:after="283"/>
        <w:jc w:val="both"/>
        <w:rPr/>
      </w:pPr>
      <w:r>
        <w:rPr>
          <w:rFonts w:ascii="Times New Roman;sans-serif" w:hAnsi="Times New Roman;sans-serif"/>
          <w:b w:val="false"/>
          <w:color w:val="000000"/>
          <w:sz w:val="20"/>
          <w:highlight w:val="white"/>
        </w:rPr>
        <w:t xml:space="preserve">Centuri has a senior secured revolving credit and term loan multi-currency facility. The </w:t>
      </w:r>
      <w:r>
        <w:rPr>
          <w:rFonts w:ascii="Times New Roman;sans-serif" w:hAnsi="Times New Roman;sans-serif"/>
          <w:b w:val="false"/>
          <w:color w:val="000000"/>
          <w:sz w:val="20"/>
        </w:rPr>
        <w:t xml:space="preserve">line of credit portion comprises $400 million; associated amounts borrowed and repaid are available to be re-borrowed. The term loan facility portion provided approximately </w:t>
      </w:r>
      <w:r>
        <w:rPr>
          <w:rFonts w:ascii="Times New Roman;sans-serif" w:hAnsi="Times New Roman;sans-serif"/>
          <w:b w:val="false"/>
          <w:color w:val="000000"/>
          <w:sz w:val="20"/>
          <w:highlight w:val="white"/>
        </w:rPr>
        <w:t>$1.145 billion in financing</w:t>
      </w:r>
      <w:r>
        <w:rPr>
          <w:rFonts w:ascii="Times New Roman;sans-serif" w:hAnsi="Times New Roman;sans-serif"/>
          <w:b w:val="false"/>
          <w:color w:val="000000"/>
          <w:sz w:val="20"/>
        </w:rPr>
        <w:t>. The term lo</w:t>
      </w:r>
      <w:r>
        <w:rPr>
          <w:rFonts w:ascii="Times New Roman;sans-serif" w:hAnsi="Times New Roman;sans-serif"/>
          <w:b w:val="false"/>
          <w:color w:val="000000"/>
          <w:sz w:val="20"/>
          <w:highlight w:val="white"/>
        </w:rPr>
        <w:t xml:space="preserve">an facility expires on August 27, 2028 and the revolving credit facility expires on August 27, 2026. This multi-currency facility allows the borrower to request loan advances in either Canadian dollars or U.S. dollars. </w:t>
      </w:r>
      <w:r>
        <w:rPr>
          <w:rFonts w:ascii="Times New Roman;sans-serif" w:hAnsi="Times New Roman;sans-serif"/>
          <w:b w:val="false"/>
          <w:color w:val="000000"/>
          <w:sz w:val="20"/>
        </w:rPr>
        <w:t>The obligations under</w:t>
      </w:r>
      <w:r>
        <w:rPr>
          <w:color w:val="000000"/>
          <w:highlight w:val="white"/>
        </w:rPr>
        <w:t xml:space="preserve"> </w:t>
      </w:r>
      <w:r>
        <w:rPr>
          <w:rFonts w:ascii="Times New Roman;sans-serif" w:hAnsi="Times New Roman;sans-serif"/>
          <w:b w:val="false"/>
          <w:color w:val="000000"/>
          <w:sz w:val="20"/>
          <w:highlight w:val="white"/>
        </w:rPr>
        <w:t>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w:t>
      </w:r>
      <w:r>
        <w:rPr>
          <w:color w:val="000000"/>
        </w:rPr>
        <w:t xml:space="preserve"> </w:t>
      </w:r>
      <w:r>
        <w:rPr>
          <w:rFonts w:ascii="Times New Roman;sans-serif" w:hAnsi="Times New Roman;sans-serif"/>
          <w:b w:val="false"/>
          <w:color w:val="000000"/>
          <w:sz w:val="20"/>
        </w:rPr>
        <w:t>Centuri assets securing the facility at March 31, 2023 totaled $2.4 billion. The maximum amount outstanding on the combined facility during the first three months of 2023 was $1.074 billion. As of March 31, 2023, $19 million was outstanding on the revolving credit facility, in addition to $1.003 billion that was outstanding on the term</w:t>
      </w:r>
      <w:r>
        <w:rPr>
          <w:color w:val="000000"/>
          <w:highlight w:val="white"/>
        </w:rPr>
        <w:t xml:space="preserve"> </w:t>
      </w:r>
      <w:r>
        <w:rPr>
          <w:rFonts w:ascii="Times New Roman;sans-serif" w:hAnsi="Times New Roman;sans-serif"/>
          <w:b w:val="false"/>
          <w:color w:val="000000"/>
          <w:sz w:val="20"/>
          <w:highlight w:val="white"/>
        </w:rPr>
        <w:t xml:space="preserve">loan portion of the facility. Also at March 31, 2023, there was approximately </w:t>
      </w:r>
      <w:r>
        <w:rPr>
          <w:rFonts w:ascii="Times New Roman;sans-serif" w:hAnsi="Times New Roman;sans-serif"/>
          <w:b w:val="false"/>
          <w:color w:val="000000"/>
          <w:sz w:val="20"/>
        </w:rPr>
        <w:t>$312 million</w:t>
      </w:r>
      <w:r>
        <w:rPr>
          <w:rFonts w:ascii="Times New Roman;sans-serif" w:hAnsi="Times New Roman;sans-serif"/>
          <w:b w:val="false"/>
          <w:color w:val="000000"/>
          <w:sz w:val="20"/>
          <w:highlight w:val="white"/>
        </w:rPr>
        <w:t>, net o</w:t>
      </w:r>
      <w:r>
        <w:rPr>
          <w:rFonts w:ascii="Times New Roman;sans-serif" w:hAnsi="Times New Roman;sans-serif"/>
          <w:b w:val="false"/>
          <w:color w:val="000000"/>
          <w:sz w:val="20"/>
        </w:rPr>
        <w:t xml:space="preserve">f letters of credit, available for borrowing under the line of credit.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the Company paid down (primarily with proceeds from the MountainWest sale) the remaining balance on the $1.6 billion term loan entered into in November 2021 in connection with the acquisition of MountainWest.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the Company issued through a separate prospectus supplement under the Universal Shelf, an aggregate of 4.1 million shares of common stock, at an underwritten public offering price of $60.12 per share, resulting in net proceeds to the Company of $238.4 million, net of an underwriter’s discount of $8.3 million and estimated expenses of the offering. The Company used the net proceeds to repay outstanding amounts under the Company’s credit facility, with remaining amounts used to pay a residual portion of amounts outstanding under the term loan entered into in connection with the MountainWest acquisition, and the remainder of the proceeds were used for working capital and other general corporate purposes.</w:t>
      </w:r>
    </w:p>
    <w:p>
      <w:pPr>
        <w:pStyle w:val="TextBody"/>
        <w:spacing w:lineRule="auto" w:line="288" w:before="120" w:after="283"/>
        <w:jc w:val="both"/>
        <w:rPr/>
      </w:pPr>
      <w:r>
        <w:rPr>
          <w:rFonts w:ascii="Times New Roman;sans-serif" w:hAnsi="Times New Roman;sans-serif"/>
          <w:b w:val="false"/>
          <w:color w:val="000000"/>
          <w:sz w:val="20"/>
        </w:rPr>
        <w:t>In April 2021, the Company entered into a Sales Agency Agreement between the Company and BNY Mellon Capital Markets, LLC and J.P. Morgan Securities LLC (the “Equity Shelf Program”) for the offer and sale of up to $500 million of common stock from time to time in at-the-market offerings under the related prospectus supplement filed with the SEC. There was no ac</w:t>
      </w:r>
      <w:r>
        <w:rPr>
          <w:rFonts w:ascii="Times New Roman;sans-serif" w:hAnsi="Times New Roman;sans-serif"/>
          <w:b w:val="false"/>
          <w:color w:val="000000"/>
          <w:sz w:val="20"/>
          <w:highlight w:val="white"/>
        </w:rPr>
        <w:t>tivity u</w:t>
      </w:r>
      <w:r>
        <w:rPr>
          <w:rFonts w:ascii="Times New Roman;sans-serif" w:hAnsi="Times New Roman;sans-serif"/>
          <w:b w:val="false"/>
          <w:color w:val="000000"/>
          <w:sz w:val="20"/>
        </w:rPr>
        <w:t xml:space="preserve">nder this multi-year program during the first quarter of 2023.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as well as for repayment or repurchase of indebtedness (including amounts outstanding from time to time under the credit facilities, senior notes, or other indebtedness), and to provide for working capital. The Company had approximately $341.8 million available under the program as of March 31, 2023. See </w:t>
      </w:r>
      <w:r>
        <w:rPr>
          <w:rFonts w:ascii="Times New Roman;sans-serif" w:hAnsi="Times New Roman;sans-serif"/>
          <w:b/>
          <w:color w:val="000000"/>
          <w:sz w:val="20"/>
        </w:rPr>
        <w:t>Note 4 – Common Stock</w:t>
      </w:r>
      <w:r>
        <w:rPr>
          <w:color w:val="000000"/>
        </w:rPr>
        <w:t xml:space="preserve"> </w:t>
      </w:r>
      <w:r>
        <w:rPr>
          <w:rFonts w:ascii="Times New Roman;sans-serif" w:hAnsi="Times New Roman;sans-serif"/>
          <w:b w:val="false"/>
          <w:color w:val="000000"/>
          <w:sz w:val="20"/>
        </w:rPr>
        <w:t>for more information.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rates for Centuri’s term loan contain LIBOR-based rates. Certain LIBOR-based rates were discontinued as a benchmark or reference rate after 2021, while other LIBOR-based rates are scheduled to be discontinued after June 2023. As of March 31, 2023, the Company had $1.003 billion in aggregate outstanding borrowings under Centuri’s term loan facility. The conversion to an alternate rate is not expected to have a material impact on its financial condition or results of operations; however, the alternative rate may be less predictable or less attractive than LIBOR.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and similar words and expressions are generally used and intended to identify forward-looking statements. For example, statements regarding plans to refinance near-term maturities, to spin-off Centuri from the Company, those regarding operating margin patterns, customer growth, the composition of our customer base, price volatility, seasonal patterns, the ability to pay debt, the Company’s COLI strategy, the magnitude of future acquisition or divestiture purchase price true-ups or post-closing payments and related impairments or losses related thereto, estimates regarding contractual commitments for the MountainWest Overthrust Pipeline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28650"/>
                <wp:effectExtent l="0" t="0" r="0" b="0"/>
                <wp:wrapNone/>
                <wp:docPr id="41" name="Frame4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rate case settlement, replacement market and new construction market, impacts from pandemics, including on our employees, customers, business, financial position, earnings, bad debt expense, work deployment and related uncertainties, expected impacts of valuation adjustments associated with any redeemable noncontrolling interests, the profitability of storm work, mix of work, or absorption of fixed costs by larger infrastructure services customers including Southwest, the impacts of U.S. tax reform including disposition in any regulatory proceeding and bonus depreciation tax deductions, the impact of recent Pipeline and Hazardous Materials Safety Administration rulemaking, the amounts and timing for completion of estimated future construction expenditures, plans to pursue infrastructure programs or programs under SB 151 legislation, forecasted operating cash flows and results of operations, net earnings impacts or recovery of costs from gas infrastructure replacement and VSP programs and surcharges, funding sources of cash requirements, amounts generally expected to be reflected in future period revenues from regulatory rate proceedings including amounts requested or settled from recent and ongoing general rate cases or other regulatory proceedings, rates and surcharges, PGA administration, recovery and timing, and other rate adjustments, sufficiency of working capital and current credit facilities or the ability to cure negative working capital balances, bank lending practices, the Company’s views regarding its liquidity position, ability to raise funds and receive external financing capacity and the intent and ability to issue various financing instruments and stock under the existing at-the-market equity program or otherwise, future dividends or increases and the Board’s current payout strategy, pension and postretirement benefits, certain impacts of tax acts, the effect of any other rate changes or regulatory proceedings, contract or construction change order negotiations, impacts of accounting standard updates, statements regarding future gas prices, gas purchase contracts and pipeline imbalance charges or claims related thereto, recoverability of regulatory assets, the impact of certain legal proceedings or claims, and the timing and results of future rate hearings, including any ongoing or future general rate cases and other proceedings, and statements regarding pending approvals are forward-looking statements. All forward-looking statements are intended to be subject to the safe harbor protection provided by the Reform Act.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inflation, interest rates and related government actions, sufficiency of labor markets and ability to timely hire qualified employees or similar resources, acquisition and divestiture decisions including prices paid or received, adjustments related thereto, and their impacts to impairments, write-downs, or losses generally, the impacts of pandemics including that which may result from a restriction by government officials or otherwise, including impacts on employment in our territories, the health impacts to our customers and employees, the ability to collect on customer accounts due to the suspension or lifted moratorium on late fees or service disconnection or otherwise in any or all jurisdictions, the ability to obtain regulatory recovery of related costs, the ability of the infrastructure services business to conduct work and the impact of a delay or termination of work, and decisions of Centuri customers (including Southwest) as to whether to pursue capital projects due to economic impacts resulting from a pandemic or otherwise, the ability to recover and timing thereof related to costs associated with the PGA mechanisms or other regulatory assets or programs, the effects of regulation/deregulation, governmental or regulatory policy regarding pipeline safety, greenhouse gas emissions, natural gas, including potential prohibitions on the use of natural gas by customers or potential customers, including related to electric generation or natural gas appliances, or regarding alternative energy, the regulatory support for ongoing infrastructure programs or expansions, the timing and amount of rate relief, the impact of other regulatory proceedings, including with regard to the MountainWest Overthrust Section 5 rate case before the FERC, the timing and methods determined by regulators to refund amounts to customers resulting from U.S. tax reform, changes in rate design, variability in volume of gas or transportation service sold to customers, changes in gas procurement practices, changes in capital requirements and funding, the impact of credit rating actions and conditions in the capital markets on financing costs, the impact of variable rate indebtedness with a discontinuance of LIBOR including in relation to amounts of indebtedness then outstanding, changes in construction expenditures and financing, levels of or changes in operations and maintenance expenses, or other costs, including fuel costs and other costs impacted by inflation or otherwise, geopolitical influences on the business or its costs, effects of pension or other postretirement benefit expense forecasts or plan modifications, accounting changes and regulatory treatment related thereto, currently unresolved and future liability claims and disputes, changes in pipeline capacity for the transportation of gas and related costs, results of Centuri bid work, the impact of weather on Centuri’s operations, projections about acquired business’ earnings, or those that may be planned, future acquisition-related costs, differences between the actual experience and projections in costs to integrate or stand-up portions of newly acquired business operations, impacts of changes in the value of any redeemable noncontrolling interests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or related to significant projects, the mix of work awarded, the amount of work awarded to Centuri following the lifting of work stoppages or reduction, the result of productivity inefficiencies from regulatory requirements, customer supply chain challenges, or otherwise, delays or challenges in commissioning individual projects, acquisitions and management’s plans related thereto, the ability of management to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28650"/>
                <wp:effectExtent l="0" t="0" r="0" b="0"/>
                <wp:wrapNone/>
                <wp:docPr id="42" name="Frame4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120" w:after="283"/>
        <w:jc w:val="both"/>
        <w:rPr/>
      </w:pPr>
      <w:r>
        <w:rPr>
          <w:rFonts w:ascii="Times New Roman;sans-serif" w:hAnsi="Times New Roman;sans-serif"/>
          <w:b w:val="false"/>
          <w:color w:val="000000"/>
          <w:sz w:val="20"/>
        </w:rPr>
        <w:t xml:space="preserve">successfully finance, close, and assimilate any acquired businesses, the timing and ability of management to successfully consummate the Centuri spin-off, the impact on our stock price or our credit ratings due to undertaking or failing to undertake acquisition or divestiture activities or other strategic endeavors, the impact on our stock price, costs, actions or disruptions or continuation thereof related to significant stockholders and their activism,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or plans relating to its financing and operating expenses will continue, proceed as planned, or cease to continue, or fail to be alleviated, in future periods. For additional information on the risks associated with the Company’s business, see </w:t>
      </w:r>
      <w:r>
        <w:rPr>
          <w:rFonts w:ascii="Times New Roman;sans-serif" w:hAnsi="Times New Roman;sans-serif"/>
          <w:b/>
          <w:color w:val="000000"/>
          <w:sz w:val="20"/>
        </w:rPr>
        <w:t xml:space="preserve">Item 1A. Risk Factors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color w:val="000000"/>
          <w:sz w:val="20"/>
        </w:rPr>
        <w:t>Item 7A. Quantitative and Qualitative Disclosures About Market Risk</w:t>
      </w:r>
      <w:r>
        <w:rPr>
          <w:color w:val="000000"/>
        </w:rPr>
        <w:t xml:space="preserve"> </w:t>
      </w:r>
      <w:r>
        <w:rPr>
          <w:rFonts w:ascii="Times New Roman;sans-serif" w:hAnsi="Times New Roman;sans-serif"/>
          <w:b w:val="false"/>
          <w:color w:val="000000"/>
          <w:sz w:val="20"/>
        </w:rPr>
        <w:t>in the Annual Report on Form 10-K for the year ended December 31, 2022.</w:t>
      </w:r>
    </w:p>
    <w:p>
      <w:pPr>
        <w:pStyle w:val="TextBody"/>
        <w:spacing w:lineRule="auto" w:line="288" w:before="120" w:after="283"/>
        <w:jc w:val="both"/>
        <w:rPr/>
      </w:pPr>
      <w:r>
        <w:rPr>
          <w:rFonts w:ascii="Times New Roman;sans-serif" w:hAnsi="Times New Roman;sans-serif"/>
          <w:b w:val="false"/>
          <w:color w:val="000000"/>
          <w:sz w:val="20"/>
        </w:rPr>
        <w:t xml:space="preserve">All forward-looking statements in this quarterly report are made as of the date hereof, based on information available to the Company and Southwest as of the date hereof, and the Company and Southwest assume no obligation to update or revise any of its forward-looking statements, even if experience or future changes show that the indicated results or events will not be realized. </w:t>
      </w:r>
      <w:r>
        <w:rPr>
          <w:rFonts w:ascii="Times New Roman;sans-serif" w:hAnsi="Times New Roman;sans-serif"/>
          <w:b/>
          <w:color w:val="000000"/>
          <w:sz w:val="20"/>
        </w:rPr>
        <w:t>We caution you not to unduly rely on any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20" w:after="283"/>
        <w:jc w:val="both"/>
        <w:rPr/>
      </w:pPr>
      <w:r>
        <w:rPr>
          <w:rFonts w:ascii="Times New Roman;sans-serif" w:hAnsi="Times New Roman;sans-serif"/>
          <w:b w:val="false"/>
          <w:color w:val="000000"/>
          <w:sz w:val="20"/>
        </w:rPr>
        <w:t xml:space="preserve">See </w:t>
      </w:r>
      <w:r>
        <w:rPr>
          <w:rFonts w:ascii="Times New Roman;sans-serif" w:hAnsi="Times New Roman;sans-serif"/>
          <w:b/>
          <w:color w:val="000000"/>
          <w:sz w:val="20"/>
        </w:rPr>
        <w:t>Item 7A. Quantitative and Qualitative Disclosures about Market Risk</w:t>
      </w:r>
      <w:r>
        <w:rPr>
          <w:color w:val="000000"/>
        </w:rPr>
        <w:t xml:space="preserve"> </w:t>
      </w:r>
      <w:r>
        <w:rPr>
          <w:rFonts w:ascii="Times New Roman;sans-serif" w:hAnsi="Times New Roman;sans-serif"/>
          <w:b w:val="false"/>
          <w:color w:val="000000"/>
          <w:sz w:val="20"/>
        </w:rPr>
        <w:t>in the 2022 Annual Report on Form 10-K filed with the SEC. No material changes have occurred related to the disclosures about market risk.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most recent evaluation, as of March 31, 2023, management of Southwest Gas Holdings, Inc. and Southwest Gas Corporation, including the Chief Executive Officer and Chief Financial Officer, believes the Company’s and Southwest’s disclosure controls and procedures are effective at attaining the level of reasonable assurance noted above.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the Company’s or Southwest’s internal control over financial reporting (as defined in Rules 13a-15(f) and 15d-15(f) of the Exchange Act) during the first quarter of 2023 that have materially affected, or are likely to materially affect the Company’s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Southwest are named as defendants in various legal proceedings. The ultimate dispositions of these proceedings are not presently determinable; however, it is the opinion of management that none of these legal proceedings individually or in the aggregate will have a material adverse impact on the Company’s or Southwest’s financial position or results of operations.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color w:val="000000"/>
          <w:sz w:val="20"/>
        </w:rPr>
        <w:t xml:space="preserve">through 3. </w:t>
      </w: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4. MINE SAFETY DISCLOSURES</w:t>
      </w:r>
      <w:r>
        <w:rPr>
          <w:color w:val="000000"/>
        </w:rPr>
        <w:t xml:space="preserve"> </w:t>
      </w: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5. OTHER INFORMATION</w:t>
      </w:r>
      <w:r>
        <w:rPr>
          <w:color w:val="000000"/>
        </w:rPr>
        <w:t xml:space="preserve"> </w:t>
      </w:r>
      <w:r>
        <w:rPr>
          <w:rFonts w:ascii="Times New Roman;sans-serif" w:hAnsi="Times New Roman;sans-serif"/>
          <w:b w:val="false"/>
          <w:color w:val="00000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28650"/>
                <wp:effectExtent l="0" t="0" r="0" b="0"/>
                <wp:wrapNone/>
                <wp:docPr id="43" name="Frame4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or furnished, as applicable, as part of this report on Form 10-Q:</w:t>
      </w:r>
    </w:p>
    <w:tbl>
      <w:tblPr>
        <w:tblW w:w="10205" w:type="dxa"/>
        <w:jc w:val="left"/>
        <w:tblInd w:w="0" w:type="dxa"/>
        <w:tblCellMar>
          <w:top w:w="28" w:type="dxa"/>
          <w:left w:w="28" w:type="dxa"/>
          <w:bottom w:w="28" w:type="dxa"/>
          <w:right w:w="28" w:type="dxa"/>
        </w:tblCellMar>
      </w:tblPr>
      <w:tblGrid>
        <w:gridCol w:w="279"/>
        <w:gridCol w:w="245"/>
        <w:gridCol w:w="247"/>
        <w:gridCol w:w="109"/>
        <w:gridCol w:w="109"/>
        <w:gridCol w:w="109"/>
        <w:gridCol w:w="3072"/>
        <w:gridCol w:w="2663"/>
        <w:gridCol w:w="2669"/>
        <w:gridCol w:w="109"/>
        <w:gridCol w:w="109"/>
        <w:gridCol w:w="109"/>
        <w:gridCol w:w="109"/>
        <w:gridCol w:w="109"/>
        <w:gridCol w:w="158"/>
      </w:tblGrid>
      <w:tr>
        <w:trPr/>
        <w:tc>
          <w:tcPr>
            <w:tcW w:w="27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2" w:type="dxa"/>
            <w:tcBorders/>
            <w:shd w:fill="auto" w:val="clear"/>
            <w:vAlign w:val="center"/>
          </w:tcPr>
          <w:p>
            <w:pPr>
              <w:pStyle w:val="TableContents"/>
              <w:spacing w:before="0" w:after="283"/>
              <w:rPr>
                <w:sz w:val="4"/>
                <w:szCs w:val="4"/>
              </w:rPr>
            </w:pPr>
            <w:r>
              <w:rPr>
                <w:sz w:val="4"/>
                <w:szCs w:val="4"/>
              </w:rPr>
            </w:r>
          </w:p>
        </w:tc>
        <w:tc>
          <w:tcPr>
            <w:tcW w:w="2663" w:type="dxa"/>
            <w:tcBorders/>
            <w:shd w:fill="auto" w:val="clear"/>
            <w:vAlign w:val="center"/>
          </w:tcPr>
          <w:p>
            <w:pPr>
              <w:pStyle w:val="TableContents"/>
              <w:spacing w:before="0" w:after="283"/>
              <w:rPr>
                <w:sz w:val="4"/>
                <w:szCs w:val="4"/>
              </w:rPr>
            </w:pPr>
            <w:r>
              <w:rPr>
                <w:sz w:val="4"/>
                <w:szCs w:val="4"/>
              </w:rPr>
            </w:r>
          </w:p>
        </w:tc>
        <w:tc>
          <w:tcPr>
            <w:tcW w:w="26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4.01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
              <w:r>
                <w:rPr>
                  <w:rStyle w:val="InternetLink"/>
                  <w:rFonts w:ascii="Times New Roman;sans-serif" w:hAnsi="Times New Roman;sans-serif"/>
                  <w:b w:val="false"/>
                  <w:color w:val="0000FF"/>
                  <w:sz w:val="20"/>
                  <w:u w:val="single"/>
                </w:rPr>
                <w:t>Fifth Supplemental Indenture, dated March 23, 2023, by and between Southwest Gas Corporation and The Bank of New York Mellon Trust Company, N.A., as Trustee. Incorporated herein by reference to Exhibit 4.1 to Form 8-K dated March 21, 2023. File Nos. 001-37976 and 001-07850.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4.02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
              <w:r>
                <w:rPr>
                  <w:rStyle w:val="InternetLink"/>
                </w:rPr>
                <w:t>Form of 5.450% Senior Note due 2028</w:t>
              </w:r>
            </w:hyperlink>
            <w:hyperlink r:id="rId4">
              <w:r>
                <w:rPr>
                  <w:rStyle w:val="InternetLink"/>
                </w:rPr>
                <w:t>. Incorporated herein by reference to Exhibit 4.2 to Form 8-K dated March 21, 2023. File Nos. 001-37976 and 001-07850.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
              <w:r>
                <w:rPr>
                  <w:rStyle w:val="InternetLink"/>
                  <w:rFonts w:ascii="Times New Roman;sans-serif" w:hAnsi="Times New Roman;sans-serif"/>
                  <w:b w:val="false"/>
                  <w:color w:val="0000FF"/>
                  <w:sz w:val="20"/>
                  <w:u w:val="single"/>
                </w:rPr>
                <w:t>Term Loan Credit Agreement, dated as of April 17, 2023, by and among Southwest Gas Holdings, Inc., the lenders from time to time party thereto, JPMorgan Chase Bank, N.A., as Administrative Agent, Bank of America, N.A. as Syndication Agent, JPMorgan Chase Bank, N.A., BofA Securities, Inc., Wells Fargo Bank, N.A. and U.S. Bank, National Association as Joint Lead Arrangers and Joint Bookrunners, and Wells Fargo Bank, N.A. and U.S. Bank, National Association as Co-Documentation Agents. Incorporated herein by reference to Exhibit 10.1 to Form 8-K dated April 17, 2023. File Nos. 001-37976 and 001-07850.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6">
              <w:r>
                <w:rPr>
                  <w:rStyle w:val="InternetLink"/>
                  <w:rFonts w:ascii="Times New Roman;sans-serif" w:hAnsi="Times New Roman;sans-serif"/>
                  <w:b w:val="false"/>
                  <w:color w:val="0000FF"/>
                  <w:sz w:val="20"/>
                  <w:u w:val="single"/>
                </w:rPr>
                <w:t>Grant Agreement for Time-Lapse Restricted Stock Units Under the Southwest Gas Holdings, Inc. Omnibus Incentive Plan. Incorporated herein by reference to Exhibit 10.1 to Form 8-K dated March 29, 2023. File Nos. 001-37976 and 001-07850.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
              <w:r>
                <w:rPr>
                  <w:rStyle w:val="InternetLink"/>
                  <w:rFonts w:ascii="Times New Roman;sans-serif" w:hAnsi="Times New Roman;sans-serif"/>
                  <w:b w:val="false"/>
                  <w:color w:val="0000FF"/>
                  <w:sz w:val="20"/>
                  <w:u w:val="single"/>
                </w:rPr>
                <w:t>Performance Share Unit Grant Agreement Under the Southwest Gas Holdings, Inc. Omnibus Incentive Plan (UNI/ROE Shares). Incorporated herein by reference to Exhibit 10.2 to Form 8-K dated March 29, 2023. File Nos. 001-37976 and 001-07850.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
              <w:r>
                <w:rPr>
                  <w:rStyle w:val="InternetLink"/>
                  <w:rFonts w:ascii="Times New Roman;sans-serif" w:hAnsi="Times New Roman;sans-serif"/>
                  <w:b w:val="false"/>
                  <w:color w:val="0000FF"/>
                  <w:sz w:val="20"/>
                  <w:u w:val="single"/>
                </w:rPr>
                <w:t>Performance Share Unit Grant Agreement Under the Southwest Gas Holdings, Inc. Omnibus Incentive Plan (EPS/ROE Shares). Incorporated herein by reference to Exhibit 10.3 to Form 8-K dated March 29, 2023. File Nos. 001-37976 and 001-07850.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10.5</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9">
              <w:r>
                <w:rPr>
                  <w:rStyle w:val="InternetLink"/>
                </w:rPr>
                <w:t>Centuri Grant Agreement for Time-Lapse Restricted Stock Units Under the Southwest Gas Holdings, Inc. Omnibus Incentive Plan. Incorporated herein by reference to Exhibit 10.4 to Form 8-K dated March</w:t>
              </w:r>
            </w:hyperlink>
            <w:hyperlink r:id="rId10">
              <w:r>
                <w:rPr>
                  <w:rStyle w:val="InternetLink"/>
                </w:rPr>
                <w:t> </w:t>
              </w:r>
            </w:hyperlink>
            <w:hyperlink r:id="rId11">
              <w:r>
                <w:rPr>
                  <w:rStyle w:val="InternetLink"/>
                </w:rPr>
                <w:t>29, 2023. File Nos. 001-37976 and 001-07850.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10.6</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2">
              <w:r>
                <w:rPr>
                  <w:rStyle w:val="InternetLink"/>
                  <w:rFonts w:ascii="Times New Roman;sans-serif" w:hAnsi="Times New Roman;sans-serif"/>
                  <w:b w:val="false"/>
                  <w:color w:val="0000FF"/>
                  <w:sz w:val="20"/>
                  <w:u w:val="single"/>
                </w:rPr>
                <w:t>Centuri Performance Share Unit Grant Agreement Under the Southwest Gas Holdings, Inc. Omnibus Incentive Plan. Incorporated herein by reference to Exhibit 10.5 to Form 8-K dated March 29, 2023. File Nos. 001-37976 and 001-07850.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10.7</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3">
              <w:r>
                <w:rPr>
                  <w:rStyle w:val="InternetLink"/>
                  <w:rFonts w:ascii="Times New Roman;sans-serif" w:hAnsi="Times New Roman;sans-serif"/>
                  <w:b w:val="false"/>
                  <w:color w:val="0000FF"/>
                  <w:sz w:val="20"/>
                  <w:u w:val="single"/>
                </w:rPr>
                <w:t>Amendment No. 2 to the Southwest Gas Holdings, Inc. Credit Facility. Incorporated herein by reference to Exhibit 10.1 to Form 8-K dated April 25, 2023. File Nos. 001-37976 and 001-07850.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31.01#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swxexhibit310133123.htm">
              <w:r>
                <w:rPr>
                  <w:rStyle w:val="InternetLink"/>
                  <w:rFonts w:ascii="Times New Roman;sans-serif" w:hAnsi="Times New Roman;sans-serif"/>
                  <w:b w:val="false"/>
                  <w:color w:val="0000FF"/>
                  <w:sz w:val="20"/>
                  <w:u w:val="single"/>
                </w:rPr>
                <w:t>Section 302 Certifications–Southwest Gas Holdings,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31.02#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swxexhibit310233123.htm">
              <w:r>
                <w:rPr>
                  <w:rStyle w:val="InternetLink"/>
                  <w:rFonts w:ascii="Times New Roman;sans-serif" w:hAnsi="Times New Roman;sans-serif"/>
                  <w:b w:val="false"/>
                  <w:color w:val="0000FF"/>
                  <w:sz w:val="20"/>
                  <w:u w:val="single"/>
                </w:rPr>
                <w:t>Section 302 Certifications–Southwest Gas Corporation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32.01#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swxexhibit320133123.htm">
              <w:r>
                <w:rPr>
                  <w:rStyle w:val="InternetLink"/>
                  <w:rFonts w:ascii="Times New Roman;sans-serif" w:hAnsi="Times New Roman;sans-serif"/>
                  <w:b w:val="false"/>
                  <w:color w:val="0000FF"/>
                  <w:sz w:val="20"/>
                  <w:u w:val="single"/>
                </w:rPr>
                <w:t>Section 906 Certifications–Southwest Gas Holdings,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32.02#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swxexhibit320233123.htm">
              <w:r>
                <w:rPr>
                  <w:rStyle w:val="InternetLink"/>
                  <w:rFonts w:ascii="Times New Roman;sans-serif" w:hAnsi="Times New Roman;sans-serif"/>
                  <w:b w:val="false"/>
                  <w:color w:val="0000FF"/>
                  <w:sz w:val="20"/>
                  <w:u w:val="single"/>
                </w:rPr>
                <w:t>Section 906 Certifications–Southwest Gas Corporation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the Quarterly Report on Form 10-Q of Southwest Gas Holdings, Inc. and Southwest Gas Corporation for the quarter ended March 31, 2023, were formatted in Inline XBRL (Extensible Business Reporting Language): (1) Southwest Gas Holdings, Inc. and Subsidiaries Condensed Consolidated Balance Sheets, (ii) Southwest Gas Holdings, Inc. and Subsidiaries Condensed Consolidated Statements of Income, (iii) Southwest Gas Holdings, Inc. and Subsidiaries Condensed Consolidated Statements of Comprehensive Income, (iv) Southwest Gas Holdings, Inc. and Subsidiaries Condensed Consolidated Statements of Cash Flows, (v) Southwest Gas Holdings, Inc. and Subsidiaries Condensed Consolidated Statements of Equity, (vi) Southwest Gas Corporation and Subsidiaries Condensed Consolidated Balance Sheets, (vii) Southwest Gas Corporation and Subsidiaries Condensed Consolidated Statements of Income, (viii) Southwest Gas Corporation and Subsidiaries Condensed Consolidated Statements of Comprehensive Income, (ix) Southwest Gas Corporation and Subsidiaries Condensed Consolidated Statements of Cash Flows, (x) Southwest Gas Corporation and Subsidiaries Condensed Consolidated Statements of Equity. 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02"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28650"/>
                <wp:effectExtent l="0" t="0" r="0" b="0"/>
                <wp:wrapNone/>
                <wp:docPr id="44" name="Frame4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2534" w:type="dxa"/>
        <w:jc w:val="left"/>
        <w:tblInd w:w="0" w:type="dxa"/>
        <w:tblCellMar>
          <w:top w:w="28" w:type="dxa"/>
          <w:left w:w="28" w:type="dxa"/>
          <w:bottom w:w="28" w:type="dxa"/>
          <w:right w:w="28" w:type="dxa"/>
        </w:tblCellMar>
      </w:tblPr>
      <w:tblGrid>
        <w:gridCol w:w="811"/>
        <w:gridCol w:w="713"/>
        <w:gridCol w:w="1010"/>
      </w:tblGrid>
      <w:tr>
        <w:trPr/>
        <w:tc>
          <w:tcPr>
            <w:tcW w:w="811"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Southwest Gas Holdings, Inc.</w:t>
            </w:r>
          </w:p>
        </w:tc>
      </w:tr>
      <w:tr>
        <w:trPr/>
        <w:tc>
          <w:tcPr>
            <w:tcW w:w="25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bl>
    <w:p>
      <w:pPr>
        <w:pStyle w:val="TextBody"/>
        <w:spacing w:lineRule="auto" w:line="288" w:before="1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9, 2023 </w:t>
      </w:r>
    </w:p>
    <w:tbl>
      <w:tblPr>
        <w:tblW w:w="4679" w:type="dxa"/>
        <w:jc w:val="left"/>
        <w:tblInd w:w="0" w:type="dxa"/>
        <w:tblCellMar>
          <w:top w:w="28" w:type="dxa"/>
          <w:left w:w="28" w:type="dxa"/>
          <w:bottom w:w="28" w:type="dxa"/>
          <w:right w:w="28" w:type="dxa"/>
        </w:tblCellMar>
      </w:tblPr>
      <w:tblGrid>
        <w:gridCol w:w="1494"/>
        <w:gridCol w:w="1314"/>
        <w:gridCol w:w="1871"/>
      </w:tblGrid>
      <w:tr>
        <w:trPr/>
        <w:tc>
          <w:tcPr>
            <w:tcW w:w="1494"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871" w:type="dxa"/>
            <w:tcBorders/>
            <w:shd w:fill="auto" w:val="cle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LORI L. COLVIN</w:t>
            </w:r>
          </w:p>
        </w:tc>
      </w:tr>
      <w:tr>
        <w:trPr/>
        <w:tc>
          <w:tcPr>
            <w:tcW w:w="46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Lori L. Colvin</w:t>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President/Controller and Chief Accounting Officer</w:t>
            </w:r>
          </w:p>
        </w:tc>
      </w:tr>
    </w:tbl>
    <w:p>
      <w:pPr>
        <w:pStyle w:val="TextBody"/>
        <w:spacing w:lineRule="auto" w:line="288" w:before="14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2384" w:type="dxa"/>
        <w:jc w:val="left"/>
        <w:tblInd w:w="0" w:type="dxa"/>
        <w:tblCellMar>
          <w:top w:w="28" w:type="dxa"/>
          <w:left w:w="28" w:type="dxa"/>
          <w:bottom w:w="28" w:type="dxa"/>
          <w:right w:w="28" w:type="dxa"/>
        </w:tblCellMar>
      </w:tblPr>
      <w:tblGrid>
        <w:gridCol w:w="763"/>
        <w:gridCol w:w="670"/>
        <w:gridCol w:w="951"/>
      </w:tblGrid>
      <w:tr>
        <w:trPr/>
        <w:tc>
          <w:tcPr>
            <w:tcW w:w="763"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Southwest Gas Corporation</w:t>
            </w:r>
          </w:p>
        </w:tc>
      </w:tr>
      <w:tr>
        <w:trPr/>
        <w:tc>
          <w:tcPr>
            <w:tcW w:w="2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bl>
    <w:p>
      <w:pPr>
        <w:pStyle w:val="TextBody"/>
        <w:spacing w:lineRule="auto" w:line="288" w:before="1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9, 2023 </w:t>
      </w:r>
    </w:p>
    <w:tbl>
      <w:tblPr>
        <w:tblW w:w="4679" w:type="dxa"/>
        <w:jc w:val="left"/>
        <w:tblInd w:w="0" w:type="dxa"/>
        <w:tblCellMar>
          <w:top w:w="28" w:type="dxa"/>
          <w:left w:w="28" w:type="dxa"/>
          <w:bottom w:w="28" w:type="dxa"/>
          <w:right w:w="28" w:type="dxa"/>
        </w:tblCellMar>
      </w:tblPr>
      <w:tblGrid>
        <w:gridCol w:w="1494"/>
        <w:gridCol w:w="1314"/>
        <w:gridCol w:w="1871"/>
      </w:tblGrid>
      <w:tr>
        <w:trPr/>
        <w:tc>
          <w:tcPr>
            <w:tcW w:w="1494"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871" w:type="dxa"/>
            <w:tcBorders/>
            <w:shd w:fill="auto" w:val="cle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LORI L. COLVIN</w:t>
            </w:r>
          </w:p>
        </w:tc>
      </w:tr>
      <w:tr>
        <w:trPr/>
        <w:tc>
          <w:tcPr>
            <w:tcW w:w="46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Lori L. Colvin</w:t>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President/Controller and Chief Accounting Officer</w:t>
            </w:r>
          </w:p>
        </w:tc>
      </w:tr>
    </w:tbl>
    <w:p>
      <w:pPr>
        <w:pStyle w:val="TextBody"/>
        <w:spacing w:before="0" w:after="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28650"/>
                <wp:effectExtent l="0" t="0" r="0" b="0"/>
                <wp:wrapNone/>
                <wp:docPr id="45" name="Frame4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31.01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Southwest Gas Holdings, Inc.</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Karen S. Haller, certify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Southwest Gas Holdings, Inc.;</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 xml:space="preserve">Dated: May 9, 2023 </w:t>
      </w:r>
    </w:p>
    <w:tbl>
      <w:tblPr>
        <w:tblW w:w="3551" w:type="dxa"/>
        <w:jc w:val="left"/>
        <w:tblInd w:w="0" w:type="dxa"/>
        <w:tblCellMar>
          <w:top w:w="28" w:type="dxa"/>
          <w:left w:w="28" w:type="dxa"/>
          <w:bottom w:w="28" w:type="dxa"/>
          <w:right w:w="28" w:type="dxa"/>
        </w:tblCellMar>
      </w:tblPr>
      <w:tblGrid>
        <w:gridCol w:w="124"/>
        <w:gridCol w:w="109"/>
        <w:gridCol w:w="109"/>
        <w:gridCol w:w="939"/>
        <w:gridCol w:w="939"/>
        <w:gridCol w:w="133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KAREN S. HALLER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S. Haller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Southwest Gas Holdings, Inc.</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Southwest Gas Holdings, Inc.</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Robert J. Stefani, certify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Southwest Gas Holdings, Inc.;</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 xml:space="preserve">Dated: May 9, 2023 </w:t>
      </w:r>
    </w:p>
    <w:tbl>
      <w:tblPr>
        <w:tblW w:w="4152" w:type="dxa"/>
        <w:jc w:val="left"/>
        <w:tblInd w:w="0" w:type="dxa"/>
        <w:tblCellMar>
          <w:top w:w="28" w:type="dxa"/>
          <w:left w:w="28" w:type="dxa"/>
          <w:bottom w:w="28" w:type="dxa"/>
          <w:right w:w="28" w:type="dxa"/>
        </w:tblCellMar>
      </w:tblPr>
      <w:tblGrid>
        <w:gridCol w:w="124"/>
        <w:gridCol w:w="109"/>
        <w:gridCol w:w="109"/>
        <w:gridCol w:w="1113"/>
        <w:gridCol w:w="1113"/>
        <w:gridCol w:w="158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58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J. STEFANI</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J. Stefani</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Southwest Gas Holdings, Inc.</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31.02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Southwest Gas Corporation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Karen S. Haller, certify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Southwest Gas Corporation;</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9, 2023 </w:t>
      </w:r>
    </w:p>
    <w:p>
      <w:pPr>
        <w:pStyle w:val="TextBody"/>
        <w:spacing w:lineRule="auto" w:line="288" w:before="0" w:after="0"/>
        <w:rPr>
          <w:color w:val="000000"/>
        </w:rPr>
      </w:pPr>
      <w:r>
        <w:rPr>
          <w:color w:val="000000"/>
        </w:rPr>
        <w:t> </w:t>
      </w:r>
    </w:p>
    <w:tbl>
      <w:tblPr>
        <w:tblW w:w="2712" w:type="dxa"/>
        <w:jc w:val="left"/>
        <w:tblInd w:w="0" w:type="dxa"/>
        <w:tblCellMar>
          <w:top w:w="28" w:type="dxa"/>
          <w:left w:w="28" w:type="dxa"/>
          <w:bottom w:w="28" w:type="dxa"/>
          <w:right w:w="28" w:type="dxa"/>
        </w:tblCellMar>
      </w:tblPr>
      <w:tblGrid>
        <w:gridCol w:w="124"/>
        <w:gridCol w:w="109"/>
        <w:gridCol w:w="109"/>
        <w:gridCol w:w="693"/>
        <w:gridCol w:w="693"/>
        <w:gridCol w:w="98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KAREN S. HALLER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S. Haller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Southwest Gas Corporation</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Southwest Gas Corporation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Robert J. Stefani, certify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Southwest Gas Corporation;</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9, 2023 </w:t>
      </w:r>
    </w:p>
    <w:tbl>
      <w:tblPr>
        <w:tblW w:w="4152" w:type="dxa"/>
        <w:jc w:val="left"/>
        <w:tblInd w:w="0" w:type="dxa"/>
        <w:tblCellMar>
          <w:top w:w="28" w:type="dxa"/>
          <w:left w:w="28" w:type="dxa"/>
          <w:bottom w:w="28" w:type="dxa"/>
          <w:right w:w="28" w:type="dxa"/>
        </w:tblCellMar>
      </w:tblPr>
      <w:tblGrid>
        <w:gridCol w:w="124"/>
        <w:gridCol w:w="109"/>
        <w:gridCol w:w="109"/>
        <w:gridCol w:w="1113"/>
        <w:gridCol w:w="1113"/>
        <w:gridCol w:w="158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58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J. STEFANI</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J. Stefani</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Southwest Gas Corporation</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32.01</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SOUTHWEST GAS HOLDINGS, INC.</w:t>
      </w:r>
    </w:p>
    <w:p>
      <w:pPr>
        <w:pStyle w:val="TextBody"/>
        <w:spacing w:lineRule="auto" w:line="288"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periodic report of Southwest Gas Holdings, Inc. (the “Company”) on Form 10-Q for the period ended March 31, 2023 as filed with the Securities and Exchange Commission (the “Report”), I, Karen S. Haller, the President and Chief Executive Officer of the Company, hereby certify as of the date hereof, solely for purposes of Title 18, Chapter 63, Section 1350 of the United States Code, that to the best of my knowledge:</w:t>
      </w:r>
    </w:p>
    <w:p>
      <w:pPr>
        <w:pStyle w:val="TextBody"/>
        <w:spacing w:lineRule="auto" w:line="288" w:before="0" w:after="0"/>
        <w:rPr>
          <w:color w:val="000000"/>
        </w:rPr>
      </w:pPr>
      <w:r>
        <w:rPr>
          <w:color w:val="000000"/>
        </w:rPr>
        <w:t>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at the dates and for the periods indicated.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has not been, and shall not be deemed, “filed” with the Securities and Exchange Commission.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9, 2023 </w:t>
      </w:r>
    </w:p>
    <w:p>
      <w:pPr>
        <w:pStyle w:val="TextBody"/>
        <w:spacing w:lineRule="auto" w:line="288" w:before="0" w:after="0"/>
        <w:rPr>
          <w:color w:val="000000"/>
        </w:rPr>
      </w:pPr>
      <w:r>
        <w:rPr>
          <w:color w:val="000000"/>
        </w:rPr>
        <w:t> </w:t>
      </w:r>
    </w:p>
    <w:tbl>
      <w:tblPr>
        <w:tblW w:w="3551" w:type="dxa"/>
        <w:jc w:val="left"/>
        <w:tblInd w:w="0" w:type="dxa"/>
        <w:tblCellMar>
          <w:top w:w="28" w:type="dxa"/>
          <w:left w:w="28" w:type="dxa"/>
          <w:bottom w:w="28" w:type="dxa"/>
          <w:right w:w="28" w:type="dxa"/>
        </w:tblCellMar>
      </w:tblPr>
      <w:tblGrid>
        <w:gridCol w:w="124"/>
        <w:gridCol w:w="109"/>
        <w:gridCol w:w="109"/>
        <w:gridCol w:w="938"/>
        <w:gridCol w:w="938"/>
        <w:gridCol w:w="13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Karen S. Haller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S. Haller</w:t>
              <w:br/>
              <w:t>President and Chief Executive Officer</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SOUTHWEST GAS HOLDINGS, INC.</w:t>
      </w:r>
    </w:p>
    <w:p>
      <w:pPr>
        <w:pStyle w:val="TextBody"/>
        <w:spacing w:lineRule="auto" w:line="288"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periodic report of Southwest Gas Holdings, Inc. (the “Company”) on Form 10-Q for the period ended March 31, 2023 as filed with the Securities and Exchange Commission (the “Report”), I, Robert J. Stefani, Senior Vice President/Chief Financial Officer of the Company, hereby certify as of the date hereof, solely for purposes of Title 18, Chapter 63, Section 1350 of the United States Code, that to the best of my knowledge:</w:t>
      </w:r>
    </w:p>
    <w:p>
      <w:pPr>
        <w:pStyle w:val="TextBody"/>
        <w:spacing w:lineRule="auto" w:line="288" w:before="0" w:after="0"/>
        <w:rPr>
          <w:color w:val="000000"/>
        </w:rPr>
      </w:pPr>
      <w:r>
        <w:rPr>
          <w:color w:val="000000"/>
        </w:rPr>
        <w:t>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at the dates and for the periods indicated.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has not been, and shall not be deemed, “filed” with the Securities and Exchange Commission.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9, 2023 </w:t>
      </w:r>
    </w:p>
    <w:p>
      <w:pPr>
        <w:pStyle w:val="TextBody"/>
        <w:spacing w:lineRule="auto" w:line="288" w:before="0" w:after="0"/>
        <w:rPr>
          <w:color w:val="000000"/>
        </w:rPr>
      </w:pPr>
      <w:r>
        <w:rPr>
          <w:color w:val="000000"/>
        </w:rPr>
        <w:t> </w:t>
      </w:r>
    </w:p>
    <w:tbl>
      <w:tblPr>
        <w:tblW w:w="4151" w:type="dxa"/>
        <w:jc w:val="left"/>
        <w:tblInd w:w="0" w:type="dxa"/>
        <w:tblCellMar>
          <w:top w:w="28" w:type="dxa"/>
          <w:left w:w="28" w:type="dxa"/>
          <w:bottom w:w="28" w:type="dxa"/>
          <w:right w:w="28" w:type="dxa"/>
        </w:tblCellMar>
      </w:tblPr>
      <w:tblGrid>
        <w:gridCol w:w="124"/>
        <w:gridCol w:w="109"/>
        <w:gridCol w:w="109"/>
        <w:gridCol w:w="1115"/>
        <w:gridCol w:w="1115"/>
        <w:gridCol w:w="157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57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J. Stefani</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J. Stefani</w:t>
              <w:br/>
              <w:t>Senior Vice President/Chief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32.02</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SOUTHWEST GAS CORPORATION</w:t>
      </w:r>
    </w:p>
    <w:p>
      <w:pPr>
        <w:pStyle w:val="TextBody"/>
        <w:spacing w:lineRule="auto" w:line="288"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periodic report of Southwest Gas Corporation on Form 10-Q for the period ended March 31, 2023 as filed with the Securities and Exchange Commission (the “Report”), I, Karen S. Haller, the Chief Executive Officer of Southwest Gas Corporation, hereby certify as of the date hereof, solely for purposes of Title 18, Chapter 63, Section 1350 of the United States Code, that to the best of my knowledge:</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Southwest Gas Corporation at the dates and for the periods indicated.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has not been, and shall not be deemed, “filed” with the Securities and Exchange Commission.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9, 2023 </w:t>
      </w:r>
    </w:p>
    <w:p>
      <w:pPr>
        <w:pStyle w:val="TextBody"/>
        <w:spacing w:lineRule="auto" w:line="288" w:before="0" w:after="0"/>
        <w:rPr>
          <w:color w:val="000000"/>
        </w:rPr>
      </w:pPr>
      <w:r>
        <w:rPr>
          <w:color w:val="000000"/>
        </w:rPr>
        <w:t> </w:t>
      </w:r>
    </w:p>
    <w:tbl>
      <w:tblPr>
        <w:tblW w:w="2411" w:type="dxa"/>
        <w:jc w:val="left"/>
        <w:tblInd w:w="0" w:type="dxa"/>
        <w:tblCellMar>
          <w:top w:w="28" w:type="dxa"/>
          <w:left w:w="28" w:type="dxa"/>
          <w:bottom w:w="28" w:type="dxa"/>
          <w:right w:w="28" w:type="dxa"/>
        </w:tblCellMar>
      </w:tblPr>
      <w:tblGrid>
        <w:gridCol w:w="124"/>
        <w:gridCol w:w="109"/>
        <w:gridCol w:w="109"/>
        <w:gridCol w:w="605"/>
        <w:gridCol w:w="605"/>
        <w:gridCol w:w="85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Karen S. Haller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S. Haller</w:t>
              <w:br/>
              <w:t>Chief Executive Officer</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SOUTHWEST GAS CORPORATION</w:t>
      </w:r>
    </w:p>
    <w:p>
      <w:pPr>
        <w:pStyle w:val="TextBody"/>
        <w:spacing w:lineRule="auto" w:line="288"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periodic report of Southwest Gas Corporation on Form 10-Q for the period ended March 31, 2023 as filed with the Securities and Exchange Commission (the “Report”), I, Robert J. Stefani, Senior Vice President/Chief Financial Officer of Southwest Gas Corporation, hereby certify as of the date hereof, solely for purposes of Title 18, Chapter 63, Section 1350 of the United States Code, that to the best of my knowledge:</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Southwest Gas Corporation at the dates and for the periods indicated.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has not been, and shall not be deemed, “filed” with the Securities and Exchange Commission.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9, 2023 </w:t>
      </w:r>
    </w:p>
    <w:p>
      <w:pPr>
        <w:pStyle w:val="TextBody"/>
        <w:spacing w:lineRule="auto" w:line="288" w:before="0" w:after="0"/>
        <w:rPr>
          <w:color w:val="000000"/>
        </w:rPr>
      </w:pPr>
      <w:r>
        <w:rPr>
          <w:color w:val="000000"/>
        </w:rPr>
        <w:t> </w:t>
      </w:r>
    </w:p>
    <w:tbl>
      <w:tblPr>
        <w:tblW w:w="4151" w:type="dxa"/>
        <w:jc w:val="left"/>
        <w:tblInd w:w="0" w:type="dxa"/>
        <w:tblCellMar>
          <w:top w:w="28" w:type="dxa"/>
          <w:left w:w="28" w:type="dxa"/>
          <w:bottom w:w="28" w:type="dxa"/>
          <w:right w:w="28" w:type="dxa"/>
        </w:tblCellMar>
      </w:tblPr>
      <w:tblGrid>
        <w:gridCol w:w="124"/>
        <w:gridCol w:w="109"/>
        <w:gridCol w:w="109"/>
        <w:gridCol w:w="1115"/>
        <w:gridCol w:w="1115"/>
        <w:gridCol w:w="157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57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J. Stefani</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J. Stefani</w:t>
              <w:br/>
              <w:t>Senior Vice President/Chief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416/000119312523078049/d360456dex41.htm" TargetMode="External"/><Relationship Id="rId3" Type="http://schemas.openxmlformats.org/officeDocument/2006/relationships/hyperlink" Target="https://www.sec.gov/Archives/edgar/data/92416/000119312523078049/d360456dex41.htm" TargetMode="External"/><Relationship Id="rId4" Type="http://schemas.openxmlformats.org/officeDocument/2006/relationships/hyperlink" Target="https://www.sec.gov/Archives/edgar/data/92416/000119312523078049/d360456dex41.htm" TargetMode="External"/><Relationship Id="rId5" Type="http://schemas.openxmlformats.org/officeDocument/2006/relationships/hyperlink" Target="https://www.sec.gov/Archives/edgar/data/92416/000119312523103864/d484535dex101.htm" TargetMode="External"/><Relationship Id="rId6" Type="http://schemas.openxmlformats.org/officeDocument/2006/relationships/hyperlink" Target="https://www.sec.gov/Archives/edgar/data/92416/000169211523000102/swxexhibit101.htm" TargetMode="External"/><Relationship Id="rId7" Type="http://schemas.openxmlformats.org/officeDocument/2006/relationships/hyperlink" Target="https://www.sec.gov/Archives/edgar/data/92416/000169211523000102/swxexhibit102.htm" TargetMode="External"/><Relationship Id="rId8" Type="http://schemas.openxmlformats.org/officeDocument/2006/relationships/hyperlink" Target="https://www.sec.gov/Archives/edgar/data/92416/000169211523000102/swxexhibit103.htm" TargetMode="External"/><Relationship Id="rId9" Type="http://schemas.openxmlformats.org/officeDocument/2006/relationships/hyperlink" Target="https://www.sec.gov/Archives/edgar/data/92416/000169211523000102/swxexhibit104.htm" TargetMode="External"/><Relationship Id="rId10" Type="http://schemas.openxmlformats.org/officeDocument/2006/relationships/hyperlink" Target="https://www.sec.gov/Archives/edgar/data/92416/000169211523000102/swxexhibit104.htm" TargetMode="External"/><Relationship Id="rId11" Type="http://schemas.openxmlformats.org/officeDocument/2006/relationships/hyperlink" Target="https://www.sec.gov/Archives/edgar/data/92416/000169211523000102/swxexhibit104.htm" TargetMode="External"/><Relationship Id="rId12" Type="http://schemas.openxmlformats.org/officeDocument/2006/relationships/hyperlink" Target="https://www.sec.gov/Archives/edgar/data/92416/000169211523000102/swxexhibit105.htm" TargetMode="External"/><Relationship Id="rId13" Type="http://schemas.openxmlformats.org/officeDocument/2006/relationships/hyperlink" Target="https://www.sec.gov/Archives/edgar/data/92416/000119312523126894/d485601dex10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26573</Words>
  <CharactersWithSpaces>178389</CharactersWithSpaces>
  <Paragraphs>3552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