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300730d8k.htm"/>
      <w:bookmarkStart w:id="1" w:name="ksd300730d8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UNITED STATES</w:t>
      </w:r>
    </w:p>
    <w:p>
      <w:pPr>
        <w:pStyle w:val="TextBody"/>
        <w:spacing w:before="0" w:after="0"/>
        <w:jc w:val="center"/>
        <w:rPr>
          <w:rFonts w:ascii="Times New Roman" w:hAnsi="Times New Roman"/>
          <w:b/>
          <w:sz w:val="36"/>
        </w:rPr>
      </w:pPr>
      <w:r>
        <w:rPr>
          <w:rFonts w:ascii="Times New Roman" w:hAnsi="Times New Roman"/>
          <w:b/>
          <w:sz w:val="36"/>
        </w:rPr>
        <w:t>SECURITIES AND EXCHANGE COMMISSION</w:t>
      </w:r>
    </w:p>
    <w:p>
      <w:pPr>
        <w:pStyle w:val="TextBody"/>
        <w:spacing w:before="0" w:after="0"/>
        <w:jc w:val="center"/>
        <w:rPr>
          <w:rFonts w:ascii="Times New Roman" w:hAnsi="Times New Roman"/>
          <w:b/>
          <w:sz w:val="24"/>
        </w:rPr>
      </w:pPr>
      <w:r>
        <w:rPr>
          <w:rFonts w:ascii="Times New Roman" w:hAnsi="Times New Roman"/>
          <w:b/>
          <w:sz w:val="24"/>
        </w:rPr>
        <w:t>Washington, D.C. 20549</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Form 8-K</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CURRENT REPORT</w:t>
      </w:r>
    </w:p>
    <w:p>
      <w:pPr>
        <w:pStyle w:val="TextBody"/>
        <w:spacing w:before="0" w:after="0"/>
        <w:jc w:val="center"/>
        <w:rPr>
          <w:rFonts w:ascii="Times New Roman" w:hAnsi="Times New Roman"/>
          <w:b/>
          <w:sz w:val="24"/>
        </w:rPr>
      </w:pPr>
      <w:r>
        <w:rPr>
          <w:rFonts w:ascii="Times New Roman" w:hAnsi="Times New Roman"/>
          <w:b/>
          <w:sz w:val="24"/>
        </w:rPr>
        <w:t>Pursuant to Section 13 or 15(d)</w:t>
      </w:r>
    </w:p>
    <w:p>
      <w:pPr>
        <w:pStyle w:val="TextBody"/>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spacing w:before="240" w:after="0"/>
        <w:jc w:val="center"/>
        <w:rPr>
          <w:rFonts w:ascii="Times New Roman" w:hAnsi="Times New Roman"/>
          <w:b/>
          <w:sz w:val="24"/>
        </w:rPr>
      </w:pPr>
      <w:r>
        <w:rPr>
          <w:rFonts w:ascii="Times New Roman" w:hAnsi="Times New Roman"/>
          <w:b/>
          <w:sz w:val="24"/>
        </w:rPr>
        <w:t>Date of Report (Date of earliest event reported) March 1, 2022</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SOUTHWEST GAS HOLDINGS, INC. </w:t>
      </w:r>
    </w:p>
    <w:p>
      <w:pPr>
        <w:pStyle w:val="TextBody"/>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4830" w:type="dxa"/>
        <w:jc w:val="left"/>
        <w:tblInd w:w="0" w:type="dxa"/>
        <w:tblCellMar>
          <w:top w:w="0" w:type="dxa"/>
          <w:left w:w="0" w:type="dxa"/>
          <w:bottom w:w="0" w:type="dxa"/>
          <w:right w:w="0" w:type="dxa"/>
        </w:tblCellMar>
      </w:tblPr>
      <w:tblGrid>
        <w:gridCol w:w="2285"/>
        <w:gridCol w:w="60"/>
        <w:gridCol w:w="1055"/>
        <w:gridCol w:w="60"/>
        <w:gridCol w:w="1370"/>
      </w:tblGrid>
      <w:tr>
        <w:trPr/>
        <w:tc>
          <w:tcPr>
            <w:tcW w:w="22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r>
      <w:tr>
        <w:trPr/>
        <w:tc>
          <w:tcPr>
            <w:tcW w:w="2285" w:type="dxa"/>
            <w:tcBorders/>
            <w:shd w:fill="auto" w:val="clear"/>
            <w:vAlign w:val="center"/>
          </w:tcPr>
          <w:p>
            <w:pPr>
              <w:pStyle w:val="TableContents"/>
              <w:spacing w:before="0" w:after="283"/>
              <w:jc w:val="center"/>
              <w:rPr>
                <w:b/>
              </w:rPr>
            </w:pPr>
            <w:r>
              <w:rPr>
                <w:b/>
              </w:rPr>
              <w:t>Delaware</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283"/>
              <w:jc w:val="center"/>
              <w:rPr>
                <w:b/>
              </w:rPr>
            </w:pPr>
            <w:r>
              <w:rPr>
                <w:b/>
              </w:rPr>
              <w:t>001-37976</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283"/>
              <w:jc w:val="center"/>
              <w:rPr>
                <w:b/>
              </w:rPr>
            </w:pPr>
            <w:r>
              <w:rPr>
                <w:b/>
              </w:rPr>
              <w:t>81-3881866</w:t>
            </w:r>
          </w:p>
        </w:tc>
      </w:tr>
      <w:tr>
        <w:trPr/>
        <w:tc>
          <w:tcPr>
            <w:tcW w:w="228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shd w:fill="auto" w:val="clear"/>
            <w:vAlign w:val="center"/>
          </w:tcPr>
          <w:p>
            <w:pPr>
              <w:pStyle w:val="TableContents"/>
              <w:spacing w:before="0" w:after="283"/>
              <w:rPr/>
            </w:pPr>
            <w:r>
              <w:rPr/>
              <w:t> </w:t>
            </w:r>
          </w:p>
        </w:tc>
        <w:tc>
          <w:tcPr>
            <w:tcW w:w="1055"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(Commission</w:t>
            </w:r>
          </w:p>
          <w:p>
            <w:pPr>
              <w:pStyle w:val="TableContents"/>
              <w:spacing w:before="0" w:after="20"/>
              <w:jc w:val="center"/>
              <w:rPr>
                <w:rFonts w:ascii="Times New Roman" w:hAnsi="Times New Roman"/>
                <w:b/>
                <w:sz w:val="16"/>
              </w:rPr>
            </w:pPr>
            <w:r>
              <w:rPr>
                <w:rFonts w:ascii="Times New Roman" w:hAnsi="Times New Roman"/>
                <w:b/>
                <w:sz w:val="16"/>
              </w:rPr>
              <w:t>File Number)</w:t>
            </w:r>
          </w:p>
        </w:tc>
        <w:tc>
          <w:tcPr>
            <w:tcW w:w="60" w:type="dxa"/>
            <w:tcBorders/>
            <w:shd w:fill="auto" w:val="clear"/>
            <w:vAlign w:val="center"/>
          </w:tcPr>
          <w:p>
            <w:pPr>
              <w:pStyle w:val="TableContents"/>
              <w:spacing w:before="0" w:after="283"/>
              <w:rPr/>
            </w:pPr>
            <w:r>
              <w:rPr/>
              <w:t> </w:t>
            </w:r>
          </w:p>
        </w:tc>
        <w:tc>
          <w:tcPr>
            <w:tcW w:w="1370" w:type="dxa"/>
            <w:tcBorders/>
            <w:shd w:fill="auto" w:val="clear"/>
            <w:vAlign w:val="cente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8360 S. Durango Dr.</w:t>
      </w:r>
    </w:p>
    <w:p>
      <w:pPr>
        <w:pStyle w:val="TextBody"/>
        <w:spacing w:before="0" w:after="0"/>
        <w:jc w:val="center"/>
        <w:rPr>
          <w:rFonts w:ascii="Times New Roman" w:hAnsi="Times New Roman"/>
          <w:b/>
          <w:sz w:val="20"/>
        </w:rPr>
      </w:pPr>
      <w:r>
        <w:rPr>
          <w:rFonts w:ascii="Times New Roman" w:hAnsi="Times New Roman"/>
          <w:b/>
          <w:sz w:val="20"/>
        </w:rPr>
        <w:t>Post Office Box 98510</w:t>
      </w:r>
    </w:p>
    <w:p>
      <w:pPr>
        <w:pStyle w:val="TextBody"/>
        <w:spacing w:before="0" w:after="0"/>
        <w:jc w:val="center"/>
        <w:rPr>
          <w:rFonts w:ascii="Times New Roman" w:hAnsi="Times New Roman"/>
          <w:b/>
          <w:sz w:val="20"/>
        </w:rPr>
      </w:pPr>
      <w:r>
        <w:rPr>
          <w:rFonts w:ascii="Times New Roman" w:hAnsi="Times New Roman"/>
          <w:b/>
          <w:sz w:val="20"/>
        </w:rPr>
        <w:t xml:space="preserve">Las Vegas, Nevada </w:t>
      </w:r>
    </w:p>
    <w:p>
      <w:pPr>
        <w:pStyle w:val="TextBody"/>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spacing w:before="240" w:after="0"/>
        <w:jc w:val="center"/>
        <w:rPr>
          <w:rFonts w:ascii="Times New Roman" w:hAnsi="Times New Roman"/>
          <w:b/>
          <w:sz w:val="20"/>
        </w:rPr>
      </w:pPr>
      <w:r>
        <w:rPr>
          <w:rFonts w:ascii="Times New Roman" w:hAnsi="Times New Roman"/>
          <w:b/>
          <w:sz w:val="20"/>
        </w:rPr>
        <w:t>89193-8510</w:t>
      </w:r>
    </w:p>
    <w:p>
      <w:pPr>
        <w:pStyle w:val="TextBody"/>
        <w:spacing w:before="0" w:after="0"/>
        <w:jc w:val="center"/>
        <w:rPr>
          <w:rFonts w:ascii="Times New Roman" w:hAnsi="Times New Roman"/>
          <w:b/>
          <w:sz w:val="16"/>
        </w:rPr>
      </w:pPr>
      <w:r>
        <w:rPr>
          <w:rFonts w:ascii="Times New Roman" w:hAnsi="Times New Roman"/>
          <w:b/>
          <w:sz w:val="16"/>
        </w:rPr>
        <w:t>(Zip Code)</w:t>
      </w:r>
    </w:p>
    <w:p>
      <w:pPr>
        <w:pStyle w:val="TextBody"/>
        <w:spacing w:before="240" w:after="0"/>
        <w:jc w:val="center"/>
        <w:rPr>
          <w:rFonts w:ascii="Times New Roman" w:hAnsi="Times New Roman"/>
          <w:b/>
          <w:sz w:val="20"/>
        </w:rPr>
      </w:pPr>
      <w:r>
        <w:rPr>
          <w:rFonts w:ascii="Times New Roman" w:hAnsi="Times New Roman"/>
          <w:b/>
          <w:sz w:val="20"/>
        </w:rPr>
        <w:t>Registrant’s telephone number, including area code: (702) 876-7237</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spacing w:before="0" w:after="0"/>
        <w:jc w:val="left"/>
        <w:rPr/>
      </w:pPr>
      <w:r>
        <w:rPr/>
        <w:t> </w:t>
      </w:r>
    </w:p>
    <w:tbl>
      <w:tblPr>
        <w:tblW w:w="7540" w:type="dxa"/>
        <w:jc w:val="left"/>
        <w:tblInd w:w="0" w:type="dxa"/>
        <w:tblCellMar>
          <w:top w:w="0" w:type="dxa"/>
          <w:left w:w="0" w:type="dxa"/>
          <w:bottom w:w="0" w:type="dxa"/>
          <w:right w:w="0" w:type="dxa"/>
        </w:tblCellMar>
      </w:tblPr>
      <w:tblGrid>
        <w:gridCol w:w="245"/>
        <w:gridCol w:w="7295"/>
      </w:tblGrid>
      <w:tr>
        <w:trPr/>
        <w:tc>
          <w:tcPr>
            <w:tcW w:w="245" w:type="dxa"/>
            <w:tcBorders/>
            <w:shd w:fill="auto" w:val="clear"/>
            <w:vAlign w:val="center"/>
          </w:tcPr>
          <w:p>
            <w:pPr>
              <w:pStyle w:val="TableContents"/>
              <w:spacing w:before="0" w:after="283"/>
              <w:rPr/>
            </w:pPr>
            <w:r>
              <w:rPr/>
              <w:t>☐</w:t>
            </w:r>
          </w:p>
        </w:tc>
        <w:tc>
          <w:tcPr>
            <w:tcW w:w="729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spacing w:before="0" w:after="0"/>
        <w:jc w:val="left"/>
        <w:rPr/>
      </w:pPr>
      <w:r>
        <w:rPr/>
        <w:t> </w:t>
      </w:r>
    </w:p>
    <w:tbl>
      <w:tblPr>
        <w:tblW w:w="7570" w:type="dxa"/>
        <w:jc w:val="left"/>
        <w:tblInd w:w="0" w:type="dxa"/>
        <w:tblCellMar>
          <w:top w:w="0" w:type="dxa"/>
          <w:left w:w="0" w:type="dxa"/>
          <w:bottom w:w="0" w:type="dxa"/>
          <w:right w:w="0" w:type="dxa"/>
        </w:tblCellMar>
      </w:tblPr>
      <w:tblGrid>
        <w:gridCol w:w="245"/>
        <w:gridCol w:w="7325"/>
      </w:tblGrid>
      <w:tr>
        <w:trPr/>
        <w:tc>
          <w:tcPr>
            <w:tcW w:w="245" w:type="dxa"/>
            <w:tcBorders/>
            <w:shd w:fill="auto" w:val="clear"/>
            <w:vAlign w:val="center"/>
          </w:tcPr>
          <w:p>
            <w:pPr>
              <w:pStyle w:val="TableContents"/>
              <w:spacing w:before="0" w:after="283"/>
              <w:rPr/>
            </w:pPr>
            <w:r>
              <w:rPr/>
              <w:t>☐</w:t>
            </w:r>
          </w:p>
        </w:tc>
        <w:tc>
          <w:tcPr>
            <w:tcW w:w="732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spacing w:before="0" w:after="0"/>
        <w:jc w:val="left"/>
        <w:rPr/>
      </w:pPr>
      <w:r>
        <w:rPr/>
        <w:t> </w:t>
      </w:r>
    </w:p>
    <w:tbl>
      <w:tblPr>
        <w:tblW w:w="9310" w:type="dxa"/>
        <w:jc w:val="left"/>
        <w:tblInd w:w="0" w:type="dxa"/>
        <w:tblCellMar>
          <w:top w:w="0" w:type="dxa"/>
          <w:left w:w="0" w:type="dxa"/>
          <w:bottom w:w="0" w:type="dxa"/>
          <w:right w:w="0" w:type="dxa"/>
        </w:tblCellMar>
      </w:tblPr>
      <w:tblGrid>
        <w:gridCol w:w="245"/>
        <w:gridCol w:w="9065"/>
      </w:tblGrid>
      <w:tr>
        <w:trPr/>
        <w:tc>
          <w:tcPr>
            <w:tcW w:w="245" w:type="dxa"/>
            <w:tcBorders/>
            <w:shd w:fill="auto" w:val="clear"/>
            <w:vAlign w:val="center"/>
          </w:tcPr>
          <w:p>
            <w:pPr>
              <w:pStyle w:val="TableContents"/>
              <w:spacing w:before="0" w:after="283"/>
              <w:rPr/>
            </w:pPr>
            <w:r>
              <w:rPr/>
              <w:t>☐</w:t>
            </w:r>
          </w:p>
        </w:tc>
        <w:tc>
          <w:tcPr>
            <w:tcW w:w="906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spacing w:before="0" w:after="0"/>
        <w:jc w:val="left"/>
        <w:rPr/>
      </w:pPr>
      <w:r>
        <w:rPr/>
        <w:t> </w:t>
      </w:r>
    </w:p>
    <w:tbl>
      <w:tblPr>
        <w:tblW w:w="9250" w:type="dxa"/>
        <w:jc w:val="left"/>
        <w:tblInd w:w="0" w:type="dxa"/>
        <w:tblCellMar>
          <w:top w:w="0" w:type="dxa"/>
          <w:left w:w="0" w:type="dxa"/>
          <w:bottom w:w="0" w:type="dxa"/>
          <w:right w:w="0" w:type="dxa"/>
        </w:tblCellMar>
      </w:tblPr>
      <w:tblGrid>
        <w:gridCol w:w="245"/>
        <w:gridCol w:w="9005"/>
      </w:tblGrid>
      <w:tr>
        <w:trPr/>
        <w:tc>
          <w:tcPr>
            <w:tcW w:w="245" w:type="dxa"/>
            <w:tcBorders/>
            <w:shd w:fill="auto" w:val="clear"/>
            <w:vAlign w:val="center"/>
          </w:tcPr>
          <w:p>
            <w:pPr>
              <w:pStyle w:val="TableContents"/>
              <w:spacing w:before="0" w:after="283"/>
              <w:rPr/>
            </w:pPr>
            <w:r>
              <w:rPr/>
              <w:t>☐</w:t>
            </w:r>
          </w:p>
        </w:tc>
        <w:tc>
          <w:tcPr>
            <w:tcW w:w="90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spacing w:before="0" w:after="0"/>
        <w:jc w:val="left"/>
        <w:rPr/>
      </w:pPr>
      <w:r>
        <w:rPr/>
        <w:t> </w:t>
      </w:r>
    </w:p>
    <w:tbl>
      <w:tblPr>
        <w:tblW w:w="9600" w:type="dxa"/>
        <w:jc w:val="left"/>
        <w:tblInd w:w="0" w:type="dxa"/>
        <w:tblCellMar>
          <w:top w:w="0" w:type="dxa"/>
          <w:left w:w="0" w:type="dxa"/>
          <w:bottom w:w="0" w:type="dxa"/>
          <w:right w:w="0" w:type="dxa"/>
        </w:tblCellMar>
      </w:tblPr>
      <w:tblGrid>
        <w:gridCol w:w="6020"/>
        <w:gridCol w:w="60"/>
        <w:gridCol w:w="665"/>
        <w:gridCol w:w="60"/>
        <w:gridCol w:w="2795"/>
      </w:tblGrid>
      <w:tr>
        <w:trPr/>
        <w:tc>
          <w:tcPr>
            <w:tcW w:w="60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6020"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(Title of class)</w:t>
            </w:r>
          </w:p>
        </w:tc>
        <w:tc>
          <w:tcPr>
            <w:tcW w:w="60" w:type="dxa"/>
            <w:tcBorders/>
            <w:shd w:fill="auto" w:val="clear"/>
            <w:vAlign w:val="center"/>
          </w:tcPr>
          <w:p>
            <w:pPr>
              <w:pStyle w:val="TableContents"/>
              <w:spacing w:before="0" w:after="283"/>
              <w:rPr/>
            </w:pPr>
            <w:r>
              <w:rPr/>
              <w:t> </w:t>
            </w:r>
          </w:p>
        </w:tc>
        <w:tc>
          <w:tcPr>
            <w:tcW w:w="66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(Trading</w:t>
            </w:r>
          </w:p>
          <w:p>
            <w:pPr>
              <w:pStyle w:val="TableContents"/>
              <w:spacing w:before="0" w:after="20"/>
              <w:jc w:val="center"/>
              <w:rPr>
                <w:rFonts w:ascii="Times New Roman" w:hAnsi="Times New Roman"/>
                <w:b/>
                <w:sz w:val="16"/>
              </w:rPr>
            </w:pPr>
            <w:r>
              <w:rPr>
                <w:rFonts w:ascii="Times New Roman" w:hAnsi="Times New Roman"/>
                <w:b/>
                <w:sz w:val="16"/>
              </w:rPr>
              <w:t>symbol)</w:t>
            </w:r>
          </w:p>
        </w:tc>
        <w:tc>
          <w:tcPr>
            <w:tcW w:w="60" w:type="dxa"/>
            <w:tcBorders/>
            <w:shd w:fill="auto" w:val="clear"/>
            <w:vAlign w:val="center"/>
          </w:tcPr>
          <w:p>
            <w:pPr>
              <w:pStyle w:val="TableContents"/>
              <w:spacing w:before="0" w:after="283"/>
              <w:rPr/>
            </w:pPr>
            <w:r>
              <w:rPr/>
              <w:t> </w:t>
            </w:r>
          </w:p>
        </w:tc>
        <w:tc>
          <w:tcPr>
            <w:tcW w:w="2795" w:type="dxa"/>
            <w:tcBorders>
              <w:bottom w:val="single" w:sz="8" w:space="0" w:color="000000"/>
            </w:tcBorders>
            <w:shd w:fill="auto" w:val="clear"/>
            <w:tcMar>
              <w:bottom w:w="28" w:type="dxa"/>
            </w:tcMar>
            <w:vAlign w:val="center"/>
          </w:tcPr>
          <w:p>
            <w:pPr>
              <w:pStyle w:val="TableContents"/>
              <w:spacing w:before="0" w:after="0"/>
              <w:jc w:val="center"/>
              <w:rPr>
                <w:rFonts w:ascii="Times New Roman" w:hAnsi="Times New Roman"/>
                <w:b/>
                <w:sz w:val="16"/>
              </w:rPr>
            </w:pPr>
            <w:r>
              <w:rPr>
                <w:rFonts w:ascii="Times New Roman" w:hAnsi="Times New Roman"/>
                <w:b/>
                <w:sz w:val="16"/>
              </w:rPr>
              <w:t>(Exchange</w:t>
            </w:r>
          </w:p>
          <w:p>
            <w:pPr>
              <w:pStyle w:val="TableContents"/>
              <w:spacing w:before="0" w:after="20"/>
              <w:jc w:val="center"/>
              <w:rPr>
                <w:rFonts w:ascii="Times New Roman" w:hAnsi="Times New Roman"/>
                <w:b/>
                <w:sz w:val="16"/>
              </w:rPr>
            </w:pPr>
            <w:r>
              <w:rPr>
                <w:rFonts w:ascii="Times New Roman" w:hAnsi="Times New Roman"/>
                <w:b/>
                <w:sz w:val="16"/>
              </w:rPr>
              <w:t>on which registered)</w:t>
            </w:r>
          </w:p>
        </w:tc>
      </w:tr>
      <w:tr>
        <w:trPr/>
        <w:tc>
          <w:tcPr>
            <w:tcW w:w="6020" w:type="dxa"/>
            <w:tcBorders/>
            <w:shd w:fill="auto" w:val="clear"/>
            <w:vAlign w:val="center"/>
          </w:tcPr>
          <w:p>
            <w:pPr>
              <w:pStyle w:val="TableContents"/>
              <w:spacing w:before="0" w:after="283"/>
              <w:jc w:val="center"/>
              <w:rPr>
                <w:b/>
              </w:rPr>
            </w:pPr>
            <w:r>
              <w:rPr>
                <w:b/>
              </w:rPr>
              <w:t>Southwest Gas Holdings, Inc. Common Stock, $1 par value</w:t>
            </w:r>
          </w:p>
        </w:tc>
        <w:tc>
          <w:tcPr>
            <w:tcW w:w="6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center"/>
              <w:rPr>
                <w:b/>
              </w:rPr>
            </w:pPr>
            <w:r>
              <w:rPr>
                <w:b/>
              </w:rPr>
              <w:t>SWX</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b/>
              </w:rPr>
            </w:pPr>
            <w:r>
              <w:rPr>
                <w:b/>
              </w:rPr>
              <w:t>New York Stock Exchange</w:t>
            </w:r>
          </w:p>
        </w:tc>
      </w:tr>
      <w:tr>
        <w:trPr/>
        <w:tc>
          <w:tcPr>
            <w:tcW w:w="6020" w:type="dxa"/>
            <w:tcBorders/>
            <w:shd w:fill="auto" w:val="clear"/>
            <w:vAlign w:val="center"/>
          </w:tcPr>
          <w:p>
            <w:pPr>
              <w:pStyle w:val="TableContents"/>
              <w:spacing w:before="0" w:after="283"/>
              <w:jc w:val="center"/>
              <w:rPr>
                <w:b/>
              </w:rPr>
            </w:pPr>
            <w:r>
              <w:rPr>
                <w:b/>
              </w:rPr>
              <w:t>Preferred Stock Purchase Rights</w:t>
            </w:r>
          </w:p>
        </w:tc>
        <w:tc>
          <w:tcPr>
            <w:tcW w:w="6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center"/>
              <w:rPr>
                <w:b/>
              </w:rPr>
            </w:pPr>
            <w:r>
              <w:rPr>
                <w:b/>
              </w:rPr>
              <w:t>N/A</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283"/>
              <w:jc w:val="center"/>
              <w:rPr>
                <w:b/>
              </w:rPr>
            </w:pPr>
            <w:r>
              <w:rPr>
                <w:b/>
              </w:rPr>
              <w:t>New York Stock Exchange</w:t>
            </w:r>
          </w:p>
        </w:tc>
      </w:tr>
    </w:tbl>
    <w:p>
      <w:pPr>
        <w:pStyle w:val="TextBody"/>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240" w:after="0"/>
        <w:jc w:val="left"/>
        <w:rPr>
          <w:rFonts w:ascii="Times New Roman" w:hAnsi="Times New Roman"/>
          <w:sz w:val="20"/>
        </w:rPr>
      </w:pPr>
      <w:r>
        <w:rPr>
          <w:rFonts w:ascii="Times New Roman" w:hAnsi="Times New Roman"/>
          <w:sz w:val="20"/>
        </w:rPr>
        <w:t>Emerging growth company ☐</w:t>
      </w:r>
    </w:p>
    <w:p>
      <w:pPr>
        <w:pStyle w:val="TextBody"/>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rPr/>
      </w:pPr>
      <w:r>
        <w:rPr/>
      </w:r>
    </w:p>
    <w:tbl>
      <w:tblPr>
        <w:tblW w:w="5065" w:type="dxa"/>
        <w:jc w:val="left"/>
        <w:tblInd w:w="0" w:type="dxa"/>
        <w:tblCellMar>
          <w:top w:w="0" w:type="dxa"/>
          <w:left w:w="0" w:type="dxa"/>
          <w:bottom w:w="0" w:type="dxa"/>
          <w:right w:w="0" w:type="dxa"/>
        </w:tblCellMar>
      </w:tblPr>
      <w:tblGrid>
        <w:gridCol w:w="1040"/>
        <w:gridCol w:w="4025"/>
      </w:tblGrid>
      <w:tr>
        <w:trPr/>
        <w:tc>
          <w:tcPr>
            <w:tcW w:w="1040" w:type="dxa"/>
            <w:tcBorders/>
            <w:shd w:fill="auto" w:val="clear"/>
            <w:vAlign w:val="center"/>
          </w:tcPr>
          <w:p>
            <w:pPr>
              <w:pStyle w:val="TableContents"/>
              <w:spacing w:before="0" w:after="283"/>
              <w:jc w:val="left"/>
              <w:rPr>
                <w:b/>
              </w:rPr>
            </w:pPr>
            <w:r>
              <w:rPr>
                <w:b/>
              </w:rPr>
              <w:t>Item 2.02.</w:t>
            </w:r>
          </w:p>
        </w:tc>
        <w:tc>
          <w:tcPr>
            <w:tcW w:w="402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120" w:after="0"/>
        <w:jc w:val="left"/>
        <w:rPr>
          <w:rFonts w:ascii="Times New Roman" w:hAnsi="Times New Roman"/>
          <w:sz w:val="20"/>
        </w:rPr>
      </w:pPr>
      <w:r>
        <w:rPr>
          <w:rFonts w:ascii="Times New Roman" w:hAnsi="Times New Roman"/>
          <w:sz w:val="20"/>
        </w:rPr>
        <w:t xml:space="preserve">On March 1, 2022, Southwest Gas Holdings, Inc. (the “Company”) issued summary financial information to the general public, including the investment community, regarding operating performance for the quarter and twelve months ended December 31, 2021. A copy of the press release is furnished as Exhibit 99.1 to this Current Report on Form 8-K (“Form 8-K”) and is incorporated herein by reference. The Company intends to make an investor presentation available on its website www.swgasholdings.com under the section “Investor Relations — Events and Presentations” prior to the Company’s conference call with investors on Wednesday, March 2, 2022 at 1:00 p.m. (Eastern Time). </w:t>
      </w:r>
    </w:p>
    <w:p>
      <w:pPr>
        <w:pStyle w:val="TextBody"/>
        <w:spacing w:before="240" w:after="0"/>
        <w:jc w:val="left"/>
        <w:rPr>
          <w:rFonts w:ascii="Times New Roman" w:hAnsi="Times New Roman"/>
          <w:sz w:val="20"/>
        </w:rPr>
      </w:pPr>
      <w:r>
        <w:rPr>
          <w:rFonts w:ascii="Times New Roman" w:hAnsi="Times New Roman"/>
          <w:sz w:val="20"/>
        </w:rPr>
        <w:t xml:space="preserve">In accordance with General Instruction B.2 of Form 8-K, the information included in this Form 8-K, including Exhibit 99.1 hereto, shall not be deemed “filed” for purposes of Section 18 of the Securities Exchange Act of 1934, as amended (the “Exchange Act”), or otherwise subject to the liabilities of that section, nor shall it be deemed incorporated by reference into any filing made by the Company under the Exchange Act or the Securities Act of 1933, as amended (the “Securities Act”), except as shall be expressly set forth by specific reference in such a filing. </w:t>
      </w:r>
    </w:p>
    <w:p>
      <w:pPr>
        <w:pStyle w:val="TextBody"/>
        <w:spacing w:before="0" w:after="0"/>
        <w:jc w:val="left"/>
        <w:rPr/>
      </w:pPr>
      <w:r>
        <w:rPr/>
        <w:t> </w:t>
      </w:r>
    </w:p>
    <w:tbl>
      <w:tblPr>
        <w:tblW w:w="3325" w:type="dxa"/>
        <w:jc w:val="left"/>
        <w:tblInd w:w="0" w:type="dxa"/>
        <w:tblCellMar>
          <w:top w:w="0" w:type="dxa"/>
          <w:left w:w="0" w:type="dxa"/>
          <w:bottom w:w="0" w:type="dxa"/>
          <w:right w:w="0" w:type="dxa"/>
        </w:tblCellMar>
      </w:tblPr>
      <w:tblGrid>
        <w:gridCol w:w="1040"/>
        <w:gridCol w:w="2285"/>
      </w:tblGrid>
      <w:tr>
        <w:trPr/>
        <w:tc>
          <w:tcPr>
            <w:tcW w:w="1040" w:type="dxa"/>
            <w:tcBorders/>
            <w:shd w:fill="auto" w:val="clear"/>
            <w:vAlign w:val="center"/>
          </w:tcPr>
          <w:p>
            <w:pPr>
              <w:pStyle w:val="TableContents"/>
              <w:spacing w:before="0" w:after="283"/>
              <w:jc w:val="left"/>
              <w:rPr>
                <w:b/>
              </w:rPr>
            </w:pPr>
            <w:r>
              <w:rPr>
                <w:b/>
              </w:rPr>
              <w:t>Item 7.01.</w:t>
            </w:r>
          </w:p>
        </w:tc>
        <w:tc>
          <w:tcPr>
            <w:tcW w:w="228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spacing w:before="120" w:after="0"/>
        <w:jc w:val="left"/>
        <w:rPr>
          <w:rFonts w:ascii="Times New Roman" w:hAnsi="Times New Roman"/>
          <w:sz w:val="20"/>
        </w:rPr>
      </w:pPr>
      <w:r>
        <w:rPr>
          <w:rFonts w:ascii="Times New Roman" w:hAnsi="Times New Roman"/>
          <w:sz w:val="20"/>
        </w:rPr>
        <w:t xml:space="preserve">On March 1, 2022, the Company issued a press release announcing the unanimous decision of its Board of Directors to separate Centuri Group, Inc. (“Centuri”), a wholly-owned subsidiary of the Company, into a standalone, independent company (the “Separation”). The Separation is expected to occur within the next 9 to 12 months. A copy of the press release is attached hereto as Exhibit 99.2 and incorporated herein by reference. </w:t>
      </w:r>
    </w:p>
    <w:p>
      <w:pPr>
        <w:pStyle w:val="TextBody"/>
        <w:spacing w:before="240" w:after="0"/>
        <w:jc w:val="left"/>
        <w:rPr>
          <w:rFonts w:ascii="Times New Roman" w:hAnsi="Times New Roman"/>
          <w:sz w:val="20"/>
        </w:rPr>
      </w:pPr>
      <w:r>
        <w:rPr>
          <w:rFonts w:ascii="Times New Roman" w:hAnsi="Times New Roman"/>
          <w:sz w:val="20"/>
        </w:rPr>
        <w:t xml:space="preserve">This information, including Exhibit 99.2 hereto, is being furnished pursuant to Item 7.01, and the information contained therein shall not be deemed “filed” for purposes of Section 18 of the Exchange Act, or otherwise subject to the liabilities under that Section. Furthermore, the information contained herein, on the Company’s website and in Exhibit 99.2 shall not be deemed to be incorporated by reference into the filings of the Company under the Securities Act. </w:t>
      </w:r>
      <w:r>
        <w:br w:type="page"/>
      </w:r>
    </w:p>
    <w:p>
      <w:pPr>
        <w:pStyle w:val="HorizontalLine"/>
        <w:rPr/>
      </w:pPr>
      <w:r>
        <w:rPr/>
      </w:r>
    </w:p>
    <w:tbl>
      <w:tblPr>
        <w:tblW w:w="4045" w:type="dxa"/>
        <w:jc w:val="left"/>
        <w:tblInd w:w="0" w:type="dxa"/>
        <w:tblCellMar>
          <w:top w:w="0" w:type="dxa"/>
          <w:left w:w="0" w:type="dxa"/>
          <w:bottom w:w="0" w:type="dxa"/>
          <w:right w:w="0" w:type="dxa"/>
        </w:tblCellMar>
      </w:tblPr>
      <w:tblGrid>
        <w:gridCol w:w="1040"/>
        <w:gridCol w:w="3005"/>
      </w:tblGrid>
      <w:tr>
        <w:trPr/>
        <w:tc>
          <w:tcPr>
            <w:tcW w:w="1040" w:type="dxa"/>
            <w:tcBorders/>
            <w:shd w:fill="auto" w:val="clear"/>
            <w:vAlign w:val="center"/>
          </w:tcPr>
          <w:p>
            <w:pPr>
              <w:pStyle w:val="TableContents"/>
              <w:spacing w:before="0" w:after="283"/>
              <w:jc w:val="left"/>
              <w:rPr>
                <w:b/>
              </w:rPr>
            </w:pPr>
            <w:r>
              <w:rPr>
                <w:b/>
              </w:rPr>
              <w:t>Item 9.01.</w:t>
            </w:r>
          </w:p>
        </w:tc>
        <w:tc>
          <w:tcPr>
            <w:tcW w:w="3005" w:type="dxa"/>
            <w:tcBorders/>
            <w:shd w:fill="auto" w:val="clear"/>
            <w:vAlign w:val="center"/>
          </w:tcPr>
          <w:p>
            <w:pPr>
              <w:pStyle w:val="TableContents"/>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120" w:after="0"/>
        <w:jc w:val="left"/>
        <w:rPr>
          <w:rFonts w:ascii="Times New Roman" w:hAnsi="Times New Roman"/>
          <w:sz w:val="20"/>
        </w:rPr>
      </w:pPr>
      <w:r>
        <w:rPr>
          <w:rFonts w:ascii="Times New Roman" w:hAnsi="Times New Roman"/>
          <w:sz w:val="20"/>
        </w:rPr>
        <w:t xml:space="preserve">(d) Exhibits. </w:t>
      </w:r>
    </w:p>
    <w:p>
      <w:pPr>
        <w:pStyle w:val="TextBody"/>
        <w:spacing w:before="0" w:after="0"/>
        <w:jc w:val="left"/>
        <w:rPr/>
      </w:pPr>
      <w:r>
        <w:rPr/>
        <w:t> </w:t>
      </w:r>
    </w:p>
    <w:tbl>
      <w:tblPr>
        <w:tblW w:w="8080" w:type="dxa"/>
        <w:jc w:val="left"/>
        <w:tblInd w:w="0" w:type="dxa"/>
        <w:tblCellMar>
          <w:top w:w="0" w:type="dxa"/>
          <w:left w:w="0" w:type="dxa"/>
          <w:bottom w:w="0" w:type="dxa"/>
          <w:right w:w="0" w:type="dxa"/>
        </w:tblCellMar>
      </w:tblPr>
      <w:tblGrid>
        <w:gridCol w:w="845"/>
        <w:gridCol w:w="120"/>
        <w:gridCol w:w="7115"/>
      </w:tblGrid>
      <w:tr>
        <w:trPr/>
        <w:tc>
          <w:tcPr>
            <w:tcW w:w="84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115" w:type="dxa"/>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8" w:space="0" w:color="000000"/>
            </w:tcBorders>
            <w:shd w:fill="auto" w:val="clear"/>
            <w:tcMar>
              <w:bottom w:w="28" w:type="dxa"/>
            </w:tcMar>
            <w:vAlign w:val="center"/>
          </w:tcPr>
          <w:p>
            <w:pPr>
              <w:pStyle w:val="TableContents"/>
              <w:jc w:val="center"/>
              <w:rPr/>
            </w:pPr>
            <w:r>
              <w:rPr>
                <w:b/>
              </w:rPr>
              <w:t>Exhibit</w:t>
            </w:r>
            <w:r>
              <w:rPr/>
              <w:t xml:space="preserve"> </w:t>
            </w:r>
          </w:p>
          <w:p>
            <w:pPr>
              <w:pStyle w:val="TableContents"/>
              <w:spacing w:before="0" w:after="0"/>
              <w:jc w:val="left"/>
              <w:rPr>
                <w:rFonts w:ascii="Times New Roman" w:hAnsi="Times New Roman"/>
                <w:b/>
                <w:sz w:val="16"/>
              </w:rPr>
            </w:pPr>
            <w:r>
              <w:rPr>
                <w:rFonts w:ascii="Times New Roman" w:hAnsi="Times New Roman"/>
                <w:b/>
                <w:sz w:val="16"/>
              </w:rPr>
              <w:t>No.</w:t>
            </w:r>
          </w:p>
        </w:tc>
        <w:tc>
          <w:tcPr>
            <w:tcW w:w="120" w:type="dxa"/>
            <w:tcBorders/>
            <w:shd w:fill="auto" w:val="clear"/>
            <w:vAlign w:val="center"/>
          </w:tcPr>
          <w:p>
            <w:pPr>
              <w:pStyle w:val="TableContents"/>
              <w:spacing w:before="0" w:after="283"/>
              <w:rPr/>
            </w:pPr>
            <w:r>
              <w:rPr/>
              <w:t>  </w:t>
            </w:r>
          </w:p>
        </w:tc>
        <w:tc>
          <w:tcPr>
            <w:tcW w:w="7115" w:type="dxa"/>
            <w:tcBorders>
              <w:bottom w:val="single" w:sz="8" w:space="0" w:color="000000"/>
            </w:tcBorders>
            <w:shd w:fill="auto" w:val="clear"/>
            <w:tcMar>
              <w:bottom w:w="28" w:type="dxa"/>
            </w:tcMar>
            <w:vAlign w:val="center"/>
          </w:tcPr>
          <w:p>
            <w:pPr>
              <w:pStyle w:val="TableContents"/>
              <w:spacing w:before="0" w:after="20"/>
              <w:jc w:val="center"/>
              <w:rPr>
                <w:rFonts w:ascii="Times New Roman" w:hAnsi="Times New Roman"/>
                <w:b/>
                <w:sz w:val="16"/>
              </w:rPr>
            </w:pPr>
            <w:r>
              <w:rPr>
                <w:rFonts w:ascii="Times New Roman" w:hAnsi="Times New Roman"/>
                <w:b/>
                <w:sz w:val="16"/>
              </w:rPr>
              <w:t>Description</w:t>
            </w:r>
          </w:p>
        </w:tc>
      </w:tr>
      <w:tr>
        <w:trPr/>
        <w:tc>
          <w:tcPr>
            <w:tcW w:w="845" w:type="dxa"/>
            <w:tcBorders/>
            <w:shd w:fill="auto" w:val="clear"/>
            <w:vAlign w:val="center"/>
          </w:tcPr>
          <w:p>
            <w:pPr>
              <w:pStyle w:val="TableContents"/>
              <w:spacing w:before="0" w:after="283"/>
              <w:rPr>
                <w:sz w:val="4"/>
                <w:szCs w:val="4"/>
              </w:rPr>
            </w:pPr>
            <w:r>
              <w:rPr>
                <w:sz w:val="4"/>
                <w:szCs w:val="4"/>
              </w:rPr>
            </w:r>
          </w:p>
        </w:tc>
        <w:tc>
          <w:tcPr>
            <w:tcW w:w="7235" w:type="dxa"/>
            <w:gridSpan w:val="2"/>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before="0" w:after="283"/>
              <w:rPr/>
            </w:pPr>
            <w:r>
              <w:rPr/>
              <w:t>99.1</w:t>
            </w:r>
          </w:p>
        </w:tc>
        <w:tc>
          <w:tcPr>
            <w:tcW w:w="120" w:type="dxa"/>
            <w:tcBorders/>
            <w:shd w:fill="auto" w:val="clear"/>
            <w:vAlign w:val="center"/>
          </w:tcPr>
          <w:p>
            <w:pPr>
              <w:pStyle w:val="TableContents"/>
              <w:spacing w:before="0" w:after="283"/>
              <w:rPr/>
            </w:pPr>
            <w:r>
              <w:rPr/>
              <w:t>  </w:t>
            </w:r>
          </w:p>
        </w:tc>
        <w:tc>
          <w:tcPr>
            <w:tcW w:w="7115" w:type="dxa"/>
            <w:tcBorders/>
            <w:shd w:fill="auto" w:val="clear"/>
            <w:vAlign w:val="center"/>
          </w:tcPr>
          <w:p>
            <w:pPr>
              <w:pStyle w:val="TableContents"/>
              <w:spacing w:before="0" w:after="283"/>
              <w:rPr/>
            </w:pPr>
            <w:hyperlink w:anchor="d300730dex991.htm">
              <w:r>
                <w:rPr>
                  <w:rStyle w:val="InternetLink"/>
                </w:rPr>
                <w:t xml:space="preserve">Press release and summary financial information, dated March 1, 2022. </w:t>
              </w:r>
            </w:hyperlink>
          </w:p>
        </w:tc>
      </w:tr>
      <w:tr>
        <w:trPr/>
        <w:tc>
          <w:tcPr>
            <w:tcW w:w="845" w:type="dxa"/>
            <w:tcBorders/>
            <w:shd w:fill="auto" w:val="clear"/>
            <w:vAlign w:val="center"/>
          </w:tcPr>
          <w:p>
            <w:pPr>
              <w:pStyle w:val="TableContents"/>
              <w:spacing w:before="0" w:after="283"/>
              <w:rPr>
                <w:sz w:val="4"/>
                <w:szCs w:val="4"/>
              </w:rPr>
            </w:pPr>
            <w:r>
              <w:rPr>
                <w:sz w:val="4"/>
                <w:szCs w:val="4"/>
              </w:rPr>
            </w:r>
          </w:p>
        </w:tc>
        <w:tc>
          <w:tcPr>
            <w:tcW w:w="7235" w:type="dxa"/>
            <w:gridSpan w:val="2"/>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before="0" w:after="283"/>
              <w:rPr/>
            </w:pPr>
            <w:r>
              <w:rPr/>
              <w:t>99.2</w:t>
            </w:r>
          </w:p>
        </w:tc>
        <w:tc>
          <w:tcPr>
            <w:tcW w:w="120" w:type="dxa"/>
            <w:tcBorders/>
            <w:shd w:fill="auto" w:val="clear"/>
            <w:vAlign w:val="center"/>
          </w:tcPr>
          <w:p>
            <w:pPr>
              <w:pStyle w:val="TableContents"/>
              <w:spacing w:before="0" w:after="283"/>
              <w:rPr/>
            </w:pPr>
            <w:r>
              <w:rPr/>
              <w:t>  </w:t>
            </w:r>
          </w:p>
        </w:tc>
        <w:tc>
          <w:tcPr>
            <w:tcW w:w="7115" w:type="dxa"/>
            <w:tcBorders/>
            <w:shd w:fill="auto" w:val="clear"/>
            <w:vAlign w:val="center"/>
          </w:tcPr>
          <w:p>
            <w:pPr>
              <w:pStyle w:val="TableContents"/>
              <w:spacing w:before="0" w:after="283"/>
              <w:rPr/>
            </w:pPr>
            <w:hyperlink w:anchor="d300730dex992.htm">
              <w:r>
                <w:rPr>
                  <w:rStyle w:val="InternetLink"/>
                </w:rPr>
                <w:t xml:space="preserve">Press release, dated March 1, 2022, with respect to the Centuri Separation. </w:t>
              </w:r>
            </w:hyperlink>
          </w:p>
        </w:tc>
      </w:tr>
      <w:tr>
        <w:trPr/>
        <w:tc>
          <w:tcPr>
            <w:tcW w:w="845" w:type="dxa"/>
            <w:tcBorders/>
            <w:shd w:fill="auto" w:val="clear"/>
            <w:vAlign w:val="center"/>
          </w:tcPr>
          <w:p>
            <w:pPr>
              <w:pStyle w:val="TableContents"/>
              <w:spacing w:before="0" w:after="283"/>
              <w:rPr>
                <w:sz w:val="4"/>
                <w:szCs w:val="4"/>
              </w:rPr>
            </w:pPr>
            <w:r>
              <w:rPr>
                <w:sz w:val="4"/>
                <w:szCs w:val="4"/>
              </w:rPr>
            </w:r>
          </w:p>
        </w:tc>
        <w:tc>
          <w:tcPr>
            <w:tcW w:w="7235" w:type="dxa"/>
            <w:gridSpan w:val="2"/>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7115" w:type="dxa"/>
            <w:tcBorders/>
            <w:shd w:fill="auto" w:val="clear"/>
            <w:vAlign w:val="center"/>
          </w:tcPr>
          <w:p>
            <w:pPr>
              <w:pStyle w:val="TableContents"/>
              <w:spacing w:before="0" w:after="283"/>
              <w:rPr/>
            </w:pPr>
            <w:r>
              <w:rPr/>
              <w:t>Cover Page formatted in Inline XBRL.</w:t>
            </w:r>
          </w:p>
        </w:tc>
      </w:tr>
    </w:tbl>
    <w:p>
      <w:pPr>
        <w:pStyle w:val="HorizontalLine"/>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jc w:val="left"/>
        <w:rPr/>
      </w:pPr>
      <w:r>
        <w:rPr/>
        <w:t> </w:t>
      </w:r>
    </w:p>
    <w:tbl>
      <w:tblPr>
        <w:tblW w:w="6566" w:type="dxa"/>
        <w:jc w:val="left"/>
        <w:tblInd w:w="0" w:type="dxa"/>
        <w:tblCellMar>
          <w:top w:w="0" w:type="dxa"/>
          <w:left w:w="0" w:type="dxa"/>
          <w:bottom w:w="0" w:type="dxa"/>
          <w:right w:w="0" w:type="dxa"/>
        </w:tblCellMar>
      </w:tblPr>
      <w:tblGrid>
        <w:gridCol w:w="2000"/>
        <w:gridCol w:w="60"/>
        <w:gridCol w:w="23"/>
        <w:gridCol w:w="60"/>
        <w:gridCol w:w="23"/>
        <w:gridCol w:w="60"/>
        <w:gridCol w:w="4340"/>
      </w:tblGrid>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340" w:type="dxa"/>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rPr/>
            </w:pPr>
            <w:r>
              <w:rPr/>
              <w:t>SOUTHWEST GAS HOLDINGS, INC.</w:t>
            </w:r>
          </w:p>
        </w:tc>
      </w:tr>
      <w:tr>
        <w:trPr/>
        <w:tc>
          <w:tcPr>
            <w:tcW w:w="200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400" w:type="dxa"/>
            <w:gridSpan w:val="2"/>
            <w:tcBorders/>
            <w:shd w:fill="auto" w:val="clear"/>
            <w:vAlign w:val="center"/>
          </w:tcPr>
          <w:p>
            <w:pPr>
              <w:pStyle w:val="TableContents"/>
              <w:spacing w:before="0" w:after="283"/>
              <w:rPr>
                <w:sz w:val="4"/>
                <w:szCs w:val="4"/>
              </w:rPr>
            </w:pPr>
            <w:r>
              <w:rPr>
                <w:sz w:val="4"/>
                <w:szCs w:val="4"/>
              </w:rPr>
            </w:r>
          </w:p>
        </w:tc>
      </w:tr>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Gregory J. Peterson</w:t>
            </w:r>
          </w:p>
        </w:tc>
      </w:tr>
      <w:tr>
        <w:trPr/>
        <w:tc>
          <w:tcPr>
            <w:tcW w:w="2000" w:type="dxa"/>
            <w:tcBorders/>
            <w:shd w:fill="auto" w:val="clear"/>
            <w:vAlign w:val="center"/>
          </w:tcPr>
          <w:p>
            <w:pPr>
              <w:pStyle w:val="TableContents"/>
              <w:spacing w:before="0" w:after="283"/>
              <w:rPr/>
            </w:pPr>
            <w:r>
              <w:rPr/>
              <w:t>Date: March 1, 2022</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jc w:val="center"/>
              <w:rPr/>
            </w:pPr>
            <w:r>
              <w:rPr/>
              <w:t>Gregory J. Peterson</w:t>
            </w:r>
          </w:p>
        </w:tc>
      </w:tr>
      <w:tr>
        <w:trPr/>
        <w:tc>
          <w:tcPr>
            <w:tcW w:w="20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4340" w:type="dxa"/>
            <w:tcBorders/>
            <w:shd w:fill="auto" w:val="clear"/>
            <w:vAlign w:val="center"/>
          </w:tcPr>
          <w:p>
            <w:pPr>
              <w:pStyle w:val="TableContents"/>
              <w:spacing w:before="0" w:after="283"/>
              <w:jc w:val="center"/>
              <w:rPr/>
            </w:pPr>
            <w:r>
              <w:rPr/>
              <w:t>Senior Vice President/Chief Financial Officer</w:t>
            </w:r>
          </w:p>
        </w:tc>
      </w:tr>
    </w:tbl>
    <w:p>
      <w:pPr>
        <w:pStyle w:val="TextBody"/>
        <w:spacing w:before="0" w:after="0"/>
        <w:jc w:val="right"/>
        <w:rPr>
          <w:rFonts w:ascii="Times New Roman" w:hAnsi="Times New Roman"/>
          <w:b/>
          <w:sz w:val="20"/>
        </w:rPr>
      </w:pPr>
      <w:r>
        <w:br w:type="page"/>
      </w:r>
      <w:bookmarkStart w:id="2" w:name="d300730dex991.htm"/>
      <w:bookmarkStart w:id="3" w:name="ksd300730dex991"/>
      <w:bookmarkEnd w:id="2"/>
      <w:bookmarkEnd w:id="3"/>
      <w:r>
        <w:rPr>
          <w:rFonts w:ascii="Times New Roman" w:hAnsi="Times New Roman"/>
          <w:b/>
          <w:sz w:val="20"/>
        </w:rPr>
        <w:t xml:space="preserve">Exhibit 99.1 </w:t>
      </w:r>
    </w:p>
    <w:p>
      <w:pPr>
        <w:pStyle w:val="TextBody"/>
        <w:spacing w:before="240" w:after="0"/>
        <w:jc w:val="center"/>
        <w:rPr>
          <w:rFonts w:ascii="Times New Roman" w:hAnsi="Times New Roman"/>
          <w:b/>
          <w:sz w:val="20"/>
        </w:rPr>
      </w:pPr>
      <w:r>
        <w:rPr>
          <w:rFonts w:ascii="Times New Roman" w:hAnsi="Times New Roman"/>
          <w:b/>
          <w:sz w:val="20"/>
        </w:rPr>
        <w:t xml:space="preserve">Southwest Gas Holdings, Inc. Announces 2021 Earnings </w:t>
      </w:r>
    </w:p>
    <w:p>
      <w:pPr>
        <w:pStyle w:val="TextBody"/>
        <w:spacing w:before="240" w:after="0"/>
        <w:jc w:val="center"/>
        <w:rPr>
          <w:rFonts w:ascii="Times New Roman" w:hAnsi="Times New Roman"/>
          <w:i/>
          <w:sz w:val="20"/>
        </w:rPr>
      </w:pPr>
      <w:r>
        <w:rPr>
          <w:rFonts w:ascii="Times New Roman" w:hAnsi="Times New Roman"/>
          <w:i/>
          <w:sz w:val="20"/>
        </w:rPr>
        <w:t xml:space="preserve">Operating Margin Increased $83 Million Versus Prior Year </w:t>
      </w:r>
    </w:p>
    <w:p>
      <w:pPr>
        <w:pStyle w:val="TextBody"/>
        <w:spacing w:before="240" w:after="0"/>
        <w:jc w:val="center"/>
        <w:rPr>
          <w:rFonts w:ascii="Times New Roman" w:hAnsi="Times New Roman"/>
          <w:i/>
          <w:sz w:val="20"/>
        </w:rPr>
      </w:pPr>
      <w:r>
        <w:rPr>
          <w:rFonts w:ascii="Times New Roman" w:hAnsi="Times New Roman"/>
          <w:i/>
          <w:sz w:val="20"/>
        </w:rPr>
        <w:t xml:space="preserve">Includes Combined Rate Relief Across Arizona, Nevada and California that Provided $61 Million of Incremental Operating Margin in 2021 </w:t>
      </w:r>
    </w:p>
    <w:p>
      <w:pPr>
        <w:pStyle w:val="TextBody"/>
        <w:spacing w:before="240" w:after="0"/>
        <w:jc w:val="center"/>
        <w:rPr>
          <w:rFonts w:ascii="Times New Roman" w:hAnsi="Times New Roman"/>
          <w:i/>
          <w:sz w:val="20"/>
        </w:rPr>
      </w:pPr>
      <w:r>
        <w:rPr>
          <w:rFonts w:ascii="Times New Roman" w:hAnsi="Times New Roman"/>
          <w:i/>
          <w:sz w:val="20"/>
        </w:rPr>
        <w:t xml:space="preserve">Integration of Accretive MountainWest Acquisition On Track </w:t>
      </w:r>
    </w:p>
    <w:p>
      <w:pPr>
        <w:pStyle w:val="TextBody"/>
        <w:spacing w:before="240" w:after="0"/>
        <w:jc w:val="center"/>
        <w:rPr>
          <w:rFonts w:ascii="Times New Roman" w:hAnsi="Times New Roman"/>
          <w:i/>
          <w:sz w:val="20"/>
        </w:rPr>
      </w:pPr>
      <w:r>
        <w:rPr>
          <w:rFonts w:ascii="Times New Roman" w:hAnsi="Times New Roman"/>
          <w:i/>
          <w:sz w:val="20"/>
        </w:rPr>
        <w:t xml:space="preserve">Centuri Delivers Record Revenues of $2.2 Billion </w:t>
      </w:r>
    </w:p>
    <w:p>
      <w:pPr>
        <w:pStyle w:val="TextBody"/>
        <w:spacing w:before="240" w:after="0"/>
        <w:jc w:val="center"/>
        <w:rPr>
          <w:rFonts w:ascii="Times New Roman" w:hAnsi="Times New Roman"/>
          <w:i/>
          <w:sz w:val="20"/>
        </w:rPr>
      </w:pPr>
      <w:r>
        <w:rPr>
          <w:rFonts w:ascii="Times New Roman" w:hAnsi="Times New Roman"/>
          <w:i/>
          <w:sz w:val="20"/>
        </w:rPr>
        <w:t xml:space="preserve">Announces Decision to Separate Centuri </w:t>
      </w:r>
    </w:p>
    <w:p>
      <w:pPr>
        <w:pStyle w:val="TextBody"/>
        <w:spacing w:before="240" w:after="0"/>
        <w:jc w:val="left"/>
        <w:rPr>
          <w:rFonts w:ascii="Times New Roman" w:hAnsi="Times New Roman"/>
          <w:sz w:val="20"/>
        </w:rPr>
      </w:pPr>
      <w:r>
        <w:rPr>
          <w:rFonts w:ascii="Times New Roman" w:hAnsi="Times New Roman"/>
          <w:sz w:val="20"/>
        </w:rPr>
        <w:t xml:space="preserve">LAS VEGAS, March 1, 2022  Southwest Gas Holdings, Inc. (NYSE: SWX) reported consolidated earnings of $3.39 per diluted share and adjusted consolidated earnings of $4.17 per diluted share for 2021, compared to consolidated and adjusted consolidated earnings of $4.14 per diluted share for 2020. Consolidated net income was $200.8 million and adjusted consolidated net income was $246.8 million for 2021, compared to adjusted consolidated net income of $232.3 million for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natural gas distribution segment had net income of $187.1 million and adjusted net income of $190.9 million in 2021, compared to net income and adjusted net income of $159.1 million in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utility infrastructure services segment had net income of $40.4 million and adjusted net income of $61.9 million in 2021, compared to net income and adjusted net income of $74.9 million in 2020. </w:t>
            </w:r>
          </w:p>
        </w:tc>
      </w:tr>
    </w:tbl>
    <w:p>
      <w:pPr>
        <w:pStyle w:val="TextBody"/>
        <w:spacing w:before="240" w:after="0"/>
        <w:jc w:val="left"/>
        <w:rPr>
          <w:rFonts w:ascii="Times New Roman" w:hAnsi="Times New Roman"/>
          <w:sz w:val="20"/>
        </w:rPr>
      </w:pPr>
      <w:r>
        <w:rPr>
          <w:rFonts w:ascii="Times New Roman" w:hAnsi="Times New Roman"/>
          <w:sz w:val="20"/>
        </w:rPr>
        <w:t xml:space="preserve">Transformational investments in 2021 positioned us to deliver sustained stockholder value and growth enterprise-wide, said John P. Hester, President and Chief Executive Officer. Our natural gas distribution segment, Southwest Gas, serving one of the fastest growing economic regions in the United States, added over 37,000 customers in 2021. Our strong, collaborative relationships with our state regulatory commissions contributed to near record growth in revenues and rate base in 2021, and we continue to grow Southwest Gas customers, rate base, EBITDA and net income. Our recent acquisition of MountainWest provides a complementary and compelling suite of high-return assets, with unique strength and stability, that are both commercially and geographically adjacent to our regulated utility operations. We are confident that we can continue to deliver significant value for stockholders and reliable, affordable and clean energy across our service territories. </w:t>
      </w:r>
    </w:p>
    <w:p>
      <w:pPr>
        <w:pStyle w:val="TextBody"/>
        <w:spacing w:before="240" w:after="0"/>
        <w:jc w:val="left"/>
        <w:rPr>
          <w:rFonts w:ascii="Times New Roman" w:hAnsi="Times New Roman"/>
          <w:sz w:val="20"/>
        </w:rPr>
      </w:pPr>
      <w:r>
        <w:rPr>
          <w:rFonts w:ascii="Times New Roman" w:hAnsi="Times New Roman"/>
          <w:sz w:val="20"/>
        </w:rPr>
        <w:t xml:space="preserve">We have grown Centuri into a leading, high-growth utility infrastructure services company that is uniquely positioned to benefit from the surge in infrastructure spending throughout the country, Mr. Hester continued. Our recent acquisition of Riggs Distler transforms Centuri by adding capabilities to support the 5G datacom buildout, offshore wind and other renewable energy transition programs. In October 2021, Riggs Distler was selected to work on a large-scale offshore wind energy project, the largest in New York to date, growing its portfolio of work in emerging clean energy technologies.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Across all of our businesses, we are actively working to support the energy transition. In addition to the many opportunities at Centuri, Southwest Gas is advancing its sustainability initiatives and ongoing low-carbon projects, while MountainWest has numerous attractive opportunities with renewable natural gas, responsibly sourced natural gas, hydrogen and CO2 transportation, said Mr. Hester. </w:t>
      </w:r>
    </w:p>
    <w:p>
      <w:pPr>
        <w:pStyle w:val="TextBody"/>
        <w:spacing w:before="240" w:after="0"/>
        <w:jc w:val="left"/>
        <w:rPr>
          <w:rFonts w:ascii="Times New Roman" w:hAnsi="Times New Roman"/>
          <w:sz w:val="20"/>
        </w:rPr>
      </w:pPr>
      <w:r>
        <w:rPr>
          <w:rFonts w:ascii="Times New Roman" w:hAnsi="Times New Roman"/>
          <w:sz w:val="20"/>
        </w:rPr>
        <w:t xml:space="preserve">During the fourth quarter of 2021, consolidated net income was $69.9 million, or $1.15 per diluted share, and adjusted consolidated net income was $98 million, or $1.61 per diluted share, compared to $103.5 million, or $1.82 per diluted share, for the fourth quarter of 2020. Quarterly results for 2021 included a $3 million, or $0.05 per share, increase in income from COLI investments, while the prior-year quarter included COLI-related income of $8.2 million, or $0.14 per share. </w:t>
      </w:r>
    </w:p>
    <w:p>
      <w:pPr>
        <w:pStyle w:val="TextBody"/>
        <w:spacing w:before="240" w:after="0"/>
        <w:jc w:val="center"/>
        <w:rPr>
          <w:rFonts w:ascii="Times New Roman" w:hAnsi="Times New Roman"/>
          <w:i/>
          <w:sz w:val="20"/>
          <w:u w:val="single"/>
        </w:rPr>
      </w:pPr>
      <w:r>
        <w:rPr>
          <w:rFonts w:ascii="Times New Roman" w:hAnsi="Times New Roman"/>
          <w:i/>
          <w:sz w:val="20"/>
          <w:u w:val="single"/>
        </w:rPr>
        <w:t xml:space="preserve">Natural Gas Distribution Segment Results </w:t>
      </w:r>
    </w:p>
    <w:p>
      <w:pPr>
        <w:pStyle w:val="TextBody"/>
        <w:spacing w:before="240" w:after="0"/>
        <w:jc w:val="left"/>
        <w:rPr>
          <w:rFonts w:ascii="Times New Roman" w:hAnsi="Times New Roman"/>
          <w:b/>
          <w:i/>
          <w:sz w:val="20"/>
        </w:rPr>
      </w:pPr>
      <w:r>
        <w:rPr>
          <w:rFonts w:ascii="Times New Roman" w:hAnsi="Times New Roman"/>
          <w:b/>
          <w:i/>
          <w:sz w:val="20"/>
        </w:rPr>
        <w:t xml:space="preserve">Full Year 2021 </w:t>
      </w:r>
    </w:p>
    <w:p>
      <w:pPr>
        <w:pStyle w:val="TextBody"/>
        <w:spacing w:before="120" w:after="0"/>
        <w:jc w:val="left"/>
        <w:rPr>
          <w:rFonts w:ascii="Times New Roman" w:hAnsi="Times New Roman"/>
          <w:sz w:val="20"/>
        </w:rPr>
      </w:pPr>
      <w:r>
        <w:rPr>
          <w:rFonts w:ascii="Times New Roman" w:hAnsi="Times New Roman"/>
          <w:sz w:val="20"/>
        </w:rPr>
        <w:t xml:space="preserve">Southwest Gas increased its operating margin $83 million year-over-year, including $13 million from continued customer growth, as 37,000 first-time meter sets were added in 2021, and $61 million of incremental operating margin from combined rate relief in 2021. Regulatory account recoveries benefitted operating margin in both periods, in addition to margin from customers outside of decoupling mechanisms. Southwest Gas also benefitted from increased collection of late fees due to the lifting of the pandemic-period moratorium on these fees. </w:t>
      </w:r>
    </w:p>
    <w:p>
      <w:pPr>
        <w:pStyle w:val="TextBody"/>
        <w:spacing w:before="240" w:after="0"/>
        <w:jc w:val="left"/>
        <w:rPr>
          <w:rFonts w:ascii="Times New Roman" w:hAnsi="Times New Roman"/>
          <w:sz w:val="20"/>
        </w:rPr>
      </w:pPr>
      <w:r>
        <w:rPr>
          <w:rFonts w:ascii="Times New Roman" w:hAnsi="Times New Roman"/>
          <w:sz w:val="20"/>
        </w:rPr>
        <w:t xml:space="preserve">Operations and maintenance expense increased $32 million, or 8%, year-over-year primarily due to higher legal-claim related costs including a $5 million legal reserve, higher levels of service-related pension costs ($6.9 million), collective increases in customer service-related and information technology costs, including staffing, training, and stabilization costs associated with a new customer information system implemented in May 2021 ($8.7 million) to improve the customer experience, expenditures for pipeline damage prevention programs ($5.5 million) to support our growing infrastructure and customer base, and higher reserves for customer accounts deemed uncollectible. </w:t>
      </w:r>
    </w:p>
    <w:p>
      <w:pPr>
        <w:pStyle w:val="TextBody"/>
        <w:spacing w:before="240" w:after="0"/>
        <w:jc w:val="left"/>
        <w:rPr>
          <w:rFonts w:ascii="Times New Roman" w:hAnsi="Times New Roman"/>
          <w:sz w:val="20"/>
        </w:rPr>
      </w:pPr>
      <w:r>
        <w:rPr>
          <w:rFonts w:ascii="Times New Roman" w:hAnsi="Times New Roman"/>
          <w:sz w:val="20"/>
        </w:rPr>
        <w:t xml:space="preserve">Depreciation and amortization expense increased $18 million, or 8%, year-over-year primarily due to a $559 million, or 7%, increase in average gas plant in service in 2021. The increase in gas plant was attributable to pipeline capacity reinforcement work, franchise requirements, scheduled pipe replacement activities, and new infrastructure, as well as a new customer information system noted above. Amortization related to regulatory account recoveries increased $3.5 million year-over-year, which is offset by an increase in operating margin noted above. Taxes other than income taxes increased $16.9 million, or 27%, year-over-year primarily due to an increase in property taxes in Arizona, and to a lesser extent, in Southwest Gas California and Nevada jurisdictions. </w:t>
      </w:r>
    </w:p>
    <w:p>
      <w:pPr>
        <w:pStyle w:val="TextBody"/>
        <w:spacing w:before="240" w:after="0"/>
        <w:jc w:val="left"/>
        <w:rPr>
          <w:rFonts w:ascii="Times New Roman" w:hAnsi="Times New Roman"/>
          <w:sz w:val="20"/>
        </w:rPr>
      </w:pPr>
      <w:r>
        <w:rPr>
          <w:rFonts w:ascii="Times New Roman" w:hAnsi="Times New Roman"/>
          <w:sz w:val="20"/>
        </w:rPr>
        <w:t xml:space="preserve">Other income increased $2 million year-over-year. Non-service-related components of employee pension and postretirement benefit cost in this category decreased $6 million year-over-year. The current year also includes a $1.1 million increase in interest income compared to the prior year. Offsetting these impacts were reductions ($4.7 million) in the equity portion of the allowance for funds used during construction (AFUDC) due to the impact short-term borrowings have on AFUDC. Both years experienced returns on Company Owned Life Insurance (COLI) policies that were significantly higher than expected ($8.8 million in 2021 and $9.2 million in 2020).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Net interest deductions decreased $3.6 million year-over-year, primarily due to the receivable position of the Purchased Gas Adjustment (PGA) mechanism balance in 2021, in addition to amortization of an interest-related regulatory balance in Arizona. These decreases were partially offset by the impacts of debt-related AFUDC in 2021. </w:t>
      </w:r>
    </w:p>
    <w:p>
      <w:pPr>
        <w:pStyle w:val="TextBody"/>
        <w:spacing w:before="240" w:after="0"/>
        <w:jc w:val="left"/>
        <w:rPr>
          <w:rFonts w:ascii="Times New Roman" w:hAnsi="Times New Roman"/>
          <w:sz w:val="20"/>
        </w:rPr>
      </w:pPr>
      <w:r>
        <w:rPr>
          <w:rFonts w:ascii="Times New Roman" w:hAnsi="Times New Roman"/>
          <w:sz w:val="20"/>
        </w:rPr>
        <w:t xml:space="preserve">The $6.4 million decrease in income tax expense in 2021 compared to 2020 primarily reflects changes in Arizona and California state apportionment percentages and additional amortization of excess accumulated deferred income taxes (EADIT). Both years reflect that COLI-related earnings are recognized without tax consequences. </w:t>
      </w:r>
    </w:p>
    <w:p>
      <w:pPr>
        <w:pStyle w:val="TextBody"/>
        <w:spacing w:before="360" w:after="0"/>
        <w:jc w:val="left"/>
        <w:rPr>
          <w:rFonts w:ascii="Times New Roman" w:hAnsi="Times New Roman"/>
          <w:b/>
          <w:i/>
          <w:sz w:val="20"/>
        </w:rPr>
      </w:pPr>
      <w:r>
        <w:rPr>
          <w:rFonts w:ascii="Times New Roman" w:hAnsi="Times New Roman"/>
          <w:b/>
          <w:i/>
          <w:sz w:val="20"/>
        </w:rPr>
        <w:t xml:space="preserve">Fourth Quarter </w:t>
      </w:r>
    </w:p>
    <w:p>
      <w:pPr>
        <w:pStyle w:val="TextBody"/>
        <w:spacing w:before="120" w:after="0"/>
        <w:jc w:val="left"/>
        <w:rPr>
          <w:rFonts w:ascii="Times New Roman" w:hAnsi="Times New Roman"/>
          <w:sz w:val="20"/>
        </w:rPr>
      </w:pPr>
      <w:r>
        <w:rPr>
          <w:rFonts w:ascii="Times New Roman" w:hAnsi="Times New Roman"/>
          <w:sz w:val="20"/>
        </w:rPr>
        <w:t xml:space="preserve">Natural gas distribution segment net income increased to $84.6 million for the fourth quarter of 2021 compared to $79.6 million for the fourth quarter of 2020. Results reflect a COLI cash surrender value increase of $3 million in the fourth quarter of 2021, compared to an increase of $8.2 million in the fourth quarter of 2020. </w:t>
      </w:r>
    </w:p>
    <w:p>
      <w:pPr>
        <w:pStyle w:val="TextBody"/>
        <w:spacing w:before="240" w:after="0"/>
        <w:jc w:val="left"/>
        <w:rPr>
          <w:rFonts w:ascii="Times New Roman" w:hAnsi="Times New Roman"/>
          <w:sz w:val="20"/>
        </w:rPr>
      </w:pPr>
      <w:r>
        <w:rPr>
          <w:rFonts w:ascii="Times New Roman" w:hAnsi="Times New Roman"/>
          <w:sz w:val="20"/>
        </w:rPr>
        <w:t xml:space="preserve">Southwest Gas increased its operating margin $20 million quarter-over-quarter. Approximately $3 million of incremental margin was attributable to customer growth from 37,000 first-time meter sets during the last twelve months, while combined rate relief added approximately $15 million of margin. The Company also benefitted from enhanced regulatory account recoveries, margin from customers outside of decoupling mechanisms, and late fees due to the lifting of the pandemic-period moratorium on such fees. </w:t>
      </w:r>
    </w:p>
    <w:p>
      <w:pPr>
        <w:pStyle w:val="TextBody"/>
        <w:spacing w:before="240" w:after="0"/>
        <w:jc w:val="left"/>
        <w:rPr>
          <w:rFonts w:ascii="Times New Roman" w:hAnsi="Times New Roman"/>
          <w:sz w:val="20"/>
        </w:rPr>
      </w:pPr>
      <w:r>
        <w:rPr>
          <w:rFonts w:ascii="Times New Roman" w:hAnsi="Times New Roman"/>
          <w:sz w:val="20"/>
        </w:rPr>
        <w:t xml:space="preserve">Operations and maintenance expense increased $7 million between comparative fourth quarters primarily due to higher levels of service-related pension costs ($1.7 million), increased customer-related and information technology costs ($5.1 million), and expenditures for pipeline damage prevention programs associated with a growing infrastructure and customer base. Depreciation and amortization expense increased $4.3 million quarter-over-quarter primarily due to an increase in average gas plant in service since the corresponding quarter a year ago. </w:t>
      </w:r>
    </w:p>
    <w:p>
      <w:pPr>
        <w:pStyle w:val="TextBody"/>
        <w:spacing w:before="240" w:after="0"/>
        <w:jc w:val="left"/>
        <w:rPr>
          <w:rFonts w:ascii="Times New Roman" w:hAnsi="Times New Roman"/>
          <w:sz w:val="20"/>
        </w:rPr>
      </w:pPr>
      <w:r>
        <w:rPr>
          <w:rFonts w:ascii="Times New Roman" w:hAnsi="Times New Roman"/>
          <w:sz w:val="20"/>
        </w:rPr>
        <w:t xml:space="preserve">Other income decreased $4 million quarter-over-quarter primarily due to a decline in the level of income associated with COLI policies. The current quarter reflects a $3 million increase in COLI policy cash surrender values, while the prior-year quarter reflected an $8.2 million increase. Amounts associated with AFUDC decreased $1.3 million in the current period. Offsetting these combined impacts is a $1.5 million decrease in non-service-related components of employee pension and other postretirement benefit costs between quarters. </w:t>
      </w:r>
    </w:p>
    <w:p>
      <w:pPr>
        <w:pStyle w:val="TextBody"/>
        <w:spacing w:before="240" w:after="0"/>
        <w:jc w:val="center"/>
        <w:rPr>
          <w:rFonts w:ascii="Times New Roman" w:hAnsi="Times New Roman"/>
          <w:i/>
          <w:sz w:val="20"/>
          <w:u w:val="single"/>
        </w:rPr>
      </w:pPr>
      <w:r>
        <w:rPr>
          <w:rFonts w:ascii="Times New Roman" w:hAnsi="Times New Roman"/>
          <w:i/>
          <w:sz w:val="20"/>
          <w:u w:val="single"/>
        </w:rPr>
        <w:t xml:space="preserve">Utility Infrastructure Services Segment Results </w:t>
      </w:r>
    </w:p>
    <w:p>
      <w:pPr>
        <w:pStyle w:val="TextBody"/>
        <w:spacing w:before="240" w:after="0"/>
        <w:jc w:val="left"/>
        <w:rPr>
          <w:rFonts w:ascii="Times New Roman" w:hAnsi="Times New Roman"/>
          <w:b/>
          <w:i/>
          <w:sz w:val="20"/>
        </w:rPr>
      </w:pPr>
      <w:r>
        <w:rPr>
          <w:rFonts w:ascii="Times New Roman" w:hAnsi="Times New Roman"/>
          <w:b/>
          <w:i/>
          <w:sz w:val="20"/>
        </w:rPr>
        <w:t xml:space="preserve">Full Year 2021 </w:t>
      </w:r>
    </w:p>
    <w:p>
      <w:pPr>
        <w:pStyle w:val="TextBody"/>
        <w:spacing w:before="120" w:after="0"/>
        <w:jc w:val="left"/>
        <w:rPr>
          <w:rFonts w:ascii="Times New Roman" w:hAnsi="Times New Roman"/>
          <w:sz w:val="20"/>
        </w:rPr>
      </w:pPr>
      <w:r>
        <w:rPr>
          <w:rFonts w:ascii="Times New Roman" w:hAnsi="Times New Roman"/>
          <w:sz w:val="20"/>
        </w:rPr>
        <w:t xml:space="preserve">Revenues increased $210.4 million, or 11%, including $163.8 million recorded by Riggs Distler subsequent to its acquisition on August 27, 2021. Revenues from electric infrastructure services increased $113.4 million in 2021 when compared to the prior year, of which $108 million was recorded by Riggs Distler. Included in the incremental electric infrastructure services revenues overall during 2021 was $65.3 million from emergency restoration services performed by Linetec and Riggs Distler following hurricane, tornado, and other storm damage to customers above-ground utility infrastructure in and around the Gulf Coast and eastern regions of the U.S., compared to $81.5 million in the prior year. The current year also includes approximately $118 million in incremental revenues, including $20 million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recorded by Riggs Distler, from continued growth with gas infrastructure services customers under master service and bid agreements, partially offset by reduced work with two significant customers during 2021 (totaling $76.9 million), due to the mix of projects under each customers multi-year capital spending programs. </w:t>
      </w:r>
    </w:p>
    <w:p>
      <w:pPr>
        <w:pStyle w:val="TextBody"/>
        <w:spacing w:before="240" w:after="0"/>
        <w:jc w:val="left"/>
        <w:rPr>
          <w:rFonts w:ascii="Times New Roman" w:hAnsi="Times New Roman"/>
          <w:sz w:val="20"/>
        </w:rPr>
      </w:pPr>
      <w:r>
        <w:rPr>
          <w:rFonts w:ascii="Times New Roman" w:hAnsi="Times New Roman"/>
          <w:sz w:val="20"/>
        </w:rPr>
        <w:t xml:space="preserve">Utility infrastructure services expenses increased $226 million (including $14 million of professional fees related to the acquisition of Riggs Distler), or 13%, between 2021 and 2020. The increase overall includes $144.9 million incurred by Riggs Distler subsequent to the acquisition, as well as incremental costs related to electric infrastructure services work and costs necessary for the completion of additional gas infrastructure work. Higher fuel costs, equipment rental expense, and subcontractor expenses were also incurred due to the mix of work and in support of growth in our electric infrastructure business. Expenses in relation to revenues, and therefore, profit margins, can be impacted by inefficiencies from equipment and facility utilization and under-absorption of other fixed costs, which occurred due to the reduced work from the two large customers noted above. Also included in total Utility infrastructure services expenses were general and administrative costs, which increased approximately $22.6 million year-over-year, including $14 million of acquisition-related professional fees previously noted and $9.3 million of general and administrative costs incurred by Riggs Distler subsequent to the acquisition. Other administrative costs increased due to the growth in the business, but were offset by lower incentive compensation expense in 2021 as compared to 2020. Gains on sale of equipment (reflected as an offset to Utility infrastructure services expenses) were approximately $6.9 million and $1.8 million in 2021 and 2020, respectively. </w:t>
      </w:r>
    </w:p>
    <w:p>
      <w:pPr>
        <w:pStyle w:val="TextBody"/>
        <w:spacing w:before="240" w:after="0"/>
        <w:jc w:val="left"/>
        <w:rPr>
          <w:rFonts w:ascii="Times New Roman" w:hAnsi="Times New Roman"/>
          <w:sz w:val="20"/>
        </w:rPr>
      </w:pPr>
      <w:r>
        <w:rPr>
          <w:rFonts w:ascii="Times New Roman" w:hAnsi="Times New Roman"/>
          <w:sz w:val="20"/>
        </w:rPr>
        <w:t xml:space="preserve">Depreciation and amortization expense increased $20.9 million between 2021 and 2020, of which $16.8 million was recorded by Riggs Distler subsequent to the acquisition. The remaining increase was attributable to equipment and computer systems purchased to support the growing volume of infrastructure work. Depreciation expense, relative to the revenues recorded, was generally consistent during 2021 compared to 2020. </w:t>
      </w:r>
    </w:p>
    <w:p>
      <w:pPr>
        <w:pStyle w:val="TextBody"/>
        <w:spacing w:before="240" w:after="0"/>
        <w:jc w:val="left"/>
        <w:rPr>
          <w:rFonts w:ascii="Times New Roman" w:hAnsi="Times New Roman"/>
          <w:sz w:val="20"/>
        </w:rPr>
      </w:pPr>
      <w:r>
        <w:rPr>
          <w:rFonts w:ascii="Times New Roman" w:hAnsi="Times New Roman"/>
          <w:sz w:val="20"/>
        </w:rPr>
        <w:t xml:space="preserve">Other income increased $1.3 million in 2021 attributable to proceeds from life insurance policies of $1.8 million, partially offset by $700,000 of unamortized loan fees that were expensed in connection with Centuris debt refinancing. </w:t>
      </w:r>
    </w:p>
    <w:p>
      <w:pPr>
        <w:pStyle w:val="TextBody"/>
        <w:spacing w:before="240" w:after="0"/>
        <w:jc w:val="left"/>
        <w:rPr>
          <w:rFonts w:ascii="Times New Roman" w:hAnsi="Times New Roman"/>
          <w:sz w:val="20"/>
        </w:rPr>
      </w:pPr>
      <w:r>
        <w:rPr>
          <w:rFonts w:ascii="Times New Roman" w:hAnsi="Times New Roman"/>
          <w:sz w:val="20"/>
        </w:rPr>
        <w:t xml:space="preserve">The increase in net interest deductions of $11.7 million is primarily due to incremental interest related to outstanding borrowings under Centuris $1.545 billion amended and restated secured revolving credit and term loan facility in conjunction with the acquisition of Riggs Distler. </w:t>
      </w:r>
    </w:p>
    <w:p>
      <w:pPr>
        <w:pStyle w:val="TextBody"/>
        <w:spacing w:before="240" w:after="0"/>
        <w:jc w:val="left"/>
        <w:rPr>
          <w:rFonts w:ascii="Times New Roman" w:hAnsi="Times New Roman"/>
          <w:sz w:val="20"/>
        </w:rPr>
      </w:pPr>
      <w:r>
        <w:rPr>
          <w:rFonts w:ascii="Times New Roman" w:hAnsi="Times New Roman"/>
          <w:sz w:val="20"/>
        </w:rPr>
        <w:t xml:space="preserve">Income tax expense decreased $12.4 million between 2021 and 2020, primarily due to reduced pre-tax income in 2021. Certain costs related to the Riggs Distler acquisition were non-deductible for U.S. federal income tax purposes, which impacted the recorded income tax expense during 2021. </w:t>
      </w:r>
    </w:p>
    <w:p>
      <w:pPr>
        <w:pStyle w:val="TextBody"/>
        <w:spacing w:before="360" w:after="0"/>
        <w:jc w:val="left"/>
        <w:rPr>
          <w:rFonts w:ascii="Times New Roman" w:hAnsi="Times New Roman"/>
          <w:b/>
          <w:i/>
          <w:sz w:val="20"/>
        </w:rPr>
      </w:pPr>
      <w:r>
        <w:rPr>
          <w:rFonts w:ascii="Times New Roman" w:hAnsi="Times New Roman"/>
          <w:b/>
          <w:i/>
          <w:sz w:val="20"/>
        </w:rPr>
        <w:t xml:space="preserve">Fourth Quarter </w:t>
      </w:r>
    </w:p>
    <w:p>
      <w:pPr>
        <w:pStyle w:val="TextBody"/>
        <w:spacing w:before="120" w:after="0"/>
        <w:jc w:val="left"/>
        <w:rPr>
          <w:rFonts w:ascii="Times New Roman" w:hAnsi="Times New Roman"/>
          <w:sz w:val="20"/>
        </w:rPr>
      </w:pPr>
      <w:r>
        <w:rPr>
          <w:rFonts w:ascii="Times New Roman" w:hAnsi="Times New Roman"/>
          <w:sz w:val="20"/>
        </w:rPr>
        <w:t xml:space="preserve">Utility infrastructure services segment net income was $7.6 million for the fourth quarter of 2021 and $23.9 million for the fourth quarter of 2020.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Utility infrastructure revenues increased $94 million in the fourth quarter of 2021 when compared to the prior-year quarter, including $114.3 million from Riggs Distler. The fourth quarter of 2021 included $7.4 million from emergency restoration services performed by Linetec and Riggs Distler; however, the same quarter of 2020 included $25.6 million in similar services performed by Linetec. </w:t>
      </w:r>
    </w:p>
    <w:p>
      <w:pPr>
        <w:pStyle w:val="TextBody"/>
        <w:spacing w:before="240" w:after="0"/>
        <w:jc w:val="left"/>
        <w:rPr>
          <w:rFonts w:ascii="Times New Roman" w:hAnsi="Times New Roman"/>
          <w:sz w:val="20"/>
        </w:rPr>
      </w:pPr>
      <w:r>
        <w:rPr>
          <w:rFonts w:ascii="Times New Roman" w:hAnsi="Times New Roman"/>
          <w:sz w:val="20"/>
        </w:rPr>
        <w:t xml:space="preserve">Utility infrastructure services expenses increased $97 million compared to the prior-year quarter, and also included $102.4 million in expenses recorded by Riggs Distler subsequent to the acquisition. Higher fuel costs and equipment rental expense are reflected in expenses due to the mix of work completed and in support of growth in our infrastructure business. Expenses for other types of work were lower in the fourth quarter of 2020 due to a reduction in the amount of work being performed. </w:t>
      </w:r>
    </w:p>
    <w:p>
      <w:pPr>
        <w:pStyle w:val="TextBody"/>
        <w:spacing w:before="240" w:after="0"/>
        <w:jc w:val="left"/>
        <w:rPr>
          <w:rFonts w:ascii="Times New Roman" w:hAnsi="Times New Roman"/>
          <w:sz w:val="20"/>
        </w:rPr>
      </w:pPr>
      <w:r>
        <w:rPr>
          <w:rFonts w:ascii="Times New Roman" w:hAnsi="Times New Roman"/>
          <w:sz w:val="20"/>
        </w:rPr>
        <w:t xml:space="preserve">Depreciation and amortization increased $12.1 million compared to the prior-year quarter primarily attributable to expense recorded by Riggs Distler. Net interest deductions increased $9.4 million due to incremental borrowings associated with the Riggs Distler acquisition. Income tax expense declined $8.0 million due to lower pre-tax income. </w:t>
      </w:r>
    </w:p>
    <w:p>
      <w:pPr>
        <w:pStyle w:val="TextBody"/>
        <w:spacing w:before="360" w:after="0"/>
        <w:jc w:val="left"/>
        <w:rPr>
          <w:rFonts w:ascii="Times New Roman" w:hAnsi="Times New Roman"/>
          <w:b/>
          <w:sz w:val="20"/>
        </w:rPr>
      </w:pPr>
      <w:r>
        <w:rPr>
          <w:rFonts w:ascii="Times New Roman" w:hAnsi="Times New Roman"/>
          <w:b/>
          <w:sz w:val="20"/>
        </w:rPr>
        <w:t xml:space="preserve">Conference Call and Webcast </w:t>
      </w:r>
    </w:p>
    <w:p>
      <w:pPr>
        <w:pStyle w:val="TextBody"/>
        <w:spacing w:before="120" w:after="0"/>
        <w:jc w:val="left"/>
        <w:rPr>
          <w:rFonts w:ascii="Times New Roman" w:hAnsi="Times New Roman"/>
          <w:sz w:val="20"/>
        </w:rPr>
      </w:pPr>
      <w:r>
        <w:rPr>
          <w:rFonts w:ascii="Times New Roman" w:hAnsi="Times New Roman"/>
          <w:sz w:val="20"/>
        </w:rPr>
        <w:t xml:space="preserve">Southwest Gas will host a conference call on Wednesday, March 2, 2022, at 1 p.m. ET to discuss its fourth quarter and full year 2021 results. The associated press releases and presentation slides are available at </w:t>
      </w:r>
      <w:r>
        <w:rPr>
          <w:rFonts w:ascii="Times New Roman" w:hAnsi="Times New Roman"/>
          <w:sz w:val="20"/>
          <w:u w:val="single"/>
        </w:rPr>
        <w:t>https://investors.swgasholdings.com/investor-overview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call will be webcast live on the Companys website at </w:t>
      </w:r>
      <w:r>
        <w:rPr>
          <w:rFonts w:ascii="Times New Roman" w:hAnsi="Times New Roman"/>
          <w:sz w:val="20"/>
          <w:u w:val="single"/>
        </w:rPr>
        <w:t>www.swgasholdings.com</w:t>
      </w:r>
      <w:r>
        <w:rPr>
          <w:rFonts w:ascii="Times New Roman" w:hAnsi="Times New Roman"/>
          <w:sz w:val="20"/>
        </w:rPr>
        <w:t xml:space="preserve">. The telephone dial-in numbers in the U.S. and Canada are toll free: (877) 419-3678 or international: (614) 610-1910. The conference ID is 7668616. The webcast will be archived on the Southwest Gas website. </w:t>
      </w:r>
    </w:p>
    <w:p>
      <w:pPr>
        <w:pStyle w:val="TextBody"/>
        <w:spacing w:before="360" w:after="0"/>
        <w:jc w:val="left"/>
        <w:rPr>
          <w:rFonts w:ascii="Times New Roman" w:hAnsi="Times New Roman"/>
          <w:b/>
          <w:sz w:val="20"/>
        </w:rPr>
      </w:pPr>
      <w:r>
        <w:rPr>
          <w:rFonts w:ascii="Times New Roman" w:hAnsi="Times New Roman"/>
          <w:b/>
          <w:sz w:val="20"/>
        </w:rPr>
        <w:t xml:space="preserve">Outlook for 2022 </w:t>
      </w:r>
    </w:p>
    <w:p>
      <w:pPr>
        <w:pStyle w:val="TextBody"/>
        <w:spacing w:before="120" w:after="0"/>
        <w:jc w:val="left"/>
        <w:rPr>
          <w:rFonts w:ascii="Times New Roman" w:hAnsi="Times New Roman"/>
          <w:sz w:val="20"/>
        </w:rPr>
      </w:pPr>
      <w:r>
        <w:rPr>
          <w:rFonts w:ascii="Times New Roman" w:hAnsi="Times New Roman"/>
          <w:sz w:val="20"/>
        </w:rPr>
        <w:t xml:space="preserve">On March 1, 2022, the Company announced that its Board of Directors has unanimously decided to separate Centuri from the Company. The separation is expected to occur within the next 9 to 12 months. The separation will be effected with the goal of maximizing value for Southwest Gas stockholders. Details of the separation, including structure, will be publicly disclosed following the Companys finalization of its separation plans. </w:t>
      </w:r>
    </w:p>
    <w:p>
      <w:pPr>
        <w:pStyle w:val="TextBody"/>
        <w:spacing w:before="240" w:after="0"/>
        <w:jc w:val="left"/>
        <w:rPr>
          <w:rFonts w:ascii="Times New Roman" w:hAnsi="Times New Roman"/>
          <w:sz w:val="20"/>
        </w:rPr>
      </w:pPr>
      <w:r>
        <w:rPr>
          <w:rFonts w:ascii="Times New Roman" w:hAnsi="Times New Roman"/>
          <w:sz w:val="20"/>
        </w:rPr>
        <w:t xml:space="preserve">In connection with the decision to separate Centuri, and the uncertainty of associated costs and timing, management is not providing EPS guidance at this time and is replacing its prior guidance with the following expectations for 2022: </w:t>
      </w:r>
    </w:p>
    <w:p>
      <w:pPr>
        <w:pStyle w:val="TextBody"/>
        <w:spacing w:before="360" w:after="0"/>
        <w:jc w:val="left"/>
        <w:rPr>
          <w:rFonts w:ascii="Times New Roman" w:hAnsi="Times New Roman"/>
          <w:i/>
          <w:sz w:val="20"/>
        </w:rPr>
      </w:pPr>
      <w:r>
        <w:rPr>
          <w:rFonts w:ascii="Times New Roman" w:hAnsi="Times New Roman"/>
          <w:i/>
          <w:sz w:val="20"/>
        </w:rPr>
        <w:t xml:space="preserve">Natural Gas Distribution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income of $200 million to $210 million, which includes COLI earnings of $3 million to $5 million.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Capital expenditures of $650 million to $700 million, in support of customer growth, system improvements, and pipe replacement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Five-year utility rate base compound annual growth rate of 7% (2022  2026).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MountainWest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2022 revenue of $240 million to $245 million.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Run rate EBITDA margin of 68% to 72% (excluding non-recurring integration costs).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Accretive to earnings in 2022 on a run rate basis. </w:t>
            </w:r>
          </w:p>
        </w:tc>
      </w:tr>
    </w:tbl>
    <w:p>
      <w:pPr>
        <w:pStyle w:val="TextBody"/>
        <w:spacing w:before="360" w:after="0"/>
        <w:jc w:val="left"/>
        <w:rPr>
          <w:rFonts w:ascii="Times New Roman" w:hAnsi="Times New Roman"/>
          <w:i/>
          <w:sz w:val="20"/>
        </w:rPr>
      </w:pPr>
      <w:r>
        <w:rPr>
          <w:rFonts w:ascii="Times New Roman" w:hAnsi="Times New Roman"/>
          <w:i/>
          <w:sz w:val="20"/>
        </w:rPr>
        <w:t xml:space="preserve">Utility Infrastructure Services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Revenues for 2022 are expected to be $2.65 billion to $2.80 billion.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Normalized EBITDA margin of 11% to 12% (excluding non-recurring separation costs). </w:t>
            </w:r>
          </w:p>
        </w:tc>
      </w:tr>
    </w:tbl>
    <w:p>
      <w:pPr>
        <w:pStyle w:val="TextBody"/>
        <w:spacing w:before="240" w:after="0"/>
        <w:jc w:val="left"/>
        <w:rPr>
          <w:rFonts w:ascii="Times New Roman" w:hAnsi="Times New Roman"/>
          <w:sz w:val="20"/>
        </w:rPr>
      </w:pPr>
      <w:r>
        <w:rPr>
          <w:rFonts w:ascii="Times New Roman" w:hAnsi="Times New Roman"/>
          <w:sz w:val="20"/>
        </w:rPr>
        <w:t xml:space="preserve">Southwest Gas Holdings currently has three business segments: </w:t>
      </w:r>
    </w:p>
    <w:p>
      <w:pPr>
        <w:pStyle w:val="TextBody"/>
        <w:spacing w:before="240" w:after="0"/>
        <w:jc w:val="left"/>
        <w:rPr>
          <w:rFonts w:ascii="Times New Roman" w:hAnsi="Times New Roman"/>
          <w:sz w:val="20"/>
        </w:rPr>
      </w:pPr>
      <w:r>
        <w:rPr>
          <w:rFonts w:ascii="Times New Roman" w:hAnsi="Times New Roman"/>
          <w:sz w:val="20"/>
        </w:rPr>
        <w:t xml:space="preserve">Southwest Gas Corporation provides safe and reliable natural gas service to over 2 million customers in Arizona, Nevada, and California. </w:t>
      </w:r>
    </w:p>
    <w:p>
      <w:pPr>
        <w:pStyle w:val="TextBody"/>
        <w:spacing w:before="240" w:after="0"/>
        <w:jc w:val="left"/>
        <w:rPr>
          <w:rFonts w:ascii="Times New Roman" w:hAnsi="Times New Roman"/>
          <w:sz w:val="20"/>
        </w:rPr>
      </w:pPr>
      <w:r>
        <w:rPr>
          <w:rFonts w:ascii="Times New Roman" w:hAnsi="Times New Roman"/>
          <w:sz w:val="20"/>
        </w:rPr>
        <w:t xml:space="preserve">MountainWest operates over 2,000 miles of highly contracted, FERC-regulated interstate natural gas pipeline providing transportation and underground storage services in the Rocky Mountain region. </w:t>
      </w:r>
    </w:p>
    <w:p>
      <w:pPr>
        <w:pStyle w:val="TextBody"/>
        <w:spacing w:before="240" w:after="0"/>
        <w:jc w:val="left"/>
        <w:rPr>
          <w:rFonts w:ascii="Times New Roman" w:hAnsi="Times New Roman"/>
          <w:sz w:val="20"/>
        </w:rPr>
      </w:pPr>
      <w:r>
        <w:rPr>
          <w:rFonts w:ascii="Times New Roman" w:hAnsi="Times New Roman"/>
          <w:sz w:val="20"/>
        </w:rPr>
        <w:t xml:space="preserve">Centuri Group, Inc. is a strategic infrastructure services company that partners with regulated utilities to build and maintain the energy network that powers millions of homes and businesses across the United States and Canada. </w:t>
      </w:r>
    </w:p>
    <w:p>
      <w:pPr>
        <w:pStyle w:val="TextBody"/>
        <w:spacing w:before="360" w:after="0"/>
        <w:jc w:val="left"/>
        <w:rPr>
          <w:rFonts w:ascii="Times New Roman" w:hAnsi="Times New Roman"/>
          <w:sz w:val="20"/>
        </w:rPr>
      </w:pPr>
      <w:r>
        <w:rPr>
          <w:rFonts w:ascii="Times New Roman" w:hAnsi="Times New Roman"/>
          <w:b/>
          <w:i/>
          <w:sz w:val="20"/>
        </w:rPr>
        <w:t>Forward-Looking Statements:</w:t>
      </w:r>
      <w:r>
        <w:rPr>
          <w:rFonts w:ascii="Times New Roman" w:hAnsi="Times New Roman"/>
          <w:sz w:val="20"/>
        </w:rPr>
        <w:t xml:space="preserve"> </w:t>
      </w:r>
      <w:r>
        <w:rPr>
          <w:rFonts w:ascii="Times New Roman" w:hAnsi="Times New Roman"/>
          <w:i/>
          <w:sz w:val="20"/>
        </w:rPr>
        <w:t xml:space="preserve">This press release contains forward-looking statements within the meaning of the U.S. Private Securities Litigation Reform Act of 1995, Section 27A of the Securities Act of 1933, as amended, and Section 21E of the Securities Exchange Act of 1934, as amended. Such statements include, without limitation, statements regarding Southwest Gas Holdings, Inc. (the Company) and the Companys expectations or intentions regarding the future. These forward-looking statements can often be identified by the use of words such as will, predict, continue, forecast, expect, believe, anticipate, outlook, could, target, project, intend, plan, seek, estimate, should, may and assume, as well as variations of such words and similar expressions referring to the future, and include (without limitation) statements regarding expectations of continuing growth in 2022. In addition, the statements under the heading Outlook for 2022 that are not historic, constitute forward-looking statements. A number of important factors affecting the business and financial results of the Company could cause actual results to differ materially from those stated in the forward-looking statements. These factors include, but are not limited to, the timing and amount of rate relief, changes in rate design, customer growth rates, the effects of regulation/deregulation, tax reform and related regulatory decisions, the impacts of construction activity at Centuri, whether we will separate Centuri within the anticipated timeframe and the impact to our results of operations and financial position from the separation, the potential for, and the impact of, a credit rating downgrade, the costs to integrate MountainWest, future earnings trends, inflation, sufficiency of labor markets and similar resources, seasonal patterns, the cost and management attention of ongoing litigation that the Company is currently engaged in, the effects of the pending tender offer and proxy contest brought by Carl Icahn and his affiliates, and the impacts of stock market volatility. In addition, the Company can provide no assurance that its discussions about future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operating margin, operating income, COLI earnings, interest expense, and capital expenditures of the natural gas distribution segment will occur. Likewise, the Company can provide no assurance that discussions regarding utility infrastructure services segment revenues, EBITDA as a percentage of revenue, and interest expense will transpire, nor assurance regarding acquisitions or their impacts, including managements plans or expectations related thereto, including with regard to Riggs Distler or MountainWest. Factors that could cause actual results to differ also include (without limitation) those discussed under the heading Risk Factors in Southwest Gas Holdings, Inc.s most recent Annual Report on Form 10-K and in the Companys and Southwest Gas Corporations current and periodic reports, including our Quarterly Reports on Form 10-Q, filed from time to time with the SEC. The statements in this press release are made as of the date of this press release, even if subsequently made available by the Company on its Web site or otherwise. The Company does not assume any obligation to update the forward-looking statements, whether written or oral, that may be made from time to time, whether as a result of new information, future developments, or otherwise. </w:t>
      </w:r>
    </w:p>
    <w:p>
      <w:pPr>
        <w:pStyle w:val="TextBody"/>
        <w:spacing w:before="120" w:after="0"/>
        <w:jc w:val="left"/>
        <w:rPr>
          <w:rFonts w:ascii="Times New Roman" w:hAnsi="Times New Roman"/>
          <w:sz w:val="20"/>
        </w:rPr>
      </w:pPr>
      <w:r>
        <w:rPr>
          <w:rFonts w:ascii="Times New Roman" w:hAnsi="Times New Roman"/>
          <w:b/>
          <w:i/>
          <w:sz w:val="20"/>
        </w:rPr>
        <w:t>Non-GAAP Measures.</w:t>
      </w:r>
      <w:r>
        <w:rPr>
          <w:rFonts w:ascii="Times New Roman" w:hAnsi="Times New Roman"/>
          <w:sz w:val="20"/>
        </w:rPr>
        <w:t xml:space="preserve"> </w:t>
      </w:r>
      <w:r>
        <w:rPr>
          <w:rFonts w:ascii="Times New Roman" w:hAnsi="Times New Roman"/>
          <w:i/>
          <w:sz w:val="20"/>
        </w:rPr>
        <w:t xml:space="preserve">This earnings release contains financial measures that have not been calculated in accordance with accounting principles generally accepted in the U.S. (GAAP). These non-GAAP measures include (i) adjusted consolidated earnings per diluted share, (ii) adjusted consolidated net income, (iii) natural gas distribution segment adjusted net income, (iv) utility infrastructure services segment adjusted net income, and (v) corporate and administrative adjusted net loss. Management uses these non-GAAP measures internally to evaluate performance and in making financial and operational decisions. Management believes that its presentation of these measures provides investors greater transparency with respect to its results of operations and that these measures are useful for a period-to-period comparison of results. Management also believes that providing these non-GAAP financial measures helps investors evaluate the Companys operating performance, profitability, and business trends in a way that is consistent with how management evaluates such performance. Adjusted consolidated net income for the three months and year ended December 31, 2021 includes adjustments to add back expenses related to the MountainWest acquisition and expenses related to the ongoing proxy contest and related stockholder litigation. Management believes that it is appropriate to adjust for expenses related to the MountainWest acquisition because they are one-time expenses that will not recur in future periods. Management believes it is appropriate to adjust for expenses related to the proxy contest and related stockholder litigation because of these matters are unique and outside of the ordinary course of business for the Company. In addition, utility infrastructure adjusted net income and adjusted consolidated net income include adjustments associated with acquisition-related costs and partial-year net loss related to the Riggs Distler acquisition. </w:t>
      </w:r>
    </w:p>
    <w:p>
      <w:pPr>
        <w:pStyle w:val="TextBody"/>
        <w:spacing w:before="360" w:after="0"/>
        <w:jc w:val="left"/>
        <w:rPr>
          <w:rFonts w:ascii="Times New Roman" w:hAnsi="Times New Roman"/>
          <w:i/>
          <w:sz w:val="20"/>
        </w:rPr>
      </w:pPr>
      <w:r>
        <w:rPr>
          <w:rFonts w:ascii="Times New Roman" w:hAnsi="Times New Roman"/>
          <w:i/>
          <w:sz w:val="20"/>
        </w:rPr>
        <w:t xml:space="preserve">Management also uses the non-GAAP measure of operating margin related to its natural gas distribution operations. Southwest recognizes operating revenues from the distribution and transportation of natural gas (and related services) to customers. Gas cost is a tracked cost, which is passed through to customers without markup under purchased gas adjustment (PGA) mechanisms, impacting revenues and net cost of gas sold on a dollar-for-dollar basis, thereby having no impact on Southwests profitability. Therefore, management routinely uses operating margin, defined by management as gas operating revenues less the net cost of gas sold, in its analysis of Southwests financial performance. Operating margin also forms a basis for Southwests various regulatory decoupling mechanisms. Management believes supplying information regarding operating margin provides investors and other interested parties with useful and relevant information to analyze Southwests financial performance in a rate-regulated environment. (The included Southwest Gas Holdings, Inc. Consolidated Earnings Digest provides reconciliations for these non-GAAP measures.)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We do not provide a reconciliation of forward-looking Non-GAAP Measures to the corresponding forward-looking GAAP measure due to our inability to project special charges and certain expenses.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-more-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SOUTHWEST GAS HOLDINGS, INC. CONSOLIDATED EARNINGS DIGEST </w:t>
      </w:r>
    </w:p>
    <w:p>
      <w:pPr>
        <w:pStyle w:val="TextBody"/>
        <w:spacing w:before="240" w:after="0"/>
        <w:jc w:val="center"/>
        <w:rPr>
          <w:rFonts w:ascii="Times New Roman" w:hAnsi="Times New Roman"/>
          <w:sz w:val="20"/>
        </w:rPr>
      </w:pPr>
      <w:r>
        <w:rPr>
          <w:rFonts w:ascii="Times New Roman" w:hAnsi="Times New Roman"/>
          <w:sz w:val="20"/>
        </w:rPr>
        <w:t xml:space="preserve">(In thousands, except per share amounts)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388"/>
        <w:gridCol w:w="225"/>
        <w:gridCol w:w="140"/>
        <w:gridCol w:w="982"/>
        <w:gridCol w:w="60"/>
        <w:gridCol w:w="225"/>
        <w:gridCol w:w="140"/>
        <w:gridCol w:w="982"/>
        <w:gridCol w:w="63"/>
      </w:tblGrid>
      <w:tr>
        <w:trPr/>
        <w:tc>
          <w:tcPr>
            <w:tcW w:w="738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738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2529" w:type="dxa"/>
            <w:gridSpan w:val="6"/>
            <w:tcBorders>
              <w:bottom w:val="single" w:sz="8" w:space="0" w:color="000000"/>
            </w:tcBorders>
            <w:shd w:fill="auto" w:val="clear"/>
            <w:tcMar>
              <w:bottom w:w="28" w:type="dxa"/>
            </w:tcMar>
            <w:vAlign w:val="bottom"/>
          </w:tcPr>
          <w:p>
            <w:pPr>
              <w:pStyle w:val="TableContents"/>
              <w:spacing w:before="0" w:after="283"/>
              <w:jc w:val="center"/>
              <w:rPr/>
            </w:pPr>
            <w:r>
              <w:rPr/>
              <w:t>Year Ended December 31,</w:t>
            </w:r>
          </w:p>
        </w:tc>
        <w:tc>
          <w:tcPr>
            <w:tcW w:w="63" w:type="dxa"/>
            <w:tcBorders/>
            <w:shd w:fill="auto" w:val="clear"/>
            <w:vAlign w:val="bottom"/>
          </w:tcPr>
          <w:p>
            <w:pPr>
              <w:pStyle w:val="TableContents"/>
              <w:spacing w:before="0" w:after="283"/>
              <w:rPr/>
            </w:pPr>
            <w:r>
              <w:rPr/>
              <w:t> </w:t>
            </w:r>
          </w:p>
        </w:tc>
      </w:tr>
      <w:tr>
        <w:trPr/>
        <w:tc>
          <w:tcPr>
            <w:tcW w:w="738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122"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122" w:type="dxa"/>
            <w:gridSpan w:val="2"/>
            <w:tcBorders>
              <w:bottom w:val="single" w:sz="8" w:space="0" w:color="000000"/>
            </w:tcBorders>
            <w:shd w:fill="auto" w:val="clear"/>
            <w:tcMar>
              <w:bottom w:w="28" w:type="dxa"/>
            </w:tcMar>
            <w:vAlign w:val="bottom"/>
          </w:tcPr>
          <w:p>
            <w:pPr>
              <w:pStyle w:val="TableContents"/>
              <w:spacing w:before="0" w:after="283"/>
              <w:jc w:val="center"/>
              <w:rPr/>
            </w:pPr>
            <w:r>
              <w:rPr/>
              <w:t>2020</w:t>
            </w:r>
          </w:p>
        </w:tc>
        <w:tc>
          <w:tcPr>
            <w:tcW w:w="63" w:type="dxa"/>
            <w:tcBorders/>
            <w:shd w:fill="auto" w:val="clear"/>
            <w:vAlign w:val="bottom"/>
          </w:tcPr>
          <w:p>
            <w:pPr>
              <w:pStyle w:val="TableContents"/>
              <w:spacing w:before="0" w:after="283"/>
              <w:rPr/>
            </w:pPr>
            <w:r>
              <w:rPr/>
              <w:t> </w:t>
            </w:r>
          </w:p>
        </w:tc>
      </w:tr>
      <w:tr>
        <w:trPr/>
        <w:tc>
          <w:tcPr>
            <w:tcW w:w="738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Consolidated Operating Revenues</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3,680,451</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3,298,873</w:t>
            </w:r>
          </w:p>
        </w:tc>
        <w:tc>
          <w:tcPr>
            <w:tcW w:w="63" w:type="dxa"/>
            <w:tcBorders/>
            <w:shd w:fill="CCEEFF" w:val="clear"/>
            <w:vAlign w:val="bottom"/>
          </w:tcPr>
          <w:p>
            <w:pPr>
              <w:pStyle w:val="TableContents"/>
              <w:spacing w:before="0" w:after="283"/>
              <w:rPr/>
            </w:pPr>
            <w:r>
              <w:rPr/>
              <w:t> </w:t>
            </w:r>
          </w:p>
        </w:tc>
      </w:tr>
      <w:tr>
        <w:trPr/>
        <w:tc>
          <w:tcPr>
            <w:tcW w:w="738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Net Income applicable to Southwest Gas Holdings</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200,779</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232,324</w:t>
            </w:r>
          </w:p>
        </w:tc>
        <w:tc>
          <w:tcPr>
            <w:tcW w:w="63" w:type="dxa"/>
            <w:tcBorders/>
            <w:shd w:fill="auto" w:val="clear"/>
            <w:vAlign w:val="bottom"/>
          </w:tcPr>
          <w:p>
            <w:pPr>
              <w:pStyle w:val="TableContents"/>
              <w:spacing w:before="0" w:after="283"/>
              <w:rPr/>
            </w:pPr>
            <w:r>
              <w:rPr/>
              <w:t> </w:t>
            </w:r>
          </w:p>
        </w:tc>
      </w:tr>
      <w:tr>
        <w:trPr/>
        <w:tc>
          <w:tcPr>
            <w:tcW w:w="738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Weighted Average Common Shares</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59,145</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55,998</w:t>
            </w:r>
          </w:p>
        </w:tc>
        <w:tc>
          <w:tcPr>
            <w:tcW w:w="63" w:type="dxa"/>
            <w:tcBorders/>
            <w:shd w:fill="CCEEFF" w:val="clear"/>
            <w:vAlign w:val="bottom"/>
          </w:tcPr>
          <w:p>
            <w:pPr>
              <w:pStyle w:val="TableContents"/>
              <w:spacing w:before="0" w:after="283"/>
              <w:rPr/>
            </w:pPr>
            <w:r>
              <w:rPr/>
              <w:t> </w:t>
            </w:r>
          </w:p>
        </w:tc>
      </w:tr>
      <w:tr>
        <w:trPr/>
        <w:tc>
          <w:tcPr>
            <w:tcW w:w="738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Basic Earnings Per Share</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3.39</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2" w:type="dxa"/>
            <w:tcBorders/>
            <w:shd w:fill="auto" w:val="clear"/>
            <w:vAlign w:val="bottom"/>
          </w:tcPr>
          <w:p>
            <w:pPr>
              <w:pStyle w:val="TableContents"/>
              <w:spacing w:before="0" w:after="283"/>
              <w:jc w:val="right"/>
              <w:rPr/>
            </w:pPr>
            <w:r>
              <w:rPr/>
              <w:t>4.15</w:t>
            </w:r>
          </w:p>
        </w:tc>
        <w:tc>
          <w:tcPr>
            <w:tcW w:w="63" w:type="dxa"/>
            <w:tcBorders/>
            <w:shd w:fill="auto" w:val="clear"/>
            <w:vAlign w:val="bottom"/>
          </w:tcPr>
          <w:p>
            <w:pPr>
              <w:pStyle w:val="TableContents"/>
              <w:spacing w:before="0" w:after="283"/>
              <w:rPr/>
            </w:pPr>
            <w:r>
              <w:rPr/>
              <w:t> </w:t>
            </w:r>
          </w:p>
        </w:tc>
      </w:tr>
      <w:tr>
        <w:trPr/>
        <w:tc>
          <w:tcPr>
            <w:tcW w:w="738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Diluted Earnings Per Share</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3.39</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4.14</w:t>
            </w:r>
          </w:p>
        </w:tc>
        <w:tc>
          <w:tcPr>
            <w:tcW w:w="63" w:type="dxa"/>
            <w:tcBorders/>
            <w:shd w:fill="CCEEFF" w:val="clear"/>
            <w:vAlign w:val="bottom"/>
          </w:tcPr>
          <w:p>
            <w:pPr>
              <w:pStyle w:val="TableContents"/>
              <w:spacing w:before="0" w:after="283"/>
              <w:rPr/>
            </w:pPr>
            <w:r>
              <w:rPr/>
              <w:t> </w:t>
            </w:r>
          </w:p>
        </w:tc>
      </w:tr>
      <w:tr>
        <w:trPr/>
        <w:tc>
          <w:tcPr>
            <w:tcW w:w="7388" w:type="dxa"/>
            <w:tcBorders/>
            <w:shd w:fill="auto" w:val="clear"/>
          </w:tcPr>
          <w:p>
            <w:pPr>
              <w:pStyle w:val="TableContents"/>
              <w:spacing w:before="0" w:after="0"/>
              <w:rPr>
                <w:rFonts w:ascii="Times New Roman" w:hAnsi="Times New Roman"/>
                <w:sz w:val="20"/>
              </w:rPr>
            </w:pPr>
            <w:r>
              <w:rPr>
                <w:rFonts w:ascii="Times New Roman" w:hAnsi="Times New Roman"/>
                <w:sz w:val="20"/>
              </w:rPr>
              <w:t>Reconciliation of Gross margin to Operating Margin (Non-GAAP measure)</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738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Utility Gross Margin</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570,325</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528,730</w:t>
            </w:r>
          </w:p>
        </w:tc>
        <w:tc>
          <w:tcPr>
            <w:tcW w:w="63" w:type="dxa"/>
            <w:tcBorders/>
            <w:shd w:fill="CCEEFF" w:val="clear"/>
            <w:vAlign w:val="bottom"/>
          </w:tcPr>
          <w:p>
            <w:pPr>
              <w:pStyle w:val="TableContents"/>
              <w:spacing w:before="0" w:after="283"/>
              <w:rPr/>
            </w:pPr>
            <w:r>
              <w:rPr/>
              <w:t> </w:t>
            </w:r>
          </w:p>
        </w:tc>
      </w:tr>
      <w:tr>
        <w:trPr/>
        <w:tc>
          <w:tcPr>
            <w:tcW w:w="7388" w:type="dxa"/>
            <w:tcBorders/>
            <w:shd w:fill="auto" w:val="clear"/>
          </w:tcPr>
          <w:p>
            <w:pPr>
              <w:pStyle w:val="TableContents"/>
              <w:spacing w:before="0" w:after="0"/>
              <w:rPr>
                <w:rFonts w:ascii="Times New Roman" w:hAnsi="Times New Roman"/>
                <w:sz w:val="20"/>
              </w:rPr>
            </w:pPr>
            <w:r>
              <w:rPr>
                <w:rFonts w:ascii="Times New Roman" w:hAnsi="Times New Roman"/>
                <w:sz w:val="20"/>
              </w:rPr>
              <w:t>Plus:</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2"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738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Operations and maintenance (excluding Admin &amp; General) expense</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267,160</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2" w:type="dxa"/>
            <w:tcBorders/>
            <w:shd w:fill="CCEEFF" w:val="clear"/>
            <w:vAlign w:val="bottom"/>
          </w:tcPr>
          <w:p>
            <w:pPr>
              <w:pStyle w:val="TableContents"/>
              <w:spacing w:before="0" w:after="283"/>
              <w:jc w:val="right"/>
              <w:rPr/>
            </w:pPr>
            <w:r>
              <w:rPr/>
              <w:t>243,723</w:t>
            </w:r>
          </w:p>
        </w:tc>
        <w:tc>
          <w:tcPr>
            <w:tcW w:w="63" w:type="dxa"/>
            <w:tcBorders/>
            <w:shd w:fill="CCEEFF" w:val="clear"/>
            <w:vAlign w:val="bottom"/>
          </w:tcPr>
          <w:p>
            <w:pPr>
              <w:pStyle w:val="TableContents"/>
              <w:spacing w:before="0" w:after="283"/>
              <w:rPr/>
            </w:pPr>
            <w:r>
              <w:rPr/>
              <w:t> </w:t>
            </w:r>
          </w:p>
        </w:tc>
      </w:tr>
      <w:tr>
        <w:trPr/>
        <w:tc>
          <w:tcPr>
            <w:tcW w:w="7388"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Depreciation and amortization expense</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253,398</w:t>
            </w:r>
          </w:p>
        </w:tc>
        <w:tc>
          <w:tcPr>
            <w:tcW w:w="60"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2" w:type="dxa"/>
            <w:tcBorders/>
            <w:shd w:fill="auto" w:val="clear"/>
            <w:vAlign w:val="bottom"/>
          </w:tcPr>
          <w:p>
            <w:pPr>
              <w:pStyle w:val="TableContents"/>
              <w:spacing w:before="0" w:after="283"/>
              <w:jc w:val="right"/>
              <w:rPr/>
            </w:pPr>
            <w:r>
              <w:rPr/>
              <w:t>235,295</w:t>
            </w:r>
          </w:p>
        </w:tc>
        <w:tc>
          <w:tcPr>
            <w:tcW w:w="63" w:type="dxa"/>
            <w:tcBorders/>
            <w:shd w:fill="auto" w:val="clear"/>
            <w:vAlign w:val="bottom"/>
          </w:tcPr>
          <w:p>
            <w:pPr>
              <w:pStyle w:val="TableContents"/>
              <w:spacing w:before="0" w:after="283"/>
              <w:rPr/>
            </w:pPr>
            <w:r>
              <w:rPr/>
              <w:t> </w:t>
            </w:r>
          </w:p>
        </w:tc>
      </w:tr>
      <w:tr>
        <w:trPr/>
        <w:tc>
          <w:tcPr>
            <w:tcW w:w="738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2"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7388"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Operating Margin</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1,090,883</w:t>
            </w:r>
          </w:p>
        </w:tc>
        <w:tc>
          <w:tcPr>
            <w:tcW w:w="60"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2" w:type="dxa"/>
            <w:tcBorders/>
            <w:shd w:fill="CCEEFF" w:val="clear"/>
            <w:vAlign w:val="bottom"/>
          </w:tcPr>
          <w:p>
            <w:pPr>
              <w:pStyle w:val="TableContents"/>
              <w:spacing w:before="0" w:after="283"/>
              <w:jc w:val="right"/>
              <w:rPr/>
            </w:pPr>
            <w:r>
              <w:rPr/>
              <w:t>1,007,748</w:t>
            </w:r>
          </w:p>
        </w:tc>
        <w:tc>
          <w:tcPr>
            <w:tcW w:w="63" w:type="dxa"/>
            <w:tcBorders/>
            <w:shd w:fill="CCEEFF" w:val="clear"/>
            <w:vAlign w:val="bottom"/>
          </w:tcPr>
          <w:p>
            <w:pPr>
              <w:pStyle w:val="TableContents"/>
              <w:spacing w:before="0" w:after="283"/>
              <w:rPr/>
            </w:pPr>
            <w:r>
              <w:rPr/>
              <w:t> </w:t>
            </w:r>
          </w:p>
        </w:tc>
      </w:tr>
      <w:tr>
        <w:trPr/>
        <w:tc>
          <w:tcPr>
            <w:tcW w:w="738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8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82" w:type="dxa"/>
            <w:tcBorders/>
            <w:shd w:fill="auto" w:val="clear"/>
            <w:vAlign w:val="bottom"/>
          </w:tcPr>
          <w:p>
            <w:pPr>
              <w:pStyle w:val="TableContents"/>
              <w:pBdr>
                <w:top w:val="double" w:sz="6"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561"/>
        <w:gridCol w:w="226"/>
        <w:gridCol w:w="140"/>
        <w:gridCol w:w="980"/>
        <w:gridCol w:w="60"/>
        <w:gridCol w:w="226"/>
        <w:gridCol w:w="140"/>
        <w:gridCol w:w="808"/>
        <w:gridCol w:w="64"/>
      </w:tblGrid>
      <w:tr>
        <w:trPr/>
        <w:tc>
          <w:tcPr>
            <w:tcW w:w="756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75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2354" w:type="dxa"/>
            <w:gridSpan w:val="6"/>
            <w:tcBorders>
              <w:bottom w:val="single" w:sz="8" w:space="0" w:color="000000"/>
            </w:tcBorders>
            <w:shd w:fill="auto" w:val="clear"/>
            <w:tcMar>
              <w:bottom w:w="28" w:type="dxa"/>
            </w:tcMar>
            <w:vAlign w:val="bottom"/>
          </w:tcPr>
          <w:p>
            <w:pPr>
              <w:pStyle w:val="TableContents"/>
              <w:spacing w:before="0" w:after="283"/>
              <w:jc w:val="center"/>
              <w:rPr/>
            </w:pPr>
            <w:r>
              <w:rPr/>
              <w:t>Three Months Ended</w:t>
              <w:br/>
              <w:t>December 31,</w:t>
            </w:r>
          </w:p>
        </w:tc>
        <w:tc>
          <w:tcPr>
            <w:tcW w:w="64" w:type="dxa"/>
            <w:tcBorders/>
            <w:shd w:fill="auto" w:val="clear"/>
            <w:vAlign w:val="bottom"/>
          </w:tcPr>
          <w:p>
            <w:pPr>
              <w:pStyle w:val="TableContents"/>
              <w:spacing w:before="0" w:after="283"/>
              <w:rPr/>
            </w:pPr>
            <w:r>
              <w:rPr/>
              <w:t> </w:t>
            </w:r>
          </w:p>
        </w:tc>
      </w:tr>
      <w:tr>
        <w:trPr/>
        <w:tc>
          <w:tcPr>
            <w:tcW w:w="7561"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120"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948" w:type="dxa"/>
            <w:gridSpan w:val="2"/>
            <w:tcBorders>
              <w:bottom w:val="single" w:sz="8" w:space="0" w:color="000000"/>
            </w:tcBorders>
            <w:shd w:fill="auto" w:val="clear"/>
            <w:tcMar>
              <w:bottom w:w="28" w:type="dxa"/>
            </w:tcMar>
            <w:vAlign w:val="bottom"/>
          </w:tcPr>
          <w:p>
            <w:pPr>
              <w:pStyle w:val="TableContents"/>
              <w:spacing w:before="0" w:after="283"/>
              <w:jc w:val="center"/>
              <w:rPr/>
            </w:pPr>
            <w:r>
              <w:rPr/>
              <w:t>2020</w:t>
            </w:r>
          </w:p>
        </w:tc>
        <w:tc>
          <w:tcPr>
            <w:tcW w:w="64" w:type="dxa"/>
            <w:tcBorders/>
            <w:shd w:fill="auto" w:val="clear"/>
            <w:vAlign w:val="bottom"/>
          </w:tcPr>
          <w:p>
            <w:pPr>
              <w:pStyle w:val="TableContents"/>
              <w:spacing w:before="0" w:after="283"/>
              <w:rPr/>
            </w:pPr>
            <w:r>
              <w:rPr/>
              <w:t> </w:t>
            </w:r>
          </w:p>
        </w:tc>
      </w:tr>
      <w:tr>
        <w:trPr/>
        <w:tc>
          <w:tcPr>
            <w:tcW w:w="7561"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Consolidated Operating Revenues</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1,084,427</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8" w:type="dxa"/>
            <w:tcBorders/>
            <w:shd w:fill="CCEEFF" w:val="clear"/>
            <w:vAlign w:val="bottom"/>
          </w:tcPr>
          <w:p>
            <w:pPr>
              <w:pStyle w:val="TableContents"/>
              <w:spacing w:before="0" w:after="283"/>
              <w:jc w:val="right"/>
              <w:rPr/>
            </w:pPr>
            <w:r>
              <w:rPr/>
              <w:t>914,080</w:t>
            </w:r>
          </w:p>
        </w:tc>
        <w:tc>
          <w:tcPr>
            <w:tcW w:w="64" w:type="dxa"/>
            <w:tcBorders/>
            <w:shd w:fill="CCEEFF" w:val="clear"/>
            <w:vAlign w:val="bottom"/>
          </w:tcPr>
          <w:p>
            <w:pPr>
              <w:pStyle w:val="TableContents"/>
              <w:spacing w:before="0" w:after="283"/>
              <w:rPr/>
            </w:pPr>
            <w:r>
              <w:rPr/>
              <w:t> </w:t>
            </w:r>
          </w:p>
        </w:tc>
      </w:tr>
      <w:tr>
        <w:trPr/>
        <w:tc>
          <w:tcPr>
            <w:tcW w:w="756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Net Income applicable to Southwest Gas Holdings</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0" w:type="dxa"/>
            <w:tcBorders/>
            <w:shd w:fill="auto" w:val="clear"/>
            <w:vAlign w:val="bottom"/>
          </w:tcPr>
          <w:p>
            <w:pPr>
              <w:pStyle w:val="TableContents"/>
              <w:spacing w:before="0" w:after="283"/>
              <w:jc w:val="right"/>
              <w:rPr/>
            </w:pPr>
            <w:r>
              <w:rPr/>
              <w:t>69,943</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8" w:type="dxa"/>
            <w:tcBorders/>
            <w:shd w:fill="auto" w:val="clear"/>
            <w:vAlign w:val="bottom"/>
          </w:tcPr>
          <w:p>
            <w:pPr>
              <w:pStyle w:val="TableContents"/>
              <w:spacing w:before="0" w:after="283"/>
              <w:jc w:val="right"/>
              <w:rPr/>
            </w:pPr>
            <w:r>
              <w:rPr/>
              <w:t>103,544</w:t>
            </w:r>
          </w:p>
        </w:tc>
        <w:tc>
          <w:tcPr>
            <w:tcW w:w="64" w:type="dxa"/>
            <w:tcBorders/>
            <w:shd w:fill="auto" w:val="clear"/>
            <w:vAlign w:val="bottom"/>
          </w:tcPr>
          <w:p>
            <w:pPr>
              <w:pStyle w:val="TableContents"/>
              <w:spacing w:before="0" w:after="283"/>
              <w:rPr/>
            </w:pPr>
            <w:r>
              <w:rPr/>
              <w:t> </w:t>
            </w:r>
          </w:p>
        </w:tc>
      </w:tr>
      <w:tr>
        <w:trPr/>
        <w:tc>
          <w:tcPr>
            <w:tcW w:w="7561"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Weighted Average Common Shares</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60,647</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56,934</w:t>
            </w:r>
          </w:p>
        </w:tc>
        <w:tc>
          <w:tcPr>
            <w:tcW w:w="64" w:type="dxa"/>
            <w:tcBorders/>
            <w:shd w:fill="CCEEFF" w:val="clear"/>
            <w:vAlign w:val="bottom"/>
          </w:tcPr>
          <w:p>
            <w:pPr>
              <w:pStyle w:val="TableContents"/>
              <w:spacing w:before="0" w:after="283"/>
              <w:rPr/>
            </w:pPr>
            <w:r>
              <w:rPr/>
              <w:t> </w:t>
            </w:r>
          </w:p>
        </w:tc>
      </w:tr>
      <w:tr>
        <w:trPr/>
        <w:tc>
          <w:tcPr>
            <w:tcW w:w="756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Basic Earnings Per Share</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80" w:type="dxa"/>
            <w:tcBorders/>
            <w:shd w:fill="auto" w:val="clear"/>
            <w:vAlign w:val="bottom"/>
          </w:tcPr>
          <w:p>
            <w:pPr>
              <w:pStyle w:val="TableContents"/>
              <w:spacing w:before="0" w:after="283"/>
              <w:jc w:val="right"/>
              <w:rPr/>
            </w:pPr>
            <w:r>
              <w:rPr/>
              <w:t>1.15</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8" w:type="dxa"/>
            <w:tcBorders/>
            <w:shd w:fill="auto" w:val="clear"/>
            <w:vAlign w:val="bottom"/>
          </w:tcPr>
          <w:p>
            <w:pPr>
              <w:pStyle w:val="TableContents"/>
              <w:spacing w:before="0" w:after="283"/>
              <w:jc w:val="right"/>
              <w:rPr/>
            </w:pPr>
            <w:r>
              <w:rPr/>
              <w:t>1.82</w:t>
            </w:r>
          </w:p>
        </w:tc>
        <w:tc>
          <w:tcPr>
            <w:tcW w:w="64" w:type="dxa"/>
            <w:tcBorders/>
            <w:shd w:fill="auto" w:val="clear"/>
            <w:vAlign w:val="bottom"/>
          </w:tcPr>
          <w:p>
            <w:pPr>
              <w:pStyle w:val="TableContents"/>
              <w:spacing w:before="0" w:after="283"/>
              <w:rPr/>
            </w:pPr>
            <w:r>
              <w:rPr/>
              <w:t> </w:t>
            </w:r>
          </w:p>
        </w:tc>
      </w:tr>
      <w:tr>
        <w:trPr/>
        <w:tc>
          <w:tcPr>
            <w:tcW w:w="7561"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Diluted Earnings Per Share</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1.15</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8" w:type="dxa"/>
            <w:tcBorders/>
            <w:shd w:fill="CCEEFF" w:val="clear"/>
            <w:vAlign w:val="bottom"/>
          </w:tcPr>
          <w:p>
            <w:pPr>
              <w:pStyle w:val="TableContents"/>
              <w:spacing w:before="0" w:after="283"/>
              <w:jc w:val="right"/>
              <w:rPr/>
            </w:pPr>
            <w:r>
              <w:rPr/>
              <w:t>1.82</w:t>
            </w:r>
          </w:p>
        </w:tc>
        <w:tc>
          <w:tcPr>
            <w:tcW w:w="64" w:type="dxa"/>
            <w:tcBorders/>
            <w:shd w:fill="CCEEFF" w:val="clear"/>
            <w:vAlign w:val="bottom"/>
          </w:tcPr>
          <w:p>
            <w:pPr>
              <w:pStyle w:val="TableContents"/>
              <w:spacing w:before="0" w:after="283"/>
              <w:rPr/>
            </w:pPr>
            <w:r>
              <w:rPr/>
              <w:t> </w:t>
            </w:r>
          </w:p>
        </w:tc>
      </w:tr>
      <w:tr>
        <w:trPr/>
        <w:tc>
          <w:tcPr>
            <w:tcW w:w="7561" w:type="dxa"/>
            <w:tcBorders/>
            <w:shd w:fill="auto" w:val="clear"/>
          </w:tcPr>
          <w:p>
            <w:pPr>
              <w:pStyle w:val="TableContents"/>
              <w:spacing w:before="0" w:after="0"/>
              <w:rPr>
                <w:rFonts w:ascii="Times New Roman" w:hAnsi="Times New Roman"/>
                <w:sz w:val="20"/>
              </w:rPr>
            </w:pPr>
            <w:r>
              <w:rPr>
                <w:rFonts w:ascii="Times New Roman" w:hAnsi="Times New Roman"/>
                <w:sz w:val="20"/>
              </w:rPr>
              <w:t>Reconciliation of Gross margin to Operating Margin (Non-GAAP measure)</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7561"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Utility Gross Margin</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178,135</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8" w:type="dxa"/>
            <w:tcBorders/>
            <w:shd w:fill="CCEEFF" w:val="clear"/>
            <w:vAlign w:val="bottom"/>
          </w:tcPr>
          <w:p>
            <w:pPr>
              <w:pStyle w:val="TableContents"/>
              <w:spacing w:before="0" w:after="283"/>
              <w:jc w:val="right"/>
              <w:rPr/>
            </w:pPr>
            <w:r>
              <w:rPr/>
              <w:t>173,876</w:t>
            </w:r>
          </w:p>
        </w:tc>
        <w:tc>
          <w:tcPr>
            <w:tcW w:w="64" w:type="dxa"/>
            <w:tcBorders/>
            <w:shd w:fill="CCEEFF" w:val="clear"/>
            <w:vAlign w:val="bottom"/>
          </w:tcPr>
          <w:p>
            <w:pPr>
              <w:pStyle w:val="TableContents"/>
              <w:spacing w:before="0" w:after="283"/>
              <w:rPr/>
            </w:pPr>
            <w:r>
              <w:rPr/>
              <w:t> </w:t>
            </w:r>
          </w:p>
        </w:tc>
      </w:tr>
      <w:tr>
        <w:trPr/>
        <w:tc>
          <w:tcPr>
            <w:tcW w:w="7561" w:type="dxa"/>
            <w:tcBorders/>
            <w:shd w:fill="auto" w:val="clear"/>
          </w:tcPr>
          <w:p>
            <w:pPr>
              <w:pStyle w:val="TableContents"/>
              <w:spacing w:before="0" w:after="0"/>
              <w:rPr>
                <w:rFonts w:ascii="Times New Roman" w:hAnsi="Times New Roman"/>
                <w:sz w:val="20"/>
              </w:rPr>
            </w:pPr>
            <w:r>
              <w:rPr>
                <w:rFonts w:ascii="Times New Roman" w:hAnsi="Times New Roman"/>
                <w:sz w:val="20"/>
              </w:rPr>
              <w:t>Plus:</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08"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r>
      <w:tr>
        <w:trPr/>
        <w:tc>
          <w:tcPr>
            <w:tcW w:w="7561"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Operations and maintenance (excluding Admin &amp; General) expense</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80" w:type="dxa"/>
            <w:tcBorders/>
            <w:shd w:fill="CCEEFF" w:val="clear"/>
            <w:vAlign w:val="bottom"/>
          </w:tcPr>
          <w:p>
            <w:pPr>
              <w:pStyle w:val="TableContents"/>
              <w:spacing w:before="0" w:after="283"/>
              <w:jc w:val="right"/>
              <w:rPr/>
            </w:pPr>
            <w:r>
              <w:rPr/>
              <w:t>72,689</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8" w:type="dxa"/>
            <w:tcBorders/>
            <w:shd w:fill="CCEEFF" w:val="clear"/>
            <w:vAlign w:val="bottom"/>
          </w:tcPr>
          <w:p>
            <w:pPr>
              <w:pStyle w:val="TableContents"/>
              <w:spacing w:before="0" w:after="283"/>
              <w:jc w:val="right"/>
              <w:rPr/>
            </w:pPr>
            <w:r>
              <w:rPr/>
              <w:t>60,962</w:t>
            </w:r>
          </w:p>
        </w:tc>
        <w:tc>
          <w:tcPr>
            <w:tcW w:w="64" w:type="dxa"/>
            <w:tcBorders/>
            <w:shd w:fill="CCEEFF" w:val="clear"/>
            <w:vAlign w:val="bottom"/>
          </w:tcPr>
          <w:p>
            <w:pPr>
              <w:pStyle w:val="TableContents"/>
              <w:spacing w:before="0" w:after="283"/>
              <w:rPr/>
            </w:pPr>
            <w:r>
              <w:rPr/>
              <w:t> </w:t>
            </w:r>
          </w:p>
        </w:tc>
      </w:tr>
      <w:tr>
        <w:trPr/>
        <w:tc>
          <w:tcPr>
            <w:tcW w:w="756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Depreciation and amortization expense</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right"/>
              <w:rPr/>
            </w:pPr>
            <w:r>
              <w:rPr/>
              <w:t>65,710</w:t>
            </w:r>
          </w:p>
        </w:tc>
        <w:tc>
          <w:tcPr>
            <w:tcW w:w="60" w:type="dxa"/>
            <w:tcBorders/>
            <w:shd w:fill="auto" w:val="clear"/>
            <w:vAlign w:val="bottom"/>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8" w:type="dxa"/>
            <w:tcBorders/>
            <w:shd w:fill="auto" w:val="clear"/>
            <w:vAlign w:val="bottom"/>
          </w:tcPr>
          <w:p>
            <w:pPr>
              <w:pStyle w:val="TableContents"/>
              <w:spacing w:before="0" w:after="283"/>
              <w:jc w:val="right"/>
              <w:rPr/>
            </w:pPr>
            <w:r>
              <w:rPr/>
              <w:t>61,430</w:t>
            </w:r>
          </w:p>
        </w:tc>
        <w:tc>
          <w:tcPr>
            <w:tcW w:w="64" w:type="dxa"/>
            <w:tcBorders/>
            <w:shd w:fill="auto" w:val="clear"/>
            <w:vAlign w:val="bottom"/>
          </w:tcPr>
          <w:p>
            <w:pPr>
              <w:pStyle w:val="TableContents"/>
              <w:spacing w:before="0" w:after="283"/>
              <w:rPr/>
            </w:pPr>
            <w:r>
              <w:rPr/>
              <w:t> </w:t>
            </w:r>
          </w:p>
        </w:tc>
      </w:tr>
      <w:tr>
        <w:trPr/>
        <w:tc>
          <w:tcPr>
            <w:tcW w:w="7561"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8" w:type="dxa"/>
            <w:tcBorders/>
            <w:shd w:fill="auto" w:val="clear"/>
            <w:vAlign w:val="bottom"/>
          </w:tcPr>
          <w:p>
            <w:pPr>
              <w:pStyle w:val="TableContents"/>
              <w:pBdr>
                <w:top w:val="single" w:sz="2"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r>
        <w:trPr/>
        <w:tc>
          <w:tcPr>
            <w:tcW w:w="7561"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Operating Margin</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80" w:type="dxa"/>
            <w:tcBorders/>
            <w:shd w:fill="CCEEFF" w:val="clear"/>
            <w:vAlign w:val="bottom"/>
          </w:tcPr>
          <w:p>
            <w:pPr>
              <w:pStyle w:val="TableContents"/>
              <w:spacing w:before="0" w:after="283"/>
              <w:jc w:val="right"/>
              <w:rPr/>
            </w:pPr>
            <w:r>
              <w:rPr/>
              <w:t>316,534</w:t>
            </w:r>
          </w:p>
        </w:tc>
        <w:tc>
          <w:tcPr>
            <w:tcW w:w="60" w:type="dxa"/>
            <w:tcBorders/>
            <w:shd w:fill="CCEEFF" w:val="clear"/>
            <w:vAlign w:val="bottom"/>
          </w:tcPr>
          <w:p>
            <w:pPr>
              <w:pStyle w:val="TableContents"/>
              <w:spacing w:before="0" w:after="283"/>
              <w:rPr/>
            </w:pPr>
            <w:r>
              <w:rPr/>
              <w:t> </w:t>
            </w:r>
          </w:p>
        </w:tc>
        <w:tc>
          <w:tcPr>
            <w:tcW w:w="226"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8" w:type="dxa"/>
            <w:tcBorders/>
            <w:shd w:fill="CCEEFF" w:val="clear"/>
            <w:vAlign w:val="bottom"/>
          </w:tcPr>
          <w:p>
            <w:pPr>
              <w:pStyle w:val="TableContents"/>
              <w:spacing w:before="0" w:after="283"/>
              <w:jc w:val="right"/>
              <w:rPr/>
            </w:pPr>
            <w:r>
              <w:rPr/>
              <w:t>296,268</w:t>
            </w:r>
          </w:p>
        </w:tc>
        <w:tc>
          <w:tcPr>
            <w:tcW w:w="64" w:type="dxa"/>
            <w:tcBorders/>
            <w:shd w:fill="CCEEFF" w:val="clear"/>
            <w:vAlign w:val="bottom"/>
          </w:tcPr>
          <w:p>
            <w:pPr>
              <w:pStyle w:val="TableContents"/>
              <w:spacing w:before="0" w:after="283"/>
              <w:rPr/>
            </w:pPr>
            <w:r>
              <w:rPr/>
              <w:t> </w:t>
            </w:r>
          </w:p>
        </w:tc>
      </w:tr>
      <w:tr>
        <w:trPr/>
        <w:tc>
          <w:tcPr>
            <w:tcW w:w="7561" w:type="dxa"/>
            <w:tcBorders/>
            <w:shd w:fill="auto" w:val="clear"/>
            <w:vAlign w:val="bottom"/>
          </w:tcPr>
          <w:p>
            <w:pPr>
              <w:pStyle w:val="TableContents"/>
              <w:spacing w:before="0" w:after="283"/>
              <w:rPr>
                <w:sz w:val="4"/>
                <w:szCs w:val="4"/>
              </w:rPr>
            </w:pPr>
            <w:r>
              <w:rPr>
                <w:sz w:val="4"/>
                <w:szCs w:val="4"/>
              </w:rPr>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8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26"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8" w:type="dxa"/>
            <w:tcBorders/>
            <w:shd w:fill="auto" w:val="clear"/>
            <w:vAlign w:val="bottom"/>
          </w:tcPr>
          <w:p>
            <w:pPr>
              <w:pStyle w:val="TableContents"/>
              <w:pBdr>
                <w:top w:val="double" w:sz="6" w:space="1" w:color="000000"/>
              </w:pBdr>
              <w:spacing w:before="0" w:after="0"/>
              <w:rPr/>
            </w:pPr>
            <w:r>
              <w:rPr/>
              <w:t> </w:t>
            </w:r>
          </w:p>
        </w:tc>
        <w:tc>
          <w:tcPr>
            <w:tcW w:w="64"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i/>
          <w:sz w:val="20"/>
        </w:rPr>
      </w:pPr>
      <w:r>
        <w:rPr>
          <w:rFonts w:ascii="Times New Roman" w:hAnsi="Times New Roman"/>
          <w:b/>
          <w:i/>
          <w:sz w:val="20"/>
        </w:rPr>
        <w:t xml:space="preserve">Reconciliation of non-GAAP financial measures of Adjusted net income (loss) and Adjusted diluted earnings per share and their comparable GAAP measures of Net income (loss) and Diluted earnings (loss) per share. Note that the comparable GAAP measures are also included in Note 13 - Segment Information in the Companys December 31, 2021 Form 10-K. Prior periods are not presented below as comparable non-GAAP adjustments were not applicable in comparable periods of the prior year. </w:t>
      </w:r>
    </w:p>
    <w:p>
      <w:pPr>
        <w:pStyle w:val="TextBody"/>
        <w:spacing w:before="120" w:after="0"/>
        <w:jc w:val="left"/>
        <w:rPr>
          <w:rFonts w:ascii="Times New Roman" w:hAnsi="Times New Roman"/>
          <w:b/>
          <w:i/>
          <w:sz w:val="20"/>
        </w:rPr>
      </w:pPr>
      <w:r>
        <w:rPr>
          <w:rFonts w:ascii="Times New Roman" w:hAnsi="Times New Roman"/>
          <w:b/>
          <w:i/>
          <w:sz w:val="20"/>
        </w:rPr>
        <w:t xml:space="preserve">Amounts in thousands, except per share amounts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688"/>
        <w:gridCol w:w="299"/>
        <w:gridCol w:w="230"/>
        <w:gridCol w:w="1251"/>
        <w:gridCol w:w="155"/>
        <w:gridCol w:w="256"/>
        <w:gridCol w:w="172"/>
        <w:gridCol w:w="995"/>
        <w:gridCol w:w="159"/>
      </w:tblGrid>
      <w:tr>
        <w:trPr/>
        <w:tc>
          <w:tcPr>
            <w:tcW w:w="6688"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668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Three Months</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481" w:type="dxa"/>
            <w:gridSpan w:val="2"/>
            <w:tcBorders/>
            <w:shd w:fill="auto" w:val="clear"/>
            <w:vAlign w:val="bottom"/>
          </w:tcPr>
          <w:p>
            <w:pPr>
              <w:pStyle w:val="TableContents"/>
              <w:spacing w:before="0" w:after="283"/>
              <w:jc w:val="center"/>
              <w:rPr/>
            </w:pPr>
            <w:r>
              <w:rPr/>
              <w:t>Ended</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jc w:val="center"/>
              <w:rPr/>
            </w:pPr>
            <w:r>
              <w:rPr/>
              <w:t>Year Ended</w:t>
            </w:r>
          </w:p>
        </w:tc>
        <w:tc>
          <w:tcPr>
            <w:tcW w:w="159" w:type="dxa"/>
            <w:tcBorders/>
            <w:shd w:fill="auto" w:val="clear"/>
            <w:vAlign w:val="bottom"/>
          </w:tcPr>
          <w:p>
            <w:pPr>
              <w:pStyle w:val="TableContents"/>
              <w:spacing w:before="0" w:after="283"/>
              <w:rPr/>
            </w:pPr>
            <w:r>
              <w:rPr/>
              <w:t> </w:t>
            </w:r>
          </w:p>
        </w:tc>
      </w:tr>
      <w:tr>
        <w:trPr/>
        <w:tc>
          <w:tcPr>
            <w:tcW w:w="8468" w:type="dxa"/>
            <w:gridSpan w:val="4"/>
            <w:tcBorders/>
            <w:shd w:fill="CCEEFF" w:val="clear"/>
          </w:tcPr>
          <w:p>
            <w:pPr>
              <w:pStyle w:val="TableContents"/>
              <w:spacing w:before="0" w:after="0"/>
              <w:rPr>
                <w:rFonts w:ascii="Times New Roman" w:hAnsi="Times New Roman"/>
                <w:sz w:val="20"/>
              </w:rPr>
            </w:pPr>
            <w:r>
              <w:rPr>
                <w:rFonts w:ascii="Times New Roman" w:hAnsi="Times New Roman"/>
                <w:sz w:val="20"/>
              </w:rPr>
              <w:t>Reconciliation of Net income to non-GAAP measure of Adjusted net income</w:t>
            </w:r>
          </w:p>
        </w:tc>
        <w:tc>
          <w:tcPr>
            <w:tcW w:w="155" w:type="dxa"/>
            <w:tcBorders/>
            <w:shd w:fill="CCEEFF" w:val="clear"/>
          </w:tcPr>
          <w:p>
            <w:pPr>
              <w:pStyle w:val="TableContents"/>
              <w:spacing w:before="0" w:after="0"/>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99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Net income applicable to Natural Gas Distribution (GAAP)</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251" w:type="dxa"/>
            <w:tcBorders/>
            <w:shd w:fill="auto" w:val="clear"/>
            <w:vAlign w:val="bottom"/>
          </w:tcPr>
          <w:p>
            <w:pPr>
              <w:pStyle w:val="TableContents"/>
              <w:spacing w:before="0" w:after="283"/>
              <w:jc w:val="right"/>
              <w:rPr/>
            </w:pPr>
            <w:r>
              <w:rPr/>
              <w:t>84,551</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995" w:type="dxa"/>
            <w:tcBorders/>
            <w:shd w:fill="auto" w:val="clear"/>
            <w:vAlign w:val="bottom"/>
          </w:tcPr>
          <w:p>
            <w:pPr>
              <w:pStyle w:val="TableContents"/>
              <w:spacing w:before="0" w:after="283"/>
              <w:jc w:val="right"/>
              <w:rPr/>
            </w:pPr>
            <w:r>
              <w:rPr/>
              <w:t>187,135</w:t>
            </w:r>
          </w:p>
        </w:tc>
        <w:tc>
          <w:tcPr>
            <w:tcW w:w="159" w:type="dxa"/>
            <w:tcBorders/>
            <w:shd w:fill="auto" w:val="clear"/>
            <w:vAlign w:val="bottom"/>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Plus:</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12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99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Legal reserve, net of tax</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3,800</w:t>
            </w:r>
          </w:p>
        </w:tc>
        <w:tc>
          <w:tcPr>
            <w:tcW w:w="159" w:type="dxa"/>
            <w:tcBorders/>
            <w:shd w:fill="auto"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99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Adjusted net income applicable to Natural Gas Distribution</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1251" w:type="dxa"/>
            <w:tcBorders/>
            <w:shd w:fill="CCEEFF" w:val="clear"/>
            <w:vAlign w:val="bottom"/>
          </w:tcPr>
          <w:p>
            <w:pPr>
              <w:pStyle w:val="TableContents"/>
              <w:spacing w:before="0" w:after="283"/>
              <w:jc w:val="right"/>
              <w:rPr/>
            </w:pPr>
            <w:r>
              <w:rPr/>
              <w:t>84,551</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95" w:type="dxa"/>
            <w:tcBorders/>
            <w:shd w:fill="CCEEFF" w:val="clear"/>
            <w:vAlign w:val="bottom"/>
          </w:tcPr>
          <w:p>
            <w:pPr>
              <w:pStyle w:val="TableContents"/>
              <w:spacing w:before="0" w:after="283"/>
              <w:jc w:val="right"/>
              <w:rPr/>
            </w:pPr>
            <w:r>
              <w:rPr/>
              <w:t>190,935</w:t>
            </w:r>
          </w:p>
        </w:tc>
        <w:tc>
          <w:tcPr>
            <w:tcW w:w="159" w:type="dxa"/>
            <w:tcBorders/>
            <w:shd w:fill="CCEEFF"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99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Net income applicable to Infrastructure Services (GAAP)</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251" w:type="dxa"/>
            <w:tcBorders/>
            <w:shd w:fill="auto" w:val="clear"/>
            <w:vAlign w:val="bottom"/>
          </w:tcPr>
          <w:p>
            <w:pPr>
              <w:pStyle w:val="TableContents"/>
              <w:spacing w:before="0" w:after="283"/>
              <w:jc w:val="right"/>
              <w:rPr/>
            </w:pPr>
            <w:r>
              <w:rPr/>
              <w:t>7,623</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995" w:type="dxa"/>
            <w:tcBorders/>
            <w:shd w:fill="auto" w:val="clear"/>
            <w:vAlign w:val="bottom"/>
          </w:tcPr>
          <w:p>
            <w:pPr>
              <w:pStyle w:val="TableContents"/>
              <w:spacing w:before="0" w:after="283"/>
              <w:jc w:val="right"/>
              <w:rPr/>
            </w:pPr>
            <w:r>
              <w:rPr/>
              <w:t>40,420</w:t>
            </w:r>
          </w:p>
        </w:tc>
        <w:tc>
          <w:tcPr>
            <w:tcW w:w="159" w:type="dxa"/>
            <w:tcBorders/>
            <w:shd w:fill="auto" w:val="clear"/>
            <w:vAlign w:val="bottom"/>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Plus:</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12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99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Riggs Distler transaction costs, net of tax</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11,663</w:t>
            </w:r>
          </w:p>
        </w:tc>
        <w:tc>
          <w:tcPr>
            <w:tcW w:w="159" w:type="dxa"/>
            <w:tcBorders/>
            <w:shd w:fill="auto" w:val="clear"/>
            <w:vAlign w:val="bottom"/>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Riggs Distler interim operations loss, interest and other, net of tax</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7,300</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9,837</w:t>
            </w:r>
          </w:p>
        </w:tc>
        <w:tc>
          <w:tcPr>
            <w:tcW w:w="159" w:type="dxa"/>
            <w:tcBorders/>
            <w:shd w:fill="CCEEFF"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99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Adjusted net income applicable to Infrastructure Services</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251" w:type="dxa"/>
            <w:tcBorders/>
            <w:shd w:fill="auto" w:val="clear"/>
            <w:vAlign w:val="bottom"/>
          </w:tcPr>
          <w:p>
            <w:pPr>
              <w:pStyle w:val="TableContents"/>
              <w:spacing w:before="0" w:after="283"/>
              <w:jc w:val="right"/>
              <w:rPr/>
            </w:pPr>
            <w:r>
              <w:rPr/>
              <w:t>14,923</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995" w:type="dxa"/>
            <w:tcBorders/>
            <w:shd w:fill="auto" w:val="clear"/>
            <w:vAlign w:val="bottom"/>
          </w:tcPr>
          <w:p>
            <w:pPr>
              <w:pStyle w:val="TableContents"/>
              <w:spacing w:before="0" w:after="283"/>
              <w:jc w:val="right"/>
              <w:rPr/>
            </w:pPr>
            <w:r>
              <w:rPr/>
              <w:t>61,920</w:t>
            </w:r>
          </w:p>
        </w:tc>
        <w:tc>
          <w:tcPr>
            <w:tcW w:w="159" w:type="dxa"/>
            <w:tcBorders/>
            <w:shd w:fill="auto"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99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Net loss - Corporate and administrative (GAAP)</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1251" w:type="dxa"/>
            <w:tcBorders/>
            <w:shd w:fill="CCEEFF" w:val="clear"/>
            <w:vAlign w:val="bottom"/>
          </w:tcPr>
          <w:p>
            <w:pPr>
              <w:pStyle w:val="TableContents"/>
              <w:spacing w:before="0" w:after="283"/>
              <w:jc w:val="right"/>
              <w:rPr/>
            </w:pPr>
            <w:r>
              <w:rPr/>
              <w:t>(22,231</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95" w:type="dxa"/>
            <w:tcBorders/>
            <w:shd w:fill="CCEEFF" w:val="clear"/>
            <w:vAlign w:val="bottom"/>
          </w:tcPr>
          <w:p>
            <w:pPr>
              <w:pStyle w:val="TableContents"/>
              <w:spacing w:before="0" w:after="283"/>
              <w:jc w:val="right"/>
              <w:rPr/>
            </w:pPr>
            <w:r>
              <w:rPr/>
              <w:t>(26,776</w:t>
            </w:r>
          </w:p>
        </w:tc>
        <w:tc>
          <w:tcPr>
            <w:tcW w:w="159" w:type="dxa"/>
            <w:tcBorders/>
            <w:shd w:fill="CCEEFF" w:val="clear"/>
            <w:vAlign w:val="bottom"/>
          </w:tcPr>
          <w:p>
            <w:pPr>
              <w:pStyle w:val="TableContents"/>
              <w:spacing w:before="0" w:after="283"/>
              <w:rPr/>
            </w:pPr>
            <w:r>
              <w:rPr/>
              <w:t>) </w:t>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Plus:</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sz w:val="4"/>
                <w:szCs w:val="4"/>
              </w:rPr>
            </w:pPr>
            <w:r>
              <w:rPr>
                <w:sz w:val="4"/>
                <w:szCs w:val="4"/>
              </w:rPr>
            </w:r>
          </w:p>
        </w:tc>
        <w:tc>
          <w:tcPr>
            <w:tcW w:w="1251"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bottom"/>
          </w:tcPr>
          <w:p>
            <w:pPr>
              <w:pStyle w:val="TableContents"/>
              <w:spacing w:before="0" w:after="283"/>
              <w:rPr>
                <w:sz w:val="4"/>
                <w:szCs w:val="4"/>
              </w:rPr>
            </w:pPr>
            <w:r>
              <w:rPr>
                <w:sz w:val="4"/>
                <w:szCs w:val="4"/>
              </w:rPr>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Questar Pipelines transaction costs, net of tax</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17,329</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17,329</w:t>
            </w:r>
          </w:p>
        </w:tc>
        <w:tc>
          <w:tcPr>
            <w:tcW w:w="159" w:type="dxa"/>
            <w:tcBorders/>
            <w:shd w:fill="CCEEFF" w:val="clear"/>
            <w:vAlign w:val="bottom"/>
          </w:tcPr>
          <w:p>
            <w:pPr>
              <w:pStyle w:val="TableContents"/>
              <w:spacing w:before="0" w:after="283"/>
              <w:rPr/>
            </w:pPr>
            <w:r>
              <w:rPr/>
              <w:t> </w:t>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Proxy contest and shareholder litigation, net of tax</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3,421</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3,421</w:t>
            </w:r>
          </w:p>
        </w:tc>
        <w:tc>
          <w:tcPr>
            <w:tcW w:w="159" w:type="dxa"/>
            <w:tcBorders/>
            <w:shd w:fill="auto"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99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Adjusted net loss applicable to Corporate and administrative</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1251" w:type="dxa"/>
            <w:tcBorders/>
            <w:shd w:fill="CCEEFF" w:val="clear"/>
            <w:vAlign w:val="bottom"/>
          </w:tcPr>
          <w:p>
            <w:pPr>
              <w:pStyle w:val="TableContents"/>
              <w:spacing w:before="0" w:after="283"/>
              <w:jc w:val="right"/>
              <w:rPr/>
            </w:pPr>
            <w:r>
              <w:rPr/>
              <w:t>(1,481</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95" w:type="dxa"/>
            <w:tcBorders/>
            <w:shd w:fill="CCEEFF" w:val="clear"/>
            <w:vAlign w:val="bottom"/>
          </w:tcPr>
          <w:p>
            <w:pPr>
              <w:pStyle w:val="TableContents"/>
              <w:spacing w:before="0" w:after="283"/>
              <w:jc w:val="right"/>
              <w:rPr/>
            </w:pPr>
            <w:r>
              <w:rPr/>
              <w:t>(6,026</w:t>
            </w:r>
          </w:p>
        </w:tc>
        <w:tc>
          <w:tcPr>
            <w:tcW w:w="159" w:type="dxa"/>
            <w:tcBorders/>
            <w:shd w:fill="CCEEFF"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99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Net income applicable to Southwest Gas Holdings (GAAP)</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251" w:type="dxa"/>
            <w:tcBorders/>
            <w:shd w:fill="auto" w:val="clear"/>
            <w:vAlign w:val="bottom"/>
          </w:tcPr>
          <w:p>
            <w:pPr>
              <w:pStyle w:val="TableContents"/>
              <w:spacing w:before="0" w:after="283"/>
              <w:jc w:val="right"/>
              <w:rPr/>
            </w:pPr>
            <w:r>
              <w:rPr/>
              <w:t>69,943</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995" w:type="dxa"/>
            <w:tcBorders/>
            <w:shd w:fill="auto" w:val="clear"/>
            <w:vAlign w:val="bottom"/>
          </w:tcPr>
          <w:p>
            <w:pPr>
              <w:pStyle w:val="TableContents"/>
              <w:spacing w:before="0" w:after="283"/>
              <w:jc w:val="right"/>
              <w:rPr/>
            </w:pPr>
            <w:r>
              <w:rPr/>
              <w:t>200,779</w:t>
            </w:r>
          </w:p>
        </w:tc>
        <w:tc>
          <w:tcPr>
            <w:tcW w:w="159" w:type="dxa"/>
            <w:tcBorders/>
            <w:shd w:fill="auto" w:val="clear"/>
            <w:vAlign w:val="bottom"/>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Plus:</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12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99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Legal reserve, net of tax</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3,800</w:t>
            </w:r>
          </w:p>
        </w:tc>
        <w:tc>
          <w:tcPr>
            <w:tcW w:w="159" w:type="dxa"/>
            <w:tcBorders/>
            <w:shd w:fill="auto" w:val="clear"/>
            <w:vAlign w:val="bottom"/>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Riggs Distler transaction costs, net of tax</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11,663</w:t>
            </w:r>
          </w:p>
        </w:tc>
        <w:tc>
          <w:tcPr>
            <w:tcW w:w="159" w:type="dxa"/>
            <w:tcBorders/>
            <w:shd w:fill="CCEEFF" w:val="clear"/>
            <w:vAlign w:val="bottom"/>
          </w:tcPr>
          <w:p>
            <w:pPr>
              <w:pStyle w:val="TableContents"/>
              <w:spacing w:before="0" w:after="283"/>
              <w:rPr/>
            </w:pPr>
            <w:r>
              <w:rPr/>
              <w:t> </w:t>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Riggs Distler interim operations loss, interest and other, net of tax</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7,300</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9,837</w:t>
            </w:r>
          </w:p>
        </w:tc>
        <w:tc>
          <w:tcPr>
            <w:tcW w:w="159" w:type="dxa"/>
            <w:tcBorders/>
            <w:shd w:fill="auto" w:val="clear"/>
            <w:vAlign w:val="bottom"/>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Questar Pipelines transaction costs, net of tax</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251" w:type="dxa"/>
            <w:tcBorders/>
            <w:shd w:fill="CCEEFF" w:val="clear"/>
            <w:vAlign w:val="bottom"/>
          </w:tcPr>
          <w:p>
            <w:pPr>
              <w:pStyle w:val="TableContents"/>
              <w:spacing w:before="0" w:after="283"/>
              <w:jc w:val="right"/>
              <w:rPr/>
            </w:pPr>
            <w:r>
              <w:rPr/>
              <w:t>17,329</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 </w:t>
            </w:r>
          </w:p>
        </w:tc>
        <w:tc>
          <w:tcPr>
            <w:tcW w:w="995" w:type="dxa"/>
            <w:tcBorders/>
            <w:shd w:fill="CCEEFF" w:val="clear"/>
            <w:vAlign w:val="bottom"/>
          </w:tcPr>
          <w:p>
            <w:pPr>
              <w:pStyle w:val="TableContents"/>
              <w:spacing w:before="0" w:after="283"/>
              <w:jc w:val="right"/>
              <w:rPr/>
            </w:pPr>
            <w:r>
              <w:rPr/>
              <w:t>17,329</w:t>
            </w:r>
          </w:p>
        </w:tc>
        <w:tc>
          <w:tcPr>
            <w:tcW w:w="159" w:type="dxa"/>
            <w:tcBorders/>
            <w:shd w:fill="CCEEFF" w:val="clear"/>
            <w:vAlign w:val="bottom"/>
          </w:tcPr>
          <w:p>
            <w:pPr>
              <w:pStyle w:val="TableContents"/>
              <w:spacing w:before="0" w:after="283"/>
              <w:rPr/>
            </w:pPr>
            <w:r>
              <w:rPr/>
              <w:t> </w:t>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Proxy contest and shareholder litigation, net of tax</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3,421</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3,421</w:t>
            </w:r>
          </w:p>
        </w:tc>
        <w:tc>
          <w:tcPr>
            <w:tcW w:w="159" w:type="dxa"/>
            <w:tcBorders/>
            <w:shd w:fill="auto"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single" w:sz="2" w:space="1" w:color="000000"/>
              </w:pBdr>
              <w:spacing w:before="0" w:after="0"/>
              <w:rPr/>
            </w:pPr>
            <w:r>
              <w:rPr/>
              <w:t> </w:t>
            </w:r>
          </w:p>
        </w:tc>
        <w:tc>
          <w:tcPr>
            <w:tcW w:w="1251"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single" w:sz="2" w:space="1" w:color="000000"/>
              </w:pBdr>
              <w:spacing w:before="0" w:after="0"/>
              <w:rPr/>
            </w:pPr>
            <w:r>
              <w:rPr/>
              <w:t> </w:t>
            </w:r>
          </w:p>
        </w:tc>
        <w:tc>
          <w:tcPr>
            <w:tcW w:w="995" w:type="dxa"/>
            <w:tcBorders/>
            <w:shd w:fill="auto" w:val="clear"/>
            <w:vAlign w:val="bottom"/>
          </w:tcPr>
          <w:p>
            <w:pPr>
              <w:pStyle w:val="TableContents"/>
              <w:pBdr>
                <w:top w:val="single" w:sz="2"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Ongoing net income applicable to Southwest Gas Holdings</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1251" w:type="dxa"/>
            <w:tcBorders/>
            <w:shd w:fill="CCEEFF" w:val="clear"/>
            <w:vAlign w:val="bottom"/>
          </w:tcPr>
          <w:p>
            <w:pPr>
              <w:pStyle w:val="TableContents"/>
              <w:spacing w:before="0" w:after="283"/>
              <w:jc w:val="right"/>
              <w:rPr/>
            </w:pPr>
            <w:r>
              <w:rPr/>
              <w:t>97,993</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95" w:type="dxa"/>
            <w:tcBorders/>
            <w:shd w:fill="CCEEFF" w:val="clear"/>
            <w:vAlign w:val="bottom"/>
          </w:tcPr>
          <w:p>
            <w:pPr>
              <w:pStyle w:val="TableContents"/>
              <w:spacing w:before="0" w:after="283"/>
              <w:jc w:val="right"/>
              <w:rPr/>
            </w:pPr>
            <w:r>
              <w:rPr/>
              <w:t>246,829</w:t>
            </w:r>
          </w:p>
        </w:tc>
        <w:tc>
          <w:tcPr>
            <w:tcW w:w="159" w:type="dxa"/>
            <w:tcBorders/>
            <w:shd w:fill="CCEEFF"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99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Weighted average shares - diluted</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251" w:type="dxa"/>
            <w:tcBorders/>
            <w:shd w:fill="auto" w:val="clear"/>
            <w:vAlign w:val="bottom"/>
          </w:tcPr>
          <w:p>
            <w:pPr>
              <w:pStyle w:val="TableContents"/>
              <w:spacing w:before="0" w:after="283"/>
              <w:jc w:val="right"/>
              <w:rPr/>
            </w:pPr>
            <w:r>
              <w:rPr/>
              <w:t>60,795</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right"/>
              <w:rPr/>
            </w:pPr>
            <w:r>
              <w:rPr/>
              <w:t>59,259</w:t>
            </w:r>
          </w:p>
        </w:tc>
        <w:tc>
          <w:tcPr>
            <w:tcW w:w="159" w:type="dxa"/>
            <w:tcBorders/>
            <w:shd w:fill="auto" w:val="clear"/>
            <w:vAlign w:val="bottom"/>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Earnings per share</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sz w:val="4"/>
                <w:szCs w:val="4"/>
              </w:rPr>
            </w:pPr>
            <w:r>
              <w:rPr>
                <w:sz w:val="4"/>
                <w:szCs w:val="4"/>
              </w:rPr>
            </w:r>
          </w:p>
        </w:tc>
        <w:tc>
          <w:tcPr>
            <w:tcW w:w="1251"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sz w:val="4"/>
                <w:szCs w:val="4"/>
              </w:rPr>
            </w:pPr>
            <w:r>
              <w:rPr>
                <w:sz w:val="4"/>
                <w:szCs w:val="4"/>
              </w:rPr>
            </w:r>
          </w:p>
        </w:tc>
        <w:tc>
          <w:tcPr>
            <w:tcW w:w="995" w:type="dxa"/>
            <w:tcBorders/>
            <w:shd w:fill="CCEEFF" w:val="clear"/>
            <w:vAlign w:val="bottom"/>
          </w:tcPr>
          <w:p>
            <w:pPr>
              <w:pStyle w:val="TableContents"/>
              <w:spacing w:before="0" w:after="283"/>
              <w:rPr>
                <w:sz w:val="4"/>
                <w:szCs w:val="4"/>
              </w:rPr>
            </w:pPr>
            <w:r>
              <w:rPr>
                <w:sz w:val="4"/>
                <w:szCs w:val="4"/>
              </w:rPr>
            </w:r>
          </w:p>
        </w:tc>
        <w:tc>
          <w:tcPr>
            <w:tcW w:w="159" w:type="dxa"/>
            <w:tcBorders/>
            <w:shd w:fill="CCEEFF" w:val="clear"/>
            <w:vAlign w:val="bottom"/>
          </w:tcPr>
          <w:p>
            <w:pPr>
              <w:pStyle w:val="TableContents"/>
              <w:spacing w:before="0" w:after="283"/>
              <w:rPr>
                <w:sz w:val="4"/>
                <w:szCs w:val="4"/>
              </w:rPr>
            </w:pPr>
            <w:r>
              <w:rPr>
                <w:sz w:val="4"/>
                <w:szCs w:val="4"/>
              </w:rPr>
            </w:r>
          </w:p>
        </w:tc>
      </w:tr>
      <w:tr>
        <w:trPr/>
        <w:tc>
          <w:tcPr>
            <w:tcW w:w="6688" w:type="dxa"/>
            <w:tcBorders/>
            <w:shd w:fill="auto" w:val="clear"/>
          </w:tcPr>
          <w:p>
            <w:pPr>
              <w:pStyle w:val="TableContents"/>
              <w:spacing w:before="0" w:after="0"/>
              <w:rPr>
                <w:rFonts w:ascii="Times New Roman" w:hAnsi="Times New Roman"/>
                <w:sz w:val="20"/>
              </w:rPr>
            </w:pPr>
            <w:r>
              <w:rPr>
                <w:rFonts w:ascii="Times New Roman" w:hAnsi="Times New Roman"/>
                <w:sz w:val="20"/>
              </w:rPr>
              <w:t>Diluted earnings per share</w:t>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w:t>
            </w:r>
          </w:p>
        </w:tc>
        <w:tc>
          <w:tcPr>
            <w:tcW w:w="1251" w:type="dxa"/>
            <w:tcBorders/>
            <w:shd w:fill="auto" w:val="clear"/>
            <w:vAlign w:val="bottom"/>
          </w:tcPr>
          <w:p>
            <w:pPr>
              <w:pStyle w:val="TableContents"/>
              <w:spacing w:before="0" w:after="283"/>
              <w:jc w:val="right"/>
              <w:rPr/>
            </w:pPr>
            <w:r>
              <w:rPr/>
              <w:t>1.15</w:t>
            </w:r>
          </w:p>
        </w:tc>
        <w:tc>
          <w:tcPr>
            <w:tcW w:w="155"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spacing w:before="0" w:after="283"/>
              <w:rPr/>
            </w:pPr>
            <w:r>
              <w:rPr/>
              <w:t>$</w:t>
            </w:r>
          </w:p>
        </w:tc>
        <w:tc>
          <w:tcPr>
            <w:tcW w:w="995" w:type="dxa"/>
            <w:tcBorders/>
            <w:shd w:fill="auto" w:val="clear"/>
            <w:vAlign w:val="bottom"/>
          </w:tcPr>
          <w:p>
            <w:pPr>
              <w:pStyle w:val="TableContents"/>
              <w:spacing w:before="0" w:after="283"/>
              <w:jc w:val="right"/>
              <w:rPr/>
            </w:pPr>
            <w:r>
              <w:rPr/>
              <w:t>3.39</w:t>
            </w:r>
          </w:p>
        </w:tc>
        <w:tc>
          <w:tcPr>
            <w:tcW w:w="159" w:type="dxa"/>
            <w:tcBorders/>
            <w:shd w:fill="auto"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99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r>
        <w:trPr/>
        <w:tc>
          <w:tcPr>
            <w:tcW w:w="6688" w:type="dxa"/>
            <w:tcBorders/>
            <w:shd w:fill="CCEEFF" w:val="clear"/>
          </w:tcPr>
          <w:p>
            <w:pPr>
              <w:pStyle w:val="TableContents"/>
              <w:spacing w:before="0" w:after="0"/>
              <w:rPr>
                <w:rFonts w:ascii="Times New Roman" w:hAnsi="Times New Roman"/>
                <w:sz w:val="20"/>
              </w:rPr>
            </w:pPr>
            <w:r>
              <w:rPr>
                <w:rFonts w:ascii="Times New Roman" w:hAnsi="Times New Roman"/>
                <w:sz w:val="20"/>
              </w:rPr>
              <w:t>Adjusted consolidated earnings per diluted share</w:t>
            </w:r>
          </w:p>
        </w:tc>
        <w:tc>
          <w:tcPr>
            <w:tcW w:w="299"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w:t>
            </w:r>
          </w:p>
        </w:tc>
        <w:tc>
          <w:tcPr>
            <w:tcW w:w="1251" w:type="dxa"/>
            <w:tcBorders/>
            <w:shd w:fill="CCEEFF" w:val="clear"/>
            <w:vAlign w:val="bottom"/>
          </w:tcPr>
          <w:p>
            <w:pPr>
              <w:pStyle w:val="TableContents"/>
              <w:spacing w:before="0" w:after="283"/>
              <w:jc w:val="right"/>
              <w:rPr/>
            </w:pPr>
            <w:r>
              <w:rPr/>
              <w:t>1.61</w:t>
            </w:r>
          </w:p>
        </w:tc>
        <w:tc>
          <w:tcPr>
            <w:tcW w:w="155"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72" w:type="dxa"/>
            <w:tcBorders/>
            <w:shd w:fill="CCEEFF" w:val="clear"/>
            <w:vAlign w:val="bottom"/>
          </w:tcPr>
          <w:p>
            <w:pPr>
              <w:pStyle w:val="TableContents"/>
              <w:spacing w:before="0" w:after="283"/>
              <w:rPr/>
            </w:pPr>
            <w:r>
              <w:rPr/>
              <w:t>$</w:t>
            </w:r>
          </w:p>
        </w:tc>
        <w:tc>
          <w:tcPr>
            <w:tcW w:w="995" w:type="dxa"/>
            <w:tcBorders/>
            <w:shd w:fill="CCEEFF" w:val="clear"/>
            <w:vAlign w:val="bottom"/>
          </w:tcPr>
          <w:p>
            <w:pPr>
              <w:pStyle w:val="TableContents"/>
              <w:spacing w:before="0" w:after="283"/>
              <w:jc w:val="right"/>
              <w:rPr/>
            </w:pPr>
            <w:r>
              <w:rPr/>
              <w:t>4.17</w:t>
            </w:r>
          </w:p>
        </w:tc>
        <w:tc>
          <w:tcPr>
            <w:tcW w:w="159" w:type="dxa"/>
            <w:tcBorders/>
            <w:shd w:fill="CCEEFF" w:val="clear"/>
            <w:vAlign w:val="bottom"/>
          </w:tcPr>
          <w:p>
            <w:pPr>
              <w:pStyle w:val="TableContents"/>
              <w:spacing w:before="0" w:after="283"/>
              <w:rPr/>
            </w:pPr>
            <w:r>
              <w:rPr/>
              <w:t> </w:t>
            </w:r>
          </w:p>
        </w:tc>
      </w:tr>
      <w:tr>
        <w:trPr/>
        <w:tc>
          <w:tcPr>
            <w:tcW w:w="6688" w:type="dxa"/>
            <w:tcBorders/>
            <w:shd w:fill="auto" w:val="clear"/>
            <w:vAlign w:val="bottom"/>
          </w:tcPr>
          <w:p>
            <w:pPr>
              <w:pStyle w:val="TableContents"/>
              <w:spacing w:before="0" w:after="283"/>
              <w:rPr>
                <w:sz w:val="4"/>
                <w:szCs w:val="4"/>
              </w:rPr>
            </w:pPr>
            <w:r>
              <w:rPr>
                <w:sz w:val="4"/>
                <w:szCs w:val="4"/>
              </w:rPr>
            </w:r>
          </w:p>
        </w:tc>
        <w:tc>
          <w:tcPr>
            <w:tcW w:w="299"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pBdr>
                <w:top w:val="double" w:sz="6" w:space="1" w:color="000000"/>
              </w:pBdr>
              <w:spacing w:before="0" w:after="0"/>
              <w:rPr/>
            </w:pPr>
            <w:r>
              <w:rPr/>
              <w:t> </w:t>
            </w:r>
          </w:p>
        </w:tc>
        <w:tc>
          <w:tcPr>
            <w:tcW w:w="1251"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72" w:type="dxa"/>
            <w:tcBorders/>
            <w:shd w:fill="auto" w:val="clear"/>
            <w:vAlign w:val="bottom"/>
          </w:tcPr>
          <w:p>
            <w:pPr>
              <w:pStyle w:val="TableContents"/>
              <w:pBdr>
                <w:top w:val="double" w:sz="6" w:space="1" w:color="000000"/>
              </w:pBdr>
              <w:spacing w:before="0" w:after="0"/>
              <w:rPr/>
            </w:pPr>
            <w:r>
              <w:rPr/>
              <w:t> </w:t>
            </w:r>
          </w:p>
        </w:tc>
        <w:tc>
          <w:tcPr>
            <w:tcW w:w="995" w:type="dxa"/>
            <w:tcBorders/>
            <w:shd w:fill="auto" w:val="clear"/>
            <w:vAlign w:val="bottom"/>
          </w:tcPr>
          <w:p>
            <w:pPr>
              <w:pStyle w:val="TableContents"/>
              <w:pBdr>
                <w:top w:val="double" w:sz="6" w:space="1" w:color="000000"/>
              </w:pBdr>
              <w:spacing w:before="0" w:after="0"/>
              <w:rPr/>
            </w:pPr>
            <w:r>
              <w:rPr/>
              <w:t> </w:t>
            </w:r>
          </w:p>
        </w:tc>
        <w:tc>
          <w:tcPr>
            <w:tcW w:w="159"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5178"/>
        <w:gridCol w:w="120"/>
        <w:gridCol w:w="4907"/>
      </w:tblGrid>
      <w:tr>
        <w:trPr/>
        <w:tc>
          <w:tcPr>
            <w:tcW w:w="517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907" w:type="dxa"/>
            <w:tcBorders/>
            <w:shd w:fill="auto" w:val="clear"/>
            <w:vAlign w:val="center"/>
          </w:tcPr>
          <w:p>
            <w:pPr>
              <w:pStyle w:val="TableContents"/>
              <w:spacing w:before="0" w:after="283"/>
              <w:rPr>
                <w:sz w:val="4"/>
                <w:szCs w:val="4"/>
              </w:rPr>
            </w:pPr>
            <w:r>
              <w:rPr>
                <w:sz w:val="4"/>
                <w:szCs w:val="4"/>
              </w:rPr>
            </w:r>
          </w:p>
        </w:tc>
      </w:tr>
      <w:tr>
        <w:trPr/>
        <w:tc>
          <w:tcPr>
            <w:tcW w:w="5178" w:type="dxa"/>
            <w:tcBorders/>
            <w:shd w:fill="auto" w:val="clear"/>
          </w:tcPr>
          <w:p>
            <w:pPr>
              <w:pStyle w:val="TableContents"/>
              <w:spacing w:before="0" w:after="283"/>
              <w:rPr/>
            </w:pPr>
            <w:r>
              <w:rPr/>
              <w:t>For investor information, contact:</w:t>
            </w:r>
          </w:p>
        </w:tc>
        <w:tc>
          <w:tcPr>
            <w:tcW w:w="120" w:type="dxa"/>
            <w:tcBorders/>
            <w:shd w:fill="auto" w:val="clear"/>
            <w:vAlign w:val="bottom"/>
          </w:tcPr>
          <w:p>
            <w:pPr>
              <w:pStyle w:val="TableContents"/>
              <w:spacing w:before="0" w:after="283"/>
              <w:rPr/>
            </w:pPr>
            <w:r>
              <w:rPr/>
              <w:t>  </w:t>
            </w:r>
          </w:p>
        </w:tc>
        <w:tc>
          <w:tcPr>
            <w:tcW w:w="4907" w:type="dxa"/>
            <w:tcBorders/>
            <w:shd w:fill="auto" w:val="clear"/>
          </w:tcPr>
          <w:p>
            <w:pPr>
              <w:pStyle w:val="TableContents"/>
              <w:spacing w:before="0" w:after="283"/>
              <w:rPr/>
            </w:pPr>
            <w:r>
              <w:rPr/>
              <w:t>For media information, contact:</w:t>
            </w:r>
          </w:p>
        </w:tc>
      </w:tr>
      <w:tr>
        <w:trPr>
          <w:trHeight w:val="120" w:hRule="atLeast"/>
        </w:trPr>
        <w:tc>
          <w:tcPr>
            <w:tcW w:w="5178" w:type="dxa"/>
            <w:tcBorders/>
            <w:shd w:fill="auto" w:val="clear"/>
            <w:vAlign w:val="center"/>
          </w:tcPr>
          <w:p>
            <w:pPr>
              <w:pStyle w:val="TableContents"/>
              <w:spacing w:before="0" w:after="283"/>
              <w:rPr>
                <w:sz w:val="4"/>
                <w:szCs w:val="4"/>
              </w:rPr>
            </w:pPr>
            <w:r>
              <w:rPr>
                <w:sz w:val="4"/>
                <w:szCs w:val="4"/>
              </w:rPr>
            </w:r>
          </w:p>
        </w:tc>
        <w:tc>
          <w:tcPr>
            <w:tcW w:w="5027" w:type="dxa"/>
            <w:gridSpan w:val="2"/>
            <w:tcBorders/>
            <w:shd w:fill="auto" w:val="clear"/>
            <w:vAlign w:val="center"/>
          </w:tcPr>
          <w:p>
            <w:pPr>
              <w:pStyle w:val="TableContents"/>
              <w:spacing w:before="0" w:after="283"/>
              <w:rPr>
                <w:sz w:val="4"/>
                <w:szCs w:val="4"/>
              </w:rPr>
            </w:pPr>
            <w:r>
              <w:rPr>
                <w:sz w:val="4"/>
                <w:szCs w:val="4"/>
              </w:rPr>
            </w:r>
          </w:p>
        </w:tc>
      </w:tr>
      <w:tr>
        <w:trPr/>
        <w:tc>
          <w:tcPr>
            <w:tcW w:w="5178" w:type="dxa"/>
            <w:tcBorders/>
            <w:shd w:fill="auto" w:val="clear"/>
          </w:tcPr>
          <w:p>
            <w:pPr>
              <w:pStyle w:val="TableContents"/>
              <w:spacing w:before="0" w:after="283"/>
              <w:rPr/>
            </w:pPr>
            <w:r>
              <w:rPr/>
              <w:t>Boyd Nelson</w:t>
            </w:r>
          </w:p>
        </w:tc>
        <w:tc>
          <w:tcPr>
            <w:tcW w:w="120" w:type="dxa"/>
            <w:tcBorders/>
            <w:shd w:fill="auto" w:val="clear"/>
            <w:vAlign w:val="bottom"/>
          </w:tcPr>
          <w:p>
            <w:pPr>
              <w:pStyle w:val="TableContents"/>
              <w:spacing w:before="0" w:after="283"/>
              <w:rPr/>
            </w:pPr>
            <w:r>
              <w:rPr/>
              <w:t>  </w:t>
            </w:r>
          </w:p>
        </w:tc>
        <w:tc>
          <w:tcPr>
            <w:tcW w:w="4907" w:type="dxa"/>
            <w:tcBorders/>
            <w:shd w:fill="auto" w:val="clear"/>
          </w:tcPr>
          <w:p>
            <w:pPr>
              <w:pStyle w:val="TableContents"/>
              <w:spacing w:before="0" w:after="283"/>
              <w:rPr/>
            </w:pPr>
            <w:r>
              <w:rPr/>
              <w:t>Sean Corbett</w:t>
            </w:r>
          </w:p>
        </w:tc>
      </w:tr>
      <w:tr>
        <w:trPr>
          <w:trHeight w:val="120" w:hRule="atLeast"/>
        </w:trPr>
        <w:tc>
          <w:tcPr>
            <w:tcW w:w="5178" w:type="dxa"/>
            <w:tcBorders/>
            <w:shd w:fill="auto" w:val="clear"/>
            <w:vAlign w:val="center"/>
          </w:tcPr>
          <w:p>
            <w:pPr>
              <w:pStyle w:val="TableContents"/>
              <w:spacing w:before="0" w:after="283"/>
              <w:rPr>
                <w:sz w:val="4"/>
                <w:szCs w:val="4"/>
              </w:rPr>
            </w:pPr>
            <w:r>
              <w:rPr>
                <w:sz w:val="4"/>
                <w:szCs w:val="4"/>
              </w:rPr>
            </w:r>
          </w:p>
        </w:tc>
        <w:tc>
          <w:tcPr>
            <w:tcW w:w="5027" w:type="dxa"/>
            <w:gridSpan w:val="2"/>
            <w:tcBorders/>
            <w:shd w:fill="auto" w:val="clear"/>
            <w:vAlign w:val="center"/>
          </w:tcPr>
          <w:p>
            <w:pPr>
              <w:pStyle w:val="TableContents"/>
              <w:spacing w:before="0" w:after="283"/>
              <w:rPr>
                <w:sz w:val="4"/>
                <w:szCs w:val="4"/>
              </w:rPr>
            </w:pPr>
            <w:r>
              <w:rPr>
                <w:sz w:val="4"/>
                <w:szCs w:val="4"/>
              </w:rPr>
            </w:r>
          </w:p>
        </w:tc>
      </w:tr>
      <w:tr>
        <w:trPr/>
        <w:tc>
          <w:tcPr>
            <w:tcW w:w="5178" w:type="dxa"/>
            <w:tcBorders/>
            <w:shd w:fill="auto" w:val="clear"/>
          </w:tcPr>
          <w:p>
            <w:pPr>
              <w:pStyle w:val="TableContents"/>
              <w:spacing w:before="0" w:after="283"/>
              <w:rPr/>
            </w:pPr>
            <w:r>
              <w:rPr/>
              <w:t>(702) 876-7237</w:t>
            </w:r>
          </w:p>
        </w:tc>
        <w:tc>
          <w:tcPr>
            <w:tcW w:w="120" w:type="dxa"/>
            <w:tcBorders/>
            <w:shd w:fill="auto" w:val="clear"/>
            <w:vAlign w:val="bottom"/>
          </w:tcPr>
          <w:p>
            <w:pPr>
              <w:pStyle w:val="TableContents"/>
              <w:spacing w:before="0" w:after="283"/>
              <w:rPr/>
            </w:pPr>
            <w:r>
              <w:rPr/>
              <w:t>  </w:t>
            </w:r>
          </w:p>
        </w:tc>
        <w:tc>
          <w:tcPr>
            <w:tcW w:w="4907" w:type="dxa"/>
            <w:tcBorders/>
            <w:shd w:fill="auto" w:val="clear"/>
          </w:tcPr>
          <w:p>
            <w:pPr>
              <w:pStyle w:val="TableContents"/>
              <w:spacing w:before="0" w:after="283"/>
              <w:rPr/>
            </w:pPr>
            <w:r>
              <w:rPr/>
              <w:t>(702) 876-7219</w:t>
            </w:r>
          </w:p>
        </w:tc>
      </w:tr>
      <w:tr>
        <w:trPr>
          <w:trHeight w:val="120" w:hRule="atLeast"/>
        </w:trPr>
        <w:tc>
          <w:tcPr>
            <w:tcW w:w="5178" w:type="dxa"/>
            <w:tcBorders/>
            <w:shd w:fill="auto" w:val="clear"/>
            <w:vAlign w:val="center"/>
          </w:tcPr>
          <w:p>
            <w:pPr>
              <w:pStyle w:val="TableContents"/>
              <w:spacing w:before="0" w:after="283"/>
              <w:rPr>
                <w:sz w:val="4"/>
                <w:szCs w:val="4"/>
              </w:rPr>
            </w:pPr>
            <w:r>
              <w:rPr>
                <w:sz w:val="4"/>
                <w:szCs w:val="4"/>
              </w:rPr>
            </w:r>
          </w:p>
        </w:tc>
        <w:tc>
          <w:tcPr>
            <w:tcW w:w="5027" w:type="dxa"/>
            <w:gridSpan w:val="2"/>
            <w:tcBorders/>
            <w:shd w:fill="auto" w:val="clear"/>
            <w:vAlign w:val="center"/>
          </w:tcPr>
          <w:p>
            <w:pPr>
              <w:pStyle w:val="TableContents"/>
              <w:spacing w:before="0" w:after="283"/>
              <w:rPr>
                <w:sz w:val="4"/>
                <w:szCs w:val="4"/>
              </w:rPr>
            </w:pPr>
            <w:r>
              <w:rPr>
                <w:sz w:val="4"/>
                <w:szCs w:val="4"/>
              </w:rPr>
            </w:r>
          </w:p>
        </w:tc>
      </w:tr>
      <w:tr>
        <w:trPr/>
        <w:tc>
          <w:tcPr>
            <w:tcW w:w="5178" w:type="dxa"/>
            <w:tcBorders/>
            <w:shd w:fill="auto" w:val="clear"/>
          </w:tcPr>
          <w:p>
            <w:pPr>
              <w:pStyle w:val="TableContents"/>
              <w:spacing w:before="0" w:after="283"/>
              <w:rPr/>
            </w:pPr>
            <w:r>
              <w:rPr/>
              <w:t>boyd.nelson@swgas.com</w:t>
            </w:r>
          </w:p>
        </w:tc>
        <w:tc>
          <w:tcPr>
            <w:tcW w:w="120" w:type="dxa"/>
            <w:tcBorders/>
            <w:shd w:fill="auto" w:val="clear"/>
            <w:vAlign w:val="bottom"/>
          </w:tcPr>
          <w:p>
            <w:pPr>
              <w:pStyle w:val="TableContents"/>
              <w:spacing w:before="0" w:after="283"/>
              <w:rPr/>
            </w:pPr>
            <w:r>
              <w:rPr/>
              <w:t>  </w:t>
            </w:r>
          </w:p>
        </w:tc>
        <w:tc>
          <w:tcPr>
            <w:tcW w:w="4907" w:type="dxa"/>
            <w:tcBorders/>
            <w:shd w:fill="auto" w:val="clear"/>
          </w:tcPr>
          <w:p>
            <w:pPr>
              <w:pStyle w:val="TableContents"/>
              <w:spacing w:before="0" w:after="283"/>
              <w:rPr/>
            </w:pPr>
            <w:r>
              <w:rPr/>
              <w:t>sean.corbett@swgas.com</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SOUTHWEST GAS HOLDINGS, INC. </w:t>
      </w:r>
    </w:p>
    <w:p>
      <w:pPr>
        <w:pStyle w:val="TextBody"/>
        <w:spacing w:before="0" w:after="0"/>
        <w:jc w:val="center"/>
        <w:rPr>
          <w:rFonts w:ascii="Times New Roman" w:hAnsi="Times New Roman"/>
          <w:b/>
          <w:sz w:val="20"/>
        </w:rPr>
      </w:pPr>
      <w:r>
        <w:rPr>
          <w:rFonts w:ascii="Times New Roman" w:hAnsi="Times New Roman"/>
          <w:b/>
          <w:sz w:val="20"/>
        </w:rPr>
        <w:t xml:space="preserve">SUMMARY UNAUDITED OPERATING RESULTS </w:t>
      </w:r>
    </w:p>
    <w:p>
      <w:pPr>
        <w:pStyle w:val="TextBody"/>
        <w:spacing w:before="0" w:after="0"/>
        <w:jc w:val="center"/>
        <w:rPr>
          <w:rFonts w:ascii="Times New Roman" w:hAnsi="Times New Roman"/>
          <w:sz w:val="20"/>
        </w:rPr>
      </w:pPr>
      <w:r>
        <w:rPr>
          <w:rFonts w:ascii="Times New Roman" w:hAnsi="Times New Roman"/>
          <w:sz w:val="20"/>
        </w:rPr>
        <w:t xml:space="preserve">(In thousands, except per share amounts)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026"/>
        <w:gridCol w:w="144"/>
        <w:gridCol w:w="140"/>
        <w:gridCol w:w="805"/>
        <w:gridCol w:w="155"/>
        <w:gridCol w:w="102"/>
        <w:gridCol w:w="140"/>
        <w:gridCol w:w="805"/>
        <w:gridCol w:w="60"/>
        <w:gridCol w:w="144"/>
        <w:gridCol w:w="140"/>
        <w:gridCol w:w="993"/>
        <w:gridCol w:w="155"/>
        <w:gridCol w:w="102"/>
        <w:gridCol w:w="140"/>
        <w:gridCol w:w="992"/>
        <w:gridCol w:w="162"/>
      </w:tblGrid>
      <w:tr>
        <w:trPr/>
        <w:tc>
          <w:tcPr>
            <w:tcW w:w="502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5026"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147" w:type="dxa"/>
            <w:gridSpan w:val="6"/>
            <w:tcBorders>
              <w:bottom w:val="single" w:sz="8" w:space="0" w:color="000000"/>
            </w:tcBorders>
            <w:shd w:fill="auto" w:val="clear"/>
            <w:tcMar>
              <w:bottom w:w="28" w:type="dxa"/>
            </w:tcMar>
            <w:vAlign w:val="bottom"/>
          </w:tcPr>
          <w:p>
            <w:pPr>
              <w:pStyle w:val="TableContents"/>
              <w:spacing w:before="0" w:after="283"/>
              <w:jc w:val="center"/>
              <w:rPr/>
            </w:pPr>
            <w:r>
              <w:rPr/>
              <w:t>Three Months Ended</w:t>
              <w:br/>
              <w:t>December 31,</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2522" w:type="dxa"/>
            <w:gridSpan w:val="6"/>
            <w:tcBorders>
              <w:bottom w:val="single" w:sz="8" w:space="0" w:color="000000"/>
            </w:tcBorders>
            <w:shd w:fill="auto" w:val="clear"/>
            <w:tcMar>
              <w:bottom w:w="28" w:type="dxa"/>
            </w:tcMar>
            <w:vAlign w:val="bottom"/>
          </w:tcPr>
          <w:p>
            <w:pPr>
              <w:pStyle w:val="TableContents"/>
              <w:spacing w:before="0" w:after="283"/>
              <w:jc w:val="center"/>
              <w:rPr/>
            </w:pPr>
            <w:r>
              <w:rPr/>
              <w:t>Year Ended</w:t>
              <w:br/>
              <w:t>December 31,</w:t>
            </w:r>
          </w:p>
        </w:tc>
        <w:tc>
          <w:tcPr>
            <w:tcW w:w="162" w:type="dxa"/>
            <w:tcBorders/>
            <w:shd w:fill="auto"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945" w:type="dxa"/>
            <w:gridSpan w:val="2"/>
            <w:tcBorders>
              <w:bottom w:val="single" w:sz="8" w:space="0" w:color="000000"/>
            </w:tcBorders>
            <w:shd w:fill="auto" w:val="clear"/>
            <w:tcMar>
              <w:bottom w:w="28" w:type="dxa"/>
            </w:tcMar>
            <w:vAlign w:val="bottom"/>
          </w:tcPr>
          <w:p>
            <w:pPr>
              <w:pStyle w:val="TableContents"/>
              <w:spacing w:before="0" w:after="283"/>
              <w:jc w:val="center"/>
              <w:rPr/>
            </w:pPr>
            <w:r>
              <w:rPr/>
              <w:t>2020</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133"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132" w:type="dxa"/>
            <w:gridSpan w:val="2"/>
            <w:tcBorders>
              <w:bottom w:val="single" w:sz="8" w:space="0" w:color="000000"/>
            </w:tcBorders>
            <w:shd w:fill="auto" w:val="clear"/>
            <w:tcMar>
              <w:bottom w:w="28" w:type="dxa"/>
            </w:tcMar>
            <w:vAlign w:val="bottom"/>
          </w:tcPr>
          <w:p>
            <w:pPr>
              <w:pStyle w:val="TableContents"/>
              <w:spacing w:before="0" w:after="283"/>
              <w:jc w:val="center"/>
              <w:rPr/>
            </w:pPr>
            <w:r>
              <w:rPr/>
              <w:t>2020</w:t>
            </w:r>
          </w:p>
        </w:tc>
        <w:tc>
          <w:tcPr>
            <w:tcW w:w="162" w:type="dxa"/>
            <w:tcBorders/>
            <w:shd w:fill="auto" w:val="clear"/>
            <w:vAlign w:val="bottom"/>
          </w:tcPr>
          <w:p>
            <w:pPr>
              <w:pStyle w:val="TableContents"/>
              <w:spacing w:before="0" w:after="283"/>
              <w:rPr/>
            </w:pPr>
            <w:r>
              <w:rPr/>
              <w:t> </w:t>
            </w:r>
          </w:p>
        </w:tc>
      </w:tr>
      <w:tr>
        <w:trPr/>
        <w:tc>
          <w:tcPr>
            <w:tcW w:w="5026" w:type="dxa"/>
            <w:tcBorders/>
            <w:shd w:fill="CCEEFF" w:val="clear"/>
            <w:vAlign w:val="bottom"/>
          </w:tcPr>
          <w:p>
            <w:pPr>
              <w:pStyle w:val="TableContents"/>
              <w:spacing w:before="0" w:after="283"/>
              <w:rPr>
                <w:b/>
              </w:rPr>
            </w:pPr>
            <w:r>
              <w:rPr>
                <w:b/>
              </w:rPr>
              <w:t>Results of Consolidated Operations</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5"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80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93" w:type="dxa"/>
            <w:tcBorders/>
            <w:shd w:fill="CCEEFF" w:val="clear"/>
            <w:vAlign w:val="bottom"/>
          </w:tcPr>
          <w:p>
            <w:pPr>
              <w:pStyle w:val="TableContents"/>
              <w:spacing w:before="0" w:after="283"/>
              <w:rPr>
                <w:sz w:val="4"/>
                <w:szCs w:val="4"/>
              </w:rPr>
            </w:pPr>
            <w:r>
              <w:rPr>
                <w:sz w:val="4"/>
                <w:szCs w:val="4"/>
              </w:rPr>
            </w:r>
          </w:p>
        </w:tc>
        <w:tc>
          <w:tcPr>
            <w:tcW w:w="155" w:type="dxa"/>
            <w:tcBorders/>
            <w:shd w:fill="CCEEFF" w:val="clear"/>
            <w:vAlign w:val="bottom"/>
          </w:tcPr>
          <w:p>
            <w:pPr>
              <w:pStyle w:val="TableContents"/>
              <w:spacing w:before="0" w:after="283"/>
              <w:rPr>
                <w:sz w:val="4"/>
                <w:szCs w:val="4"/>
              </w:rPr>
            </w:pPr>
            <w:r>
              <w:rPr>
                <w:sz w:val="4"/>
                <w:szCs w:val="4"/>
              </w:rPr>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992" w:type="dxa"/>
            <w:tcBorders/>
            <w:shd w:fill="CCEEFF" w:val="clear"/>
            <w:vAlign w:val="bottom"/>
          </w:tcPr>
          <w:p>
            <w:pPr>
              <w:pStyle w:val="TableContents"/>
              <w:spacing w:before="0" w:after="283"/>
              <w:rPr>
                <w:sz w:val="4"/>
                <w:szCs w:val="4"/>
              </w:rPr>
            </w:pPr>
            <w:r>
              <w:rPr>
                <w:sz w:val="4"/>
                <w:szCs w:val="4"/>
              </w:rPr>
            </w:r>
          </w:p>
        </w:tc>
        <w:tc>
          <w:tcPr>
            <w:tcW w:w="162" w:type="dxa"/>
            <w:tcBorders/>
            <w:shd w:fill="CCEEFF" w:val="clear"/>
            <w:vAlign w:val="bottom"/>
          </w:tcPr>
          <w:p>
            <w:pPr>
              <w:pStyle w:val="TableContents"/>
              <w:spacing w:before="0" w:after="283"/>
              <w:rPr>
                <w:sz w:val="4"/>
                <w:szCs w:val="4"/>
              </w:rPr>
            </w:pPr>
            <w:r>
              <w:rPr>
                <w:sz w:val="4"/>
                <w:szCs w:val="4"/>
              </w:rPr>
            </w:r>
          </w:p>
        </w:tc>
      </w:tr>
      <w:tr>
        <w:trPr/>
        <w:tc>
          <w:tcPr>
            <w:tcW w:w="5026" w:type="dxa"/>
            <w:tcBorders/>
            <w:shd w:fill="auto" w:val="clear"/>
            <w:vAlign w:val="bottom"/>
          </w:tcPr>
          <w:p>
            <w:pPr>
              <w:pStyle w:val="TableContents"/>
              <w:spacing w:before="0" w:after="283"/>
              <w:rPr/>
            </w:pPr>
            <w:r>
              <w:rPr/>
              <w:t>Contribution to net income - gas distribution</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84,551</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79,550</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3" w:type="dxa"/>
            <w:tcBorders/>
            <w:shd w:fill="auto" w:val="clear"/>
            <w:vAlign w:val="bottom"/>
          </w:tcPr>
          <w:p>
            <w:pPr>
              <w:pStyle w:val="TableContents"/>
              <w:spacing w:before="0" w:after="283"/>
              <w:jc w:val="right"/>
              <w:rPr/>
            </w:pPr>
            <w:r>
              <w:rPr/>
              <w:t>187,135</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2" w:type="dxa"/>
            <w:tcBorders/>
            <w:shd w:fill="auto" w:val="clear"/>
            <w:vAlign w:val="bottom"/>
          </w:tcPr>
          <w:p>
            <w:pPr>
              <w:pStyle w:val="TableContents"/>
              <w:spacing w:before="0" w:after="283"/>
              <w:jc w:val="right"/>
              <w:rPr/>
            </w:pPr>
            <w:r>
              <w:rPr/>
              <w:t>159,118</w:t>
            </w:r>
          </w:p>
        </w:tc>
        <w:tc>
          <w:tcPr>
            <w:tcW w:w="162" w:type="dxa"/>
            <w:tcBorders/>
            <w:shd w:fill="auto" w:val="clear"/>
            <w:vAlign w:val="bottom"/>
          </w:tcPr>
          <w:p>
            <w:pPr>
              <w:pStyle w:val="TableContents"/>
              <w:spacing w:before="0" w:after="283"/>
              <w:rPr/>
            </w:pPr>
            <w:r>
              <w:rPr/>
              <w:t> </w:t>
            </w:r>
          </w:p>
        </w:tc>
      </w:tr>
      <w:tr>
        <w:trPr/>
        <w:tc>
          <w:tcPr>
            <w:tcW w:w="5026" w:type="dxa"/>
            <w:tcBorders/>
            <w:shd w:fill="CCEEFF" w:val="clear"/>
            <w:vAlign w:val="bottom"/>
          </w:tcPr>
          <w:p>
            <w:pPr>
              <w:pStyle w:val="TableContents"/>
              <w:spacing w:before="0" w:after="283"/>
              <w:rPr/>
            </w:pPr>
            <w:r>
              <w:rPr/>
              <w:t>Contribution to net income - utility infrastructure services</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7,623</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23,926</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40,420</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74,862</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pPr>
            <w:r>
              <w:rPr/>
              <w:t>Corporate and administrative</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(22,231</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68</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(26,776</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(1,656</w:t>
            </w:r>
          </w:p>
        </w:tc>
        <w:tc>
          <w:tcPr>
            <w:tcW w:w="162" w:type="dxa"/>
            <w:tcBorders/>
            <w:shd w:fill="auto"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026" w:type="dxa"/>
            <w:tcBorders/>
            <w:shd w:fill="CCEEFF" w:val="clear"/>
            <w:vAlign w:val="bottom"/>
          </w:tcPr>
          <w:p>
            <w:pPr>
              <w:pStyle w:val="TableContents"/>
              <w:spacing w:before="0" w:after="283"/>
              <w:rPr/>
            </w:pPr>
            <w:r>
              <w:rPr/>
              <w:t>Net income</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69,943</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103,544</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93" w:type="dxa"/>
            <w:tcBorders/>
            <w:shd w:fill="CCEEFF" w:val="clear"/>
            <w:vAlign w:val="bottom"/>
          </w:tcPr>
          <w:p>
            <w:pPr>
              <w:pStyle w:val="TableContents"/>
              <w:spacing w:before="0" w:after="283"/>
              <w:jc w:val="right"/>
              <w:rPr/>
            </w:pPr>
            <w:r>
              <w:rPr/>
              <w:t>200,779</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92" w:type="dxa"/>
            <w:tcBorders/>
            <w:shd w:fill="CCEEFF" w:val="clear"/>
            <w:vAlign w:val="bottom"/>
          </w:tcPr>
          <w:p>
            <w:pPr>
              <w:pStyle w:val="TableContents"/>
              <w:spacing w:before="0" w:after="283"/>
              <w:jc w:val="right"/>
              <w:rPr/>
            </w:pPr>
            <w:r>
              <w:rPr/>
              <w:t>232,324</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9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92"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026" w:type="dxa"/>
            <w:tcBorders/>
            <w:shd w:fill="auto" w:val="clear"/>
            <w:vAlign w:val="bottom"/>
          </w:tcPr>
          <w:p>
            <w:pPr>
              <w:pStyle w:val="TableContents"/>
              <w:spacing w:before="0" w:after="283"/>
              <w:rPr/>
            </w:pPr>
            <w:r>
              <w:rPr/>
              <w:t>Basic earnings per share</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1.15</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1.82</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3" w:type="dxa"/>
            <w:tcBorders/>
            <w:shd w:fill="auto" w:val="clear"/>
            <w:vAlign w:val="bottom"/>
          </w:tcPr>
          <w:p>
            <w:pPr>
              <w:pStyle w:val="TableContents"/>
              <w:spacing w:before="0" w:after="283"/>
              <w:jc w:val="right"/>
              <w:rPr/>
            </w:pPr>
            <w:r>
              <w:rPr/>
              <w:t>3.39</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2" w:type="dxa"/>
            <w:tcBorders/>
            <w:shd w:fill="auto" w:val="clear"/>
            <w:vAlign w:val="bottom"/>
          </w:tcPr>
          <w:p>
            <w:pPr>
              <w:pStyle w:val="TableContents"/>
              <w:spacing w:before="0" w:after="283"/>
              <w:jc w:val="right"/>
              <w:rPr/>
            </w:pPr>
            <w:r>
              <w:rPr/>
              <w:t>4.15</w:t>
            </w:r>
          </w:p>
        </w:tc>
        <w:tc>
          <w:tcPr>
            <w:tcW w:w="162" w:type="dxa"/>
            <w:tcBorders/>
            <w:shd w:fill="auto"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9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92"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026" w:type="dxa"/>
            <w:tcBorders/>
            <w:shd w:fill="CCEEFF" w:val="clear"/>
            <w:vAlign w:val="bottom"/>
          </w:tcPr>
          <w:p>
            <w:pPr>
              <w:pStyle w:val="TableContents"/>
              <w:spacing w:before="0" w:after="283"/>
              <w:rPr/>
            </w:pPr>
            <w:r>
              <w:rPr/>
              <w:t>Diluted earnings per share</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1.15</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1.82</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93" w:type="dxa"/>
            <w:tcBorders/>
            <w:shd w:fill="CCEEFF" w:val="clear"/>
            <w:vAlign w:val="bottom"/>
          </w:tcPr>
          <w:p>
            <w:pPr>
              <w:pStyle w:val="TableContents"/>
              <w:spacing w:before="0" w:after="283"/>
              <w:jc w:val="right"/>
              <w:rPr/>
            </w:pPr>
            <w:r>
              <w:rPr/>
              <w:t>3.39</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92" w:type="dxa"/>
            <w:tcBorders/>
            <w:shd w:fill="CCEEFF" w:val="clear"/>
            <w:vAlign w:val="bottom"/>
          </w:tcPr>
          <w:p>
            <w:pPr>
              <w:pStyle w:val="TableContents"/>
              <w:spacing w:before="0" w:after="283"/>
              <w:jc w:val="right"/>
              <w:rPr/>
            </w:pPr>
            <w:r>
              <w:rPr/>
              <w:t>4.14</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9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92"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026" w:type="dxa"/>
            <w:tcBorders/>
            <w:shd w:fill="auto" w:val="clear"/>
            <w:vAlign w:val="bottom"/>
          </w:tcPr>
          <w:p>
            <w:pPr>
              <w:pStyle w:val="TableContents"/>
              <w:spacing w:before="0" w:after="283"/>
              <w:rPr/>
            </w:pPr>
            <w:r>
              <w:rPr/>
              <w:t>Weighted average common shares</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60,647</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56,934</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59,145</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55,998</w:t>
            </w:r>
          </w:p>
        </w:tc>
        <w:tc>
          <w:tcPr>
            <w:tcW w:w="162" w:type="dxa"/>
            <w:tcBorders/>
            <w:shd w:fill="auto" w:val="clear"/>
            <w:vAlign w:val="bottom"/>
          </w:tcPr>
          <w:p>
            <w:pPr>
              <w:pStyle w:val="TableContents"/>
              <w:spacing w:before="0" w:after="283"/>
              <w:rPr/>
            </w:pPr>
            <w:r>
              <w:rPr/>
              <w:t> </w:t>
            </w:r>
          </w:p>
        </w:tc>
      </w:tr>
      <w:tr>
        <w:trPr/>
        <w:tc>
          <w:tcPr>
            <w:tcW w:w="5026" w:type="dxa"/>
            <w:tcBorders/>
            <w:shd w:fill="CCEEFF" w:val="clear"/>
            <w:vAlign w:val="bottom"/>
          </w:tcPr>
          <w:p>
            <w:pPr>
              <w:pStyle w:val="TableContents"/>
              <w:spacing w:before="0" w:after="283"/>
              <w:rPr/>
            </w:pPr>
            <w:r>
              <w:rPr/>
              <w:t>Weighted average diluted shares</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60,795</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57,034</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59,259</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56,076</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b/>
              </w:rPr>
            </w:pPr>
            <w:r>
              <w:rPr>
                <w:b/>
              </w:rPr>
              <w:t>Results of Natural Gas Distribution</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80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93" w:type="dxa"/>
            <w:tcBorders/>
            <w:shd w:fill="auto" w:val="clear"/>
            <w:vAlign w:val="bottom"/>
          </w:tcPr>
          <w:p>
            <w:pPr>
              <w:pStyle w:val="TableContents"/>
              <w:spacing w:before="0" w:after="283"/>
              <w:rPr>
                <w:sz w:val="4"/>
                <w:szCs w:val="4"/>
              </w:rPr>
            </w:pPr>
            <w:r>
              <w:rPr>
                <w:sz w:val="4"/>
                <w:szCs w:val="4"/>
              </w:rPr>
            </w:r>
          </w:p>
        </w:tc>
        <w:tc>
          <w:tcPr>
            <w:tcW w:w="155" w:type="dxa"/>
            <w:tcBorders/>
            <w:shd w:fill="auto" w:val="clear"/>
            <w:vAlign w:val="bottom"/>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992"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r>
      <w:tr>
        <w:trPr/>
        <w:tc>
          <w:tcPr>
            <w:tcW w:w="5026" w:type="dxa"/>
            <w:tcBorders/>
            <w:shd w:fill="CCEEFF" w:val="clear"/>
            <w:vAlign w:val="bottom"/>
          </w:tcPr>
          <w:p>
            <w:pPr>
              <w:pStyle w:val="TableContents"/>
              <w:spacing w:before="0" w:after="283"/>
              <w:rPr/>
            </w:pPr>
            <w:r>
              <w:rPr/>
              <w:t>Gas operating revenues</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451,214</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5" w:type="dxa"/>
            <w:tcBorders/>
            <w:shd w:fill="CCEEFF" w:val="clear"/>
            <w:vAlign w:val="bottom"/>
          </w:tcPr>
          <w:p>
            <w:pPr>
              <w:pStyle w:val="TableContents"/>
              <w:spacing w:before="0" w:after="283"/>
              <w:jc w:val="right"/>
              <w:rPr/>
            </w:pPr>
            <w:r>
              <w:rPr/>
              <w:t>374,490</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93" w:type="dxa"/>
            <w:tcBorders/>
            <w:shd w:fill="CCEEFF" w:val="clear"/>
            <w:vAlign w:val="bottom"/>
          </w:tcPr>
          <w:p>
            <w:pPr>
              <w:pStyle w:val="TableContents"/>
              <w:spacing w:before="0" w:after="283"/>
              <w:jc w:val="right"/>
              <w:rPr/>
            </w:pPr>
            <w:r>
              <w:rPr/>
              <w:t>1,521,790</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992" w:type="dxa"/>
            <w:tcBorders/>
            <w:shd w:fill="CCEEFF" w:val="clear"/>
            <w:vAlign w:val="bottom"/>
          </w:tcPr>
          <w:p>
            <w:pPr>
              <w:pStyle w:val="TableContents"/>
              <w:spacing w:before="0" w:after="283"/>
              <w:jc w:val="right"/>
              <w:rPr/>
            </w:pPr>
            <w:r>
              <w:rPr/>
              <w:t>1,350,585</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pPr>
            <w:r>
              <w:rPr/>
              <w:t>Net cost of gas sold</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134,680</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78,222</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430,907</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342,837</w:t>
            </w:r>
          </w:p>
        </w:tc>
        <w:tc>
          <w:tcPr>
            <w:tcW w:w="162" w:type="dxa"/>
            <w:tcBorders/>
            <w:shd w:fill="auto"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026" w:type="dxa"/>
            <w:tcBorders/>
            <w:shd w:fill="CCEEFF" w:val="clear"/>
            <w:vAlign w:val="bottom"/>
          </w:tcPr>
          <w:p>
            <w:pPr>
              <w:pStyle w:val="TableContents"/>
              <w:spacing w:before="0" w:after="283"/>
              <w:rPr/>
            </w:pPr>
            <w:r>
              <w:rPr/>
              <w:t>Operating margin</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316,534</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296,268</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1,090,883</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1,007,748</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pPr>
            <w:r>
              <w:rPr/>
              <w:t>Operations and maintenance expense</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109,570</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102,815</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438,550</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406,382</w:t>
            </w:r>
          </w:p>
        </w:tc>
        <w:tc>
          <w:tcPr>
            <w:tcW w:w="162" w:type="dxa"/>
            <w:tcBorders/>
            <w:shd w:fill="auto" w:val="clear"/>
            <w:vAlign w:val="bottom"/>
          </w:tcPr>
          <w:p>
            <w:pPr>
              <w:pStyle w:val="TableContents"/>
              <w:spacing w:before="0" w:after="283"/>
              <w:rPr/>
            </w:pPr>
            <w:r>
              <w:rPr/>
              <w:t> </w:t>
            </w:r>
          </w:p>
        </w:tc>
      </w:tr>
      <w:tr>
        <w:trPr/>
        <w:tc>
          <w:tcPr>
            <w:tcW w:w="5026" w:type="dxa"/>
            <w:tcBorders/>
            <w:shd w:fill="CCEEFF" w:val="clear"/>
            <w:vAlign w:val="bottom"/>
          </w:tcPr>
          <w:p>
            <w:pPr>
              <w:pStyle w:val="TableContents"/>
              <w:spacing w:before="0" w:after="283"/>
              <w:rPr/>
            </w:pPr>
            <w:r>
              <w:rPr/>
              <w:t>Depreciation and amortization</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65,710</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61,430</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253,398</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235,295</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pPr>
            <w:r>
              <w:rPr/>
              <w:t>Taxes other than income taxes</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20,209</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15,953</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80,343</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63,460</w:t>
            </w:r>
          </w:p>
        </w:tc>
        <w:tc>
          <w:tcPr>
            <w:tcW w:w="162" w:type="dxa"/>
            <w:tcBorders/>
            <w:shd w:fill="auto"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026" w:type="dxa"/>
            <w:tcBorders/>
            <w:shd w:fill="CCEEFF" w:val="clear"/>
            <w:vAlign w:val="bottom"/>
          </w:tcPr>
          <w:p>
            <w:pPr>
              <w:pStyle w:val="TableContents"/>
              <w:spacing w:before="0" w:after="283"/>
              <w:rPr/>
            </w:pPr>
            <w:r>
              <w:rPr/>
              <w:t>Operating income</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121,045</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116,070</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318,592</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302,611</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pPr>
            <w:r>
              <w:rPr/>
              <w:t>Other income (deductions)</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343</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4,357</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(4,559</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(6,590</w:t>
            </w:r>
          </w:p>
        </w:tc>
        <w:tc>
          <w:tcPr>
            <w:tcW w:w="162" w:type="dxa"/>
            <w:tcBorders/>
            <w:shd w:fill="auto" w:val="clear"/>
            <w:vAlign w:val="bottom"/>
          </w:tcPr>
          <w:p>
            <w:pPr>
              <w:pStyle w:val="TableContents"/>
              <w:spacing w:before="0" w:after="283"/>
              <w:rPr/>
            </w:pPr>
            <w:r>
              <w:rPr/>
              <w:t>) </w:t>
            </w:r>
          </w:p>
        </w:tc>
      </w:tr>
      <w:tr>
        <w:trPr/>
        <w:tc>
          <w:tcPr>
            <w:tcW w:w="5026" w:type="dxa"/>
            <w:tcBorders/>
            <w:shd w:fill="CCEEFF" w:val="clear"/>
            <w:vAlign w:val="bottom"/>
          </w:tcPr>
          <w:p>
            <w:pPr>
              <w:pStyle w:val="TableContents"/>
              <w:spacing w:before="0" w:after="283"/>
              <w:rPr/>
            </w:pPr>
            <w:r>
              <w:rPr/>
              <w:t>Net interest deductions</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26,297</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25,996</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97,560</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101,148</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026" w:type="dxa"/>
            <w:tcBorders/>
            <w:shd w:fill="auto" w:val="clear"/>
            <w:vAlign w:val="bottom"/>
          </w:tcPr>
          <w:p>
            <w:pPr>
              <w:pStyle w:val="TableContents"/>
              <w:spacing w:before="0" w:after="283"/>
              <w:rPr/>
            </w:pPr>
            <w:r>
              <w:rPr/>
              <w:t>Income before income taxes</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95,091</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5" w:type="dxa"/>
            <w:tcBorders/>
            <w:shd w:fill="auto" w:val="clear"/>
            <w:vAlign w:val="bottom"/>
          </w:tcPr>
          <w:p>
            <w:pPr>
              <w:pStyle w:val="TableContents"/>
              <w:spacing w:before="0" w:after="283"/>
              <w:jc w:val="right"/>
              <w:rPr/>
            </w:pPr>
            <w:r>
              <w:rPr/>
              <w:t>94,431</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3" w:type="dxa"/>
            <w:tcBorders/>
            <w:shd w:fill="auto" w:val="clear"/>
            <w:vAlign w:val="bottom"/>
          </w:tcPr>
          <w:p>
            <w:pPr>
              <w:pStyle w:val="TableContents"/>
              <w:spacing w:before="0" w:after="283"/>
              <w:jc w:val="right"/>
              <w:rPr/>
            </w:pPr>
            <w:r>
              <w:rPr/>
              <w:t>216,473</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992" w:type="dxa"/>
            <w:tcBorders/>
            <w:shd w:fill="auto" w:val="clear"/>
            <w:vAlign w:val="bottom"/>
          </w:tcPr>
          <w:p>
            <w:pPr>
              <w:pStyle w:val="TableContents"/>
              <w:spacing w:before="0" w:after="283"/>
              <w:jc w:val="right"/>
              <w:rPr/>
            </w:pPr>
            <w:r>
              <w:rPr/>
              <w:t>194,873</w:t>
            </w:r>
          </w:p>
        </w:tc>
        <w:tc>
          <w:tcPr>
            <w:tcW w:w="162" w:type="dxa"/>
            <w:tcBorders/>
            <w:shd w:fill="auto" w:val="clear"/>
            <w:vAlign w:val="bottom"/>
          </w:tcPr>
          <w:p>
            <w:pPr>
              <w:pStyle w:val="TableContents"/>
              <w:spacing w:before="0" w:after="283"/>
              <w:rPr/>
            </w:pPr>
            <w:r>
              <w:rPr/>
              <w:t> </w:t>
            </w:r>
          </w:p>
        </w:tc>
      </w:tr>
      <w:tr>
        <w:trPr/>
        <w:tc>
          <w:tcPr>
            <w:tcW w:w="5026" w:type="dxa"/>
            <w:tcBorders/>
            <w:shd w:fill="CCEEFF" w:val="clear"/>
            <w:vAlign w:val="bottom"/>
          </w:tcPr>
          <w:p>
            <w:pPr>
              <w:pStyle w:val="TableContents"/>
              <w:spacing w:before="0" w:after="283"/>
              <w:rPr/>
            </w:pPr>
            <w:r>
              <w:rPr/>
              <w:t>Income tax expense</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10,540</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5" w:type="dxa"/>
            <w:tcBorders/>
            <w:shd w:fill="CCEEFF" w:val="clear"/>
            <w:vAlign w:val="bottom"/>
          </w:tcPr>
          <w:p>
            <w:pPr>
              <w:pStyle w:val="TableContents"/>
              <w:spacing w:before="0" w:after="283"/>
              <w:jc w:val="right"/>
              <w:rPr/>
            </w:pPr>
            <w:r>
              <w:rPr/>
              <w:t>14,881</w:t>
            </w:r>
          </w:p>
        </w:tc>
        <w:tc>
          <w:tcPr>
            <w:tcW w:w="60"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3" w:type="dxa"/>
            <w:tcBorders/>
            <w:shd w:fill="CCEEFF" w:val="clear"/>
            <w:vAlign w:val="bottom"/>
          </w:tcPr>
          <w:p>
            <w:pPr>
              <w:pStyle w:val="TableContents"/>
              <w:spacing w:before="0" w:after="283"/>
              <w:jc w:val="right"/>
              <w:rPr/>
            </w:pPr>
            <w:r>
              <w:rPr/>
              <w:t>29,338</w:t>
            </w:r>
          </w:p>
        </w:tc>
        <w:tc>
          <w:tcPr>
            <w:tcW w:w="155"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992" w:type="dxa"/>
            <w:tcBorders/>
            <w:shd w:fill="CCEEFF" w:val="clear"/>
            <w:vAlign w:val="bottom"/>
          </w:tcPr>
          <w:p>
            <w:pPr>
              <w:pStyle w:val="TableContents"/>
              <w:spacing w:before="0" w:after="283"/>
              <w:jc w:val="right"/>
              <w:rPr/>
            </w:pPr>
            <w:r>
              <w:rPr/>
              <w:t>35,755</w:t>
            </w:r>
          </w:p>
        </w:tc>
        <w:tc>
          <w:tcPr>
            <w:tcW w:w="162" w:type="dxa"/>
            <w:tcBorders/>
            <w:shd w:fill="CCEEFF"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3"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992" w:type="dxa"/>
            <w:tcBorders/>
            <w:shd w:fill="auto" w:val="clear"/>
            <w:vAlign w:val="bottom"/>
          </w:tcPr>
          <w:p>
            <w:pPr>
              <w:pStyle w:val="TableContents"/>
              <w:pBdr>
                <w:top w:val="single" w:sz="2"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r>
        <w:trPr/>
        <w:tc>
          <w:tcPr>
            <w:tcW w:w="5026" w:type="dxa"/>
            <w:tcBorders/>
            <w:shd w:fill="auto" w:val="clear"/>
          </w:tcPr>
          <w:p>
            <w:pPr>
              <w:pStyle w:val="TableContents"/>
              <w:spacing w:before="0" w:after="0"/>
              <w:rPr>
                <w:rFonts w:ascii="Times New Roman" w:hAnsi="Times New Roman"/>
                <w:sz w:val="20"/>
              </w:rPr>
            </w:pPr>
            <w:r>
              <w:rPr>
                <w:rFonts w:ascii="Times New Roman" w:hAnsi="Times New Roman"/>
                <w:sz w:val="20"/>
              </w:rPr>
              <w:t>Contribution to net income - gas distribution</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84,551</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5" w:type="dxa"/>
            <w:tcBorders/>
            <w:shd w:fill="auto" w:val="clear"/>
            <w:vAlign w:val="bottom"/>
          </w:tcPr>
          <w:p>
            <w:pPr>
              <w:pStyle w:val="TableContents"/>
              <w:spacing w:before="0" w:after="283"/>
              <w:jc w:val="right"/>
              <w:rPr/>
            </w:pPr>
            <w:r>
              <w:rPr/>
              <w:t>79,550</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3" w:type="dxa"/>
            <w:tcBorders/>
            <w:shd w:fill="auto" w:val="clear"/>
            <w:vAlign w:val="bottom"/>
          </w:tcPr>
          <w:p>
            <w:pPr>
              <w:pStyle w:val="TableContents"/>
              <w:spacing w:before="0" w:after="283"/>
              <w:jc w:val="right"/>
              <w:rPr/>
            </w:pPr>
            <w:r>
              <w:rPr/>
              <w:t>187,135</w:t>
            </w:r>
          </w:p>
        </w:tc>
        <w:tc>
          <w:tcPr>
            <w:tcW w:w="155" w:type="dxa"/>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992" w:type="dxa"/>
            <w:tcBorders/>
            <w:shd w:fill="auto" w:val="clear"/>
            <w:vAlign w:val="bottom"/>
          </w:tcPr>
          <w:p>
            <w:pPr>
              <w:pStyle w:val="TableContents"/>
              <w:spacing w:before="0" w:after="283"/>
              <w:jc w:val="right"/>
              <w:rPr/>
            </w:pPr>
            <w:r>
              <w:rPr/>
              <w:t>159,118</w:t>
            </w:r>
          </w:p>
        </w:tc>
        <w:tc>
          <w:tcPr>
            <w:tcW w:w="162" w:type="dxa"/>
            <w:tcBorders/>
            <w:shd w:fill="auto" w:val="clear"/>
            <w:vAlign w:val="bottom"/>
          </w:tcPr>
          <w:p>
            <w:pPr>
              <w:pStyle w:val="TableContents"/>
              <w:spacing w:before="0" w:after="283"/>
              <w:rPr/>
            </w:pPr>
            <w:r>
              <w:rPr/>
              <w:t> </w:t>
            </w:r>
          </w:p>
        </w:tc>
      </w:tr>
      <w:tr>
        <w:trPr/>
        <w:tc>
          <w:tcPr>
            <w:tcW w:w="5026"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93"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102"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992" w:type="dxa"/>
            <w:tcBorders/>
            <w:shd w:fill="auto" w:val="clear"/>
            <w:vAlign w:val="bottom"/>
          </w:tcPr>
          <w:p>
            <w:pPr>
              <w:pStyle w:val="TableContents"/>
              <w:pBdr>
                <w:top w:val="double" w:sz="6" w:space="1" w:color="000000"/>
              </w:pBdr>
              <w:spacing w:before="0" w:after="0"/>
              <w:rPr/>
            </w:pPr>
            <w:r>
              <w:rPr/>
              <w:t> </w:t>
            </w:r>
          </w:p>
        </w:tc>
        <w:tc>
          <w:tcPr>
            <w:tcW w:w="162" w:type="dxa"/>
            <w:tcBorders/>
            <w:shd w:fill="auto" w:val="clear"/>
            <w:vAlign w:val="center"/>
          </w:tcPr>
          <w:p>
            <w:pPr>
              <w:pStyle w:val="TableContents"/>
              <w:spacing w:before="0" w:after="283"/>
              <w:rPr/>
            </w:pPr>
            <w:r>
              <w:rPr/>
              <w:t>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rPr>
      </w:pPr>
      <w:r>
        <w:rPr>
          <w:rFonts w:ascii="Times New Roman" w:hAnsi="Times New Roman"/>
          <w:b/>
          <w:sz w:val="20"/>
        </w:rPr>
        <w:t xml:space="preserve">FINANCIAL STATISTICS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5384"/>
        <w:gridCol w:w="306"/>
        <w:gridCol w:w="60"/>
        <w:gridCol w:w="911"/>
        <w:gridCol w:w="278"/>
      </w:tblGrid>
      <w:tr>
        <w:trPr/>
        <w:tc>
          <w:tcPr>
            <w:tcW w:w="5384"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r>
      <w:tr>
        <w:trPr/>
        <w:tc>
          <w:tcPr>
            <w:tcW w:w="5384"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Market value to book value per share at quarter end</w:t>
            </w:r>
          </w:p>
        </w:tc>
        <w:tc>
          <w:tcPr>
            <w:tcW w:w="3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143</w:t>
            </w:r>
          </w:p>
        </w:tc>
        <w:tc>
          <w:tcPr>
            <w:tcW w:w="278" w:type="dxa"/>
            <w:tcBorders/>
            <w:shd w:fill="CCEEFF" w:val="clear"/>
            <w:vAlign w:val="bottom"/>
          </w:tcPr>
          <w:p>
            <w:pPr>
              <w:pStyle w:val="TableContents"/>
              <w:spacing w:before="0" w:after="283"/>
              <w:rPr/>
            </w:pPr>
            <w:r>
              <w:rPr/>
              <w:t>% </w:t>
            </w:r>
          </w:p>
        </w:tc>
      </w:tr>
      <w:tr>
        <w:trPr/>
        <w:tc>
          <w:tcPr>
            <w:tcW w:w="538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Twelve months to date return on equity  total company</w:t>
            </w:r>
          </w:p>
        </w:tc>
        <w:tc>
          <w:tcPr>
            <w:tcW w:w="3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7.1</w:t>
            </w:r>
          </w:p>
        </w:tc>
        <w:tc>
          <w:tcPr>
            <w:tcW w:w="278" w:type="dxa"/>
            <w:tcBorders/>
            <w:shd w:fill="auto" w:val="clear"/>
            <w:vAlign w:val="bottom"/>
          </w:tcPr>
          <w:p>
            <w:pPr>
              <w:pStyle w:val="TableContents"/>
              <w:spacing w:before="0" w:after="283"/>
              <w:rPr/>
            </w:pPr>
            <w:r>
              <w:rPr/>
              <w:t>% </w:t>
            </w:r>
          </w:p>
        </w:tc>
      </w:tr>
      <w:tr>
        <w:trPr/>
        <w:tc>
          <w:tcPr>
            <w:tcW w:w="5384"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 gas distribution</w:t>
            </w:r>
          </w:p>
        </w:tc>
        <w:tc>
          <w:tcPr>
            <w:tcW w:w="3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7.8</w:t>
            </w:r>
          </w:p>
        </w:tc>
        <w:tc>
          <w:tcPr>
            <w:tcW w:w="278" w:type="dxa"/>
            <w:tcBorders/>
            <w:shd w:fill="CCEEFF" w:val="clear"/>
            <w:vAlign w:val="bottom"/>
          </w:tcPr>
          <w:p>
            <w:pPr>
              <w:pStyle w:val="TableContents"/>
              <w:spacing w:before="0" w:after="283"/>
              <w:rPr/>
            </w:pPr>
            <w:r>
              <w:rPr/>
              <w:t>% </w:t>
            </w:r>
          </w:p>
        </w:tc>
      </w:tr>
      <w:tr>
        <w:trPr/>
        <w:tc>
          <w:tcPr>
            <w:tcW w:w="538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Common stock dividend yield at quarter end</w:t>
            </w:r>
          </w:p>
        </w:tc>
        <w:tc>
          <w:tcPr>
            <w:tcW w:w="30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11" w:type="dxa"/>
            <w:tcBorders/>
            <w:shd w:fill="auto" w:val="clear"/>
            <w:vAlign w:val="bottom"/>
          </w:tcPr>
          <w:p>
            <w:pPr>
              <w:pStyle w:val="TableContents"/>
              <w:spacing w:before="0" w:after="283"/>
              <w:jc w:val="right"/>
              <w:rPr/>
            </w:pPr>
            <w:r>
              <w:rPr/>
              <w:t>3.4</w:t>
            </w:r>
          </w:p>
        </w:tc>
        <w:tc>
          <w:tcPr>
            <w:tcW w:w="278" w:type="dxa"/>
            <w:tcBorders/>
            <w:shd w:fill="auto" w:val="clear"/>
            <w:vAlign w:val="bottom"/>
          </w:tcPr>
          <w:p>
            <w:pPr>
              <w:pStyle w:val="TableContents"/>
              <w:spacing w:before="0" w:after="283"/>
              <w:rPr/>
            </w:pPr>
            <w:r>
              <w:rPr/>
              <w:t>% </w:t>
            </w:r>
          </w:p>
        </w:tc>
      </w:tr>
      <w:tr>
        <w:trPr/>
        <w:tc>
          <w:tcPr>
            <w:tcW w:w="5384"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Customer to employee ratio at quarter end (gas distribution segment)</w:t>
            </w:r>
          </w:p>
        </w:tc>
        <w:tc>
          <w:tcPr>
            <w:tcW w:w="30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911" w:type="dxa"/>
            <w:tcBorders/>
            <w:shd w:fill="CCEEFF" w:val="clear"/>
            <w:vAlign w:val="bottom"/>
          </w:tcPr>
          <w:p>
            <w:pPr>
              <w:pStyle w:val="TableContents"/>
              <w:spacing w:before="0" w:after="283"/>
              <w:jc w:val="right"/>
              <w:rPr/>
            </w:pPr>
            <w:r>
              <w:rPr/>
              <w:t>945 to 1</w:t>
            </w:r>
          </w:p>
        </w:tc>
        <w:tc>
          <w:tcPr>
            <w:tcW w:w="278" w:type="dxa"/>
            <w:tcBorders/>
            <w:shd w:fill="CCEEFF" w:val="clear"/>
            <w:vAlign w:val="bottom"/>
          </w:tcPr>
          <w:p>
            <w:pPr>
              <w:pStyle w:val="TableContents"/>
              <w:spacing w:before="0" w:after="283"/>
              <w:rPr/>
            </w:pPr>
            <w:r>
              <w:rPr/>
              <w:t> </w:t>
            </w:r>
          </w:p>
        </w:tc>
      </w:tr>
    </w:tbl>
    <w:p>
      <w:pPr>
        <w:pStyle w:val="TextBody"/>
        <w:spacing w:before="360" w:after="0"/>
        <w:jc w:val="left"/>
        <w:rPr>
          <w:rFonts w:ascii="Times New Roman" w:hAnsi="Times New Roman"/>
          <w:b/>
          <w:sz w:val="20"/>
        </w:rPr>
      </w:pPr>
      <w:r>
        <w:rPr>
          <w:rFonts w:ascii="Times New Roman" w:hAnsi="Times New Roman"/>
          <w:b/>
          <w:sz w:val="20"/>
        </w:rPr>
        <w:t xml:space="preserve">NATURAL GAS DISTRIBUTION SEGMENT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1562"/>
        <w:gridCol w:w="207"/>
        <w:gridCol w:w="263"/>
        <w:gridCol w:w="1842"/>
        <w:gridCol w:w="60"/>
        <w:gridCol w:w="207"/>
        <w:gridCol w:w="220"/>
        <w:gridCol w:w="1619"/>
        <w:gridCol w:w="275"/>
        <w:gridCol w:w="140"/>
        <w:gridCol w:w="183"/>
        <w:gridCol w:w="1714"/>
        <w:gridCol w:w="280"/>
      </w:tblGrid>
      <w:tr>
        <w:trPr/>
        <w:tc>
          <w:tcPr>
            <w:tcW w:w="156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84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61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bottom"/>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r>
      <w:tr>
        <w:trPr/>
        <w:tc>
          <w:tcPr>
            <w:tcW w:w="1562"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Rate Jurisdiction</w:t>
            </w:r>
          </w:p>
        </w:tc>
        <w:tc>
          <w:tcPr>
            <w:tcW w:w="207" w:type="dxa"/>
            <w:tcBorders/>
            <w:shd w:fill="auto" w:val="clear"/>
            <w:vAlign w:val="bottom"/>
          </w:tcPr>
          <w:p>
            <w:pPr>
              <w:pStyle w:val="TableContents"/>
              <w:spacing w:before="0" w:after="283"/>
              <w:rPr/>
            </w:pPr>
            <w:r>
              <w:rPr/>
              <w:t>  </w:t>
            </w:r>
          </w:p>
        </w:tc>
        <w:tc>
          <w:tcPr>
            <w:tcW w:w="2105" w:type="dxa"/>
            <w:gridSpan w:val="2"/>
            <w:tcBorders>
              <w:bottom w:val="single" w:sz="8" w:space="0" w:color="000000"/>
            </w:tcBorders>
            <w:shd w:fill="auto" w:val="clear"/>
            <w:tcMar>
              <w:bottom w:w="28" w:type="dxa"/>
            </w:tcMar>
            <w:vAlign w:val="bottom"/>
          </w:tcPr>
          <w:p>
            <w:pPr>
              <w:pStyle w:val="TableContents"/>
              <w:spacing w:before="0" w:after="283"/>
              <w:jc w:val="center"/>
              <w:rPr/>
            </w:pPr>
            <w:r>
              <w:rPr/>
              <w:t>Authorized Rate Base</w:t>
              <w:br/>
              <w:t>(In thousands)</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1839" w:type="dxa"/>
            <w:gridSpan w:val="2"/>
            <w:tcBorders>
              <w:bottom w:val="single" w:sz="8" w:space="0" w:color="000000"/>
            </w:tcBorders>
            <w:shd w:fill="auto" w:val="clear"/>
            <w:tcMar>
              <w:bottom w:w="28" w:type="dxa"/>
            </w:tcMar>
            <w:vAlign w:val="bottom"/>
          </w:tcPr>
          <w:p>
            <w:pPr>
              <w:pStyle w:val="TableContents"/>
              <w:spacing w:before="0" w:after="283"/>
              <w:jc w:val="center"/>
              <w:rPr/>
            </w:pPr>
            <w:r>
              <w:rPr/>
              <w:t>Authorized Rate of</w:t>
              <w:br/>
              <w:t>Return</w:t>
            </w:r>
          </w:p>
        </w:tc>
        <w:tc>
          <w:tcPr>
            <w:tcW w:w="2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897" w:type="dxa"/>
            <w:gridSpan w:val="2"/>
            <w:tcBorders>
              <w:bottom w:val="single" w:sz="8" w:space="0" w:color="000000"/>
            </w:tcBorders>
            <w:shd w:fill="auto" w:val="clear"/>
            <w:tcMar>
              <w:bottom w:w="28" w:type="dxa"/>
            </w:tcMar>
            <w:vAlign w:val="bottom"/>
          </w:tcPr>
          <w:p>
            <w:pPr>
              <w:pStyle w:val="TableContents"/>
              <w:spacing w:before="0" w:after="283"/>
              <w:jc w:val="center"/>
              <w:rPr/>
            </w:pPr>
            <w:r>
              <w:rPr/>
              <w:t>Authorized Return</w:t>
              <w:br/>
              <w:t>on Common Equity</w:t>
            </w:r>
          </w:p>
        </w:tc>
        <w:tc>
          <w:tcPr>
            <w:tcW w:w="280" w:type="dxa"/>
            <w:tcBorders/>
            <w:shd w:fill="auto" w:val="clear"/>
            <w:vAlign w:val="bottom"/>
          </w:tcPr>
          <w:p>
            <w:pPr>
              <w:pStyle w:val="TableContents"/>
              <w:spacing w:before="0" w:after="283"/>
              <w:rPr/>
            </w:pPr>
            <w:r>
              <w:rPr/>
              <w:t> </w:t>
            </w:r>
          </w:p>
        </w:tc>
      </w:tr>
      <w:tr>
        <w:trPr/>
        <w:tc>
          <w:tcPr>
            <w:tcW w:w="156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Arizona</w:t>
            </w:r>
          </w:p>
        </w:tc>
        <w:tc>
          <w:tcPr>
            <w:tcW w:w="207"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w:t>
            </w:r>
          </w:p>
        </w:tc>
        <w:tc>
          <w:tcPr>
            <w:tcW w:w="1842" w:type="dxa"/>
            <w:tcBorders/>
            <w:shd w:fill="CCEEFF" w:val="clear"/>
            <w:vAlign w:val="bottom"/>
          </w:tcPr>
          <w:p>
            <w:pPr>
              <w:pStyle w:val="TableContents"/>
              <w:spacing w:before="0" w:after="283"/>
              <w:jc w:val="right"/>
              <w:rPr/>
            </w:pPr>
            <w:r>
              <w:rPr/>
              <w:t>1,930,612</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7.03</w:t>
            </w:r>
          </w:p>
        </w:tc>
        <w:tc>
          <w:tcPr>
            <w:tcW w:w="2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714" w:type="dxa"/>
            <w:tcBorders/>
            <w:shd w:fill="CCEEFF" w:val="clear"/>
            <w:vAlign w:val="bottom"/>
          </w:tcPr>
          <w:p>
            <w:pPr>
              <w:pStyle w:val="TableContents"/>
              <w:spacing w:before="0" w:after="283"/>
              <w:jc w:val="right"/>
              <w:rPr/>
            </w:pPr>
            <w:r>
              <w:rPr/>
              <w:t>9.10</w:t>
            </w:r>
          </w:p>
        </w:tc>
        <w:tc>
          <w:tcPr>
            <w:tcW w:w="280" w:type="dxa"/>
            <w:tcBorders/>
            <w:shd w:fill="CCEEFF" w:val="clear"/>
            <w:vAlign w:val="bottom"/>
          </w:tcPr>
          <w:p>
            <w:pPr>
              <w:pStyle w:val="TableContents"/>
              <w:spacing w:before="0" w:after="283"/>
              <w:rPr/>
            </w:pPr>
            <w:r>
              <w:rPr/>
              <w:t>% </w:t>
            </w:r>
          </w:p>
        </w:tc>
      </w:tr>
      <w:tr>
        <w:trPr/>
        <w:tc>
          <w:tcPr>
            <w:tcW w:w="156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Southern Nevada</w:t>
            </w:r>
          </w:p>
        </w:tc>
        <w:tc>
          <w:tcPr>
            <w:tcW w:w="20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842" w:type="dxa"/>
            <w:tcBorders/>
            <w:shd w:fill="auto" w:val="clear"/>
            <w:vAlign w:val="bottom"/>
          </w:tcPr>
          <w:p>
            <w:pPr>
              <w:pStyle w:val="TableContents"/>
              <w:spacing w:before="0" w:after="283"/>
              <w:jc w:val="right"/>
              <w:rPr/>
            </w:pPr>
            <w:r>
              <w:rPr/>
              <w:t>1,325,236</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6.52</w:t>
            </w:r>
          </w:p>
        </w:tc>
        <w:tc>
          <w:tcPr>
            <w:tcW w:w="2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714" w:type="dxa"/>
            <w:tcBorders/>
            <w:shd w:fill="auto" w:val="clear"/>
            <w:vAlign w:val="bottom"/>
          </w:tcPr>
          <w:p>
            <w:pPr>
              <w:pStyle w:val="TableContents"/>
              <w:spacing w:before="0" w:after="283"/>
              <w:jc w:val="right"/>
              <w:rPr/>
            </w:pPr>
            <w:r>
              <w:rPr/>
              <w:t>9.25</w:t>
            </w:r>
          </w:p>
        </w:tc>
        <w:tc>
          <w:tcPr>
            <w:tcW w:w="280" w:type="dxa"/>
            <w:tcBorders/>
            <w:shd w:fill="auto" w:val="clear"/>
            <w:vAlign w:val="bottom"/>
          </w:tcPr>
          <w:p>
            <w:pPr>
              <w:pStyle w:val="TableContents"/>
              <w:spacing w:before="0" w:after="283"/>
              <w:rPr/>
            </w:pPr>
            <w:r>
              <w:rPr/>
              <w:t> </w:t>
            </w:r>
          </w:p>
        </w:tc>
      </w:tr>
      <w:tr>
        <w:trPr/>
        <w:tc>
          <w:tcPr>
            <w:tcW w:w="156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Northern Nevada</w:t>
            </w:r>
          </w:p>
        </w:tc>
        <w:tc>
          <w:tcPr>
            <w:tcW w:w="207"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842" w:type="dxa"/>
            <w:tcBorders/>
            <w:shd w:fill="CCEEFF" w:val="clear"/>
            <w:vAlign w:val="bottom"/>
          </w:tcPr>
          <w:p>
            <w:pPr>
              <w:pStyle w:val="TableContents"/>
              <w:spacing w:before="0" w:after="283"/>
              <w:jc w:val="right"/>
              <w:rPr/>
            </w:pPr>
            <w:r>
              <w:rPr/>
              <w:t>154,966</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6.75</w:t>
            </w:r>
          </w:p>
        </w:tc>
        <w:tc>
          <w:tcPr>
            <w:tcW w:w="2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714" w:type="dxa"/>
            <w:tcBorders/>
            <w:shd w:fill="CCEEFF" w:val="clear"/>
            <w:vAlign w:val="bottom"/>
          </w:tcPr>
          <w:p>
            <w:pPr>
              <w:pStyle w:val="TableContents"/>
              <w:spacing w:before="0" w:after="283"/>
              <w:jc w:val="right"/>
              <w:rPr/>
            </w:pPr>
            <w:r>
              <w:rPr/>
              <w:t>9.25</w:t>
            </w:r>
          </w:p>
        </w:tc>
        <w:tc>
          <w:tcPr>
            <w:tcW w:w="280" w:type="dxa"/>
            <w:tcBorders/>
            <w:shd w:fill="CCEEFF" w:val="clear"/>
            <w:vAlign w:val="bottom"/>
          </w:tcPr>
          <w:p>
            <w:pPr>
              <w:pStyle w:val="TableContents"/>
              <w:spacing w:before="0" w:after="283"/>
              <w:rPr/>
            </w:pPr>
            <w:r>
              <w:rPr/>
              <w:t> </w:t>
            </w:r>
          </w:p>
        </w:tc>
      </w:tr>
      <w:tr>
        <w:trPr/>
        <w:tc>
          <w:tcPr>
            <w:tcW w:w="156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Southern California</w:t>
            </w:r>
          </w:p>
        </w:tc>
        <w:tc>
          <w:tcPr>
            <w:tcW w:w="20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842" w:type="dxa"/>
            <w:tcBorders/>
            <w:shd w:fill="auto" w:val="clear"/>
            <w:vAlign w:val="bottom"/>
          </w:tcPr>
          <w:p>
            <w:pPr>
              <w:pStyle w:val="TableContents"/>
              <w:spacing w:before="0" w:after="283"/>
              <w:jc w:val="right"/>
              <w:rPr/>
            </w:pPr>
            <w:r>
              <w:rPr/>
              <w:t>285,691</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7.11</w:t>
            </w:r>
          </w:p>
        </w:tc>
        <w:tc>
          <w:tcPr>
            <w:tcW w:w="2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714" w:type="dxa"/>
            <w:tcBorders/>
            <w:shd w:fill="auto" w:val="clear"/>
            <w:vAlign w:val="bottom"/>
          </w:tcPr>
          <w:p>
            <w:pPr>
              <w:pStyle w:val="TableContents"/>
              <w:spacing w:before="0" w:after="283"/>
              <w:jc w:val="right"/>
              <w:rPr/>
            </w:pPr>
            <w:r>
              <w:rPr/>
              <w:t>10.00</w:t>
            </w:r>
          </w:p>
        </w:tc>
        <w:tc>
          <w:tcPr>
            <w:tcW w:w="280" w:type="dxa"/>
            <w:tcBorders/>
            <w:shd w:fill="auto" w:val="clear"/>
            <w:vAlign w:val="bottom"/>
          </w:tcPr>
          <w:p>
            <w:pPr>
              <w:pStyle w:val="TableContents"/>
              <w:spacing w:before="0" w:after="283"/>
              <w:rPr/>
            </w:pPr>
            <w:r>
              <w:rPr/>
              <w:t> </w:t>
            </w:r>
          </w:p>
        </w:tc>
      </w:tr>
      <w:tr>
        <w:trPr/>
        <w:tc>
          <w:tcPr>
            <w:tcW w:w="156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Northern California</w:t>
            </w:r>
          </w:p>
        </w:tc>
        <w:tc>
          <w:tcPr>
            <w:tcW w:w="207"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842" w:type="dxa"/>
            <w:tcBorders/>
            <w:shd w:fill="CCEEFF" w:val="clear"/>
            <w:vAlign w:val="bottom"/>
          </w:tcPr>
          <w:p>
            <w:pPr>
              <w:pStyle w:val="TableContents"/>
              <w:spacing w:before="0" w:after="283"/>
              <w:jc w:val="right"/>
              <w:rPr/>
            </w:pPr>
            <w:r>
              <w:rPr/>
              <w:t>92,983</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7.44</w:t>
            </w:r>
          </w:p>
        </w:tc>
        <w:tc>
          <w:tcPr>
            <w:tcW w:w="2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714" w:type="dxa"/>
            <w:tcBorders/>
            <w:shd w:fill="CCEEFF" w:val="clear"/>
            <w:vAlign w:val="bottom"/>
          </w:tcPr>
          <w:p>
            <w:pPr>
              <w:pStyle w:val="TableContents"/>
              <w:spacing w:before="0" w:after="283"/>
              <w:jc w:val="right"/>
              <w:rPr/>
            </w:pPr>
            <w:r>
              <w:rPr/>
              <w:t>10.00</w:t>
            </w:r>
          </w:p>
        </w:tc>
        <w:tc>
          <w:tcPr>
            <w:tcW w:w="280" w:type="dxa"/>
            <w:tcBorders/>
            <w:shd w:fill="CCEEFF" w:val="clear"/>
            <w:vAlign w:val="bottom"/>
          </w:tcPr>
          <w:p>
            <w:pPr>
              <w:pStyle w:val="TableContents"/>
              <w:spacing w:before="0" w:after="283"/>
              <w:rPr/>
            </w:pPr>
            <w:r>
              <w:rPr/>
              <w:t> </w:t>
            </w:r>
          </w:p>
        </w:tc>
      </w:tr>
      <w:tr>
        <w:trPr/>
        <w:tc>
          <w:tcPr>
            <w:tcW w:w="1562"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South Lake Tahoe</w:t>
            </w:r>
          </w:p>
        </w:tc>
        <w:tc>
          <w:tcPr>
            <w:tcW w:w="207" w:type="dxa"/>
            <w:tcBorders/>
            <w:shd w:fill="auto" w:val="clear"/>
            <w:vAlign w:val="bottom"/>
          </w:tcPr>
          <w:p>
            <w:pPr>
              <w:pStyle w:val="TableContents"/>
              <w:spacing w:before="0" w:after="283"/>
              <w:rPr/>
            </w:pPr>
            <w:r>
              <w:rPr/>
              <w:t>  </w:t>
            </w:r>
          </w:p>
        </w:tc>
        <w:tc>
          <w:tcPr>
            <w:tcW w:w="263" w:type="dxa"/>
            <w:tcBorders/>
            <w:shd w:fill="auto" w:val="clear"/>
            <w:vAlign w:val="bottom"/>
          </w:tcPr>
          <w:p>
            <w:pPr>
              <w:pStyle w:val="TableContents"/>
              <w:spacing w:before="0" w:after="283"/>
              <w:rPr/>
            </w:pPr>
            <w:r>
              <w:rPr/>
              <w:t> </w:t>
            </w:r>
          </w:p>
        </w:tc>
        <w:tc>
          <w:tcPr>
            <w:tcW w:w="1842" w:type="dxa"/>
            <w:tcBorders/>
            <w:shd w:fill="auto" w:val="clear"/>
            <w:vAlign w:val="bottom"/>
          </w:tcPr>
          <w:p>
            <w:pPr>
              <w:pStyle w:val="TableContents"/>
              <w:spacing w:before="0" w:after="283"/>
              <w:jc w:val="right"/>
              <w:rPr/>
            </w:pPr>
            <w:r>
              <w:rPr/>
              <w:t>56,818</w:t>
            </w:r>
          </w:p>
        </w:tc>
        <w:tc>
          <w:tcPr>
            <w:tcW w:w="60" w:type="dxa"/>
            <w:tcBorders/>
            <w:shd w:fill="auto" w:val="clear"/>
            <w:vAlign w:val="bottom"/>
          </w:tcPr>
          <w:p>
            <w:pPr>
              <w:pStyle w:val="TableContents"/>
              <w:spacing w:before="0" w:after="283"/>
              <w:rPr/>
            </w:pPr>
            <w:r>
              <w:rPr/>
              <w:t> </w:t>
            </w:r>
          </w:p>
        </w:tc>
        <w:tc>
          <w:tcPr>
            <w:tcW w:w="207"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1619" w:type="dxa"/>
            <w:tcBorders/>
            <w:shd w:fill="auto" w:val="clear"/>
            <w:vAlign w:val="bottom"/>
          </w:tcPr>
          <w:p>
            <w:pPr>
              <w:pStyle w:val="TableContents"/>
              <w:spacing w:before="0" w:after="283"/>
              <w:jc w:val="right"/>
              <w:rPr/>
            </w:pPr>
            <w:r>
              <w:rPr/>
              <w:t>7.44</w:t>
            </w:r>
          </w:p>
        </w:tc>
        <w:tc>
          <w:tcPr>
            <w:tcW w:w="27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83" w:type="dxa"/>
            <w:tcBorders/>
            <w:shd w:fill="auto" w:val="clear"/>
            <w:vAlign w:val="bottom"/>
          </w:tcPr>
          <w:p>
            <w:pPr>
              <w:pStyle w:val="TableContents"/>
              <w:spacing w:before="0" w:after="283"/>
              <w:rPr/>
            </w:pPr>
            <w:r>
              <w:rPr/>
              <w:t> </w:t>
            </w:r>
          </w:p>
        </w:tc>
        <w:tc>
          <w:tcPr>
            <w:tcW w:w="1714" w:type="dxa"/>
            <w:tcBorders/>
            <w:shd w:fill="auto" w:val="clear"/>
            <w:vAlign w:val="bottom"/>
          </w:tcPr>
          <w:p>
            <w:pPr>
              <w:pStyle w:val="TableContents"/>
              <w:spacing w:before="0" w:after="283"/>
              <w:jc w:val="right"/>
              <w:rPr/>
            </w:pPr>
            <w:r>
              <w:rPr/>
              <w:t>10.00</w:t>
            </w:r>
          </w:p>
        </w:tc>
        <w:tc>
          <w:tcPr>
            <w:tcW w:w="280" w:type="dxa"/>
            <w:tcBorders/>
            <w:shd w:fill="auto" w:val="clear"/>
            <w:vAlign w:val="bottom"/>
          </w:tcPr>
          <w:p>
            <w:pPr>
              <w:pStyle w:val="TableContents"/>
              <w:spacing w:before="0" w:after="283"/>
              <w:rPr/>
            </w:pPr>
            <w:r>
              <w:rPr/>
              <w:t> </w:t>
            </w:r>
          </w:p>
        </w:tc>
      </w:tr>
      <w:tr>
        <w:trPr/>
        <w:tc>
          <w:tcPr>
            <w:tcW w:w="1562"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Great Basin Gas Transmission Company (1)</w:t>
            </w:r>
          </w:p>
        </w:tc>
        <w:tc>
          <w:tcPr>
            <w:tcW w:w="207" w:type="dxa"/>
            <w:tcBorders/>
            <w:shd w:fill="CCEEFF" w:val="clear"/>
            <w:vAlign w:val="bottom"/>
          </w:tcPr>
          <w:p>
            <w:pPr>
              <w:pStyle w:val="TableContents"/>
              <w:spacing w:before="0" w:after="283"/>
              <w:rPr/>
            </w:pPr>
            <w:r>
              <w:rPr/>
              <w:t>  </w:t>
            </w:r>
          </w:p>
        </w:tc>
        <w:tc>
          <w:tcPr>
            <w:tcW w:w="263" w:type="dxa"/>
            <w:tcBorders/>
            <w:shd w:fill="CCEEFF" w:val="clear"/>
            <w:vAlign w:val="bottom"/>
          </w:tcPr>
          <w:p>
            <w:pPr>
              <w:pStyle w:val="TableContents"/>
              <w:spacing w:before="0" w:after="283"/>
              <w:rPr/>
            </w:pPr>
            <w:r>
              <w:rPr/>
              <w:t> </w:t>
            </w:r>
          </w:p>
        </w:tc>
        <w:tc>
          <w:tcPr>
            <w:tcW w:w="1842" w:type="dxa"/>
            <w:tcBorders/>
            <w:shd w:fill="CCEEFF" w:val="clear"/>
            <w:vAlign w:val="bottom"/>
          </w:tcPr>
          <w:p>
            <w:pPr>
              <w:pStyle w:val="TableContents"/>
              <w:spacing w:before="0" w:after="283"/>
              <w:jc w:val="right"/>
              <w:rPr/>
            </w:pPr>
            <w:r>
              <w:rPr/>
              <w:t>135,460</w:t>
            </w:r>
          </w:p>
        </w:tc>
        <w:tc>
          <w:tcPr>
            <w:tcW w:w="60" w:type="dxa"/>
            <w:tcBorders/>
            <w:shd w:fill="CCEEFF" w:val="clear"/>
            <w:vAlign w:val="bottom"/>
          </w:tcPr>
          <w:p>
            <w:pPr>
              <w:pStyle w:val="TableContents"/>
              <w:spacing w:before="0" w:after="283"/>
              <w:rPr/>
            </w:pPr>
            <w:r>
              <w:rPr/>
              <w:t> </w:t>
            </w:r>
          </w:p>
        </w:tc>
        <w:tc>
          <w:tcPr>
            <w:tcW w:w="207" w:type="dxa"/>
            <w:tcBorders/>
            <w:shd w:fill="CCEEFF" w:val="clear"/>
            <w:vAlign w:val="bottom"/>
          </w:tcPr>
          <w:p>
            <w:pPr>
              <w:pStyle w:val="TableContents"/>
              <w:spacing w:before="0" w:after="283"/>
              <w:rPr/>
            </w:pPr>
            <w:r>
              <w:rPr/>
              <w:t>  </w:t>
            </w:r>
          </w:p>
        </w:tc>
        <w:tc>
          <w:tcPr>
            <w:tcW w:w="220" w:type="dxa"/>
            <w:tcBorders/>
            <w:shd w:fill="CCEEFF" w:val="clear"/>
            <w:vAlign w:val="bottom"/>
          </w:tcPr>
          <w:p>
            <w:pPr>
              <w:pStyle w:val="TableContents"/>
              <w:spacing w:before="0" w:after="283"/>
              <w:rPr/>
            </w:pPr>
            <w:r>
              <w:rPr/>
              <w:t> </w:t>
            </w:r>
          </w:p>
        </w:tc>
        <w:tc>
          <w:tcPr>
            <w:tcW w:w="1619" w:type="dxa"/>
            <w:tcBorders/>
            <w:shd w:fill="CCEEFF" w:val="clear"/>
            <w:vAlign w:val="bottom"/>
          </w:tcPr>
          <w:p>
            <w:pPr>
              <w:pStyle w:val="TableContents"/>
              <w:spacing w:before="0" w:after="283"/>
              <w:jc w:val="right"/>
              <w:rPr/>
            </w:pPr>
            <w:r>
              <w:rPr/>
              <w:t>8.30</w:t>
            </w:r>
          </w:p>
        </w:tc>
        <w:tc>
          <w:tcPr>
            <w:tcW w:w="27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83" w:type="dxa"/>
            <w:tcBorders/>
            <w:shd w:fill="CCEEFF" w:val="clear"/>
            <w:vAlign w:val="bottom"/>
          </w:tcPr>
          <w:p>
            <w:pPr>
              <w:pStyle w:val="TableContents"/>
              <w:spacing w:before="0" w:after="283"/>
              <w:rPr/>
            </w:pPr>
            <w:r>
              <w:rPr/>
              <w:t> </w:t>
            </w:r>
          </w:p>
        </w:tc>
        <w:tc>
          <w:tcPr>
            <w:tcW w:w="1714" w:type="dxa"/>
            <w:tcBorders/>
            <w:shd w:fill="CCEEFF" w:val="clear"/>
            <w:vAlign w:val="bottom"/>
          </w:tcPr>
          <w:p>
            <w:pPr>
              <w:pStyle w:val="TableContents"/>
              <w:spacing w:before="0" w:after="283"/>
              <w:jc w:val="right"/>
              <w:rPr/>
            </w:pPr>
            <w:r>
              <w:rPr/>
              <w:t>11.80</w:t>
            </w:r>
          </w:p>
        </w:tc>
        <w:tc>
          <w:tcPr>
            <w:tcW w:w="280"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amounts based on 2019/2020 rate case settlement. </w:t>
            </w:r>
          </w:p>
        </w:tc>
      </w:tr>
    </w:tbl>
    <w:p>
      <w:pPr>
        <w:pStyle w:val="TextBody"/>
        <w:spacing w:before="240" w:after="0"/>
        <w:jc w:val="left"/>
        <w:rPr>
          <w:rFonts w:ascii="Times New Roman" w:hAnsi="Times New Roman"/>
          <w:b/>
          <w:sz w:val="20"/>
        </w:rPr>
      </w:pPr>
      <w:r>
        <w:rPr>
          <w:rFonts w:ascii="Times New Roman" w:hAnsi="Times New Roman"/>
          <w:b/>
          <w:sz w:val="20"/>
        </w:rPr>
        <w:t xml:space="preserve">SYSTEM THROUGHPUT BY CUSTOMER CLASS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3980"/>
        <w:gridCol w:w="178"/>
        <w:gridCol w:w="60"/>
        <w:gridCol w:w="1231"/>
        <w:gridCol w:w="60"/>
        <w:gridCol w:w="178"/>
        <w:gridCol w:w="60"/>
        <w:gridCol w:w="1231"/>
        <w:gridCol w:w="60"/>
        <w:gridCol w:w="178"/>
        <w:gridCol w:w="60"/>
        <w:gridCol w:w="1231"/>
        <w:gridCol w:w="65"/>
      </w:tblGrid>
      <w:tr>
        <w:trPr/>
        <w:tc>
          <w:tcPr>
            <w:tcW w:w="398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398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4349" w:type="dxa"/>
            <w:gridSpan w:val="10"/>
            <w:tcBorders>
              <w:bottom w:val="single" w:sz="8" w:space="0" w:color="000000"/>
            </w:tcBorders>
            <w:shd w:fill="auto" w:val="clear"/>
            <w:tcMar>
              <w:bottom w:w="28" w:type="dxa"/>
            </w:tcMar>
            <w:vAlign w:val="bottom"/>
          </w:tcPr>
          <w:p>
            <w:pPr>
              <w:pStyle w:val="TableContents"/>
              <w:spacing w:before="0" w:after="283"/>
              <w:jc w:val="center"/>
              <w:rPr/>
            </w:pPr>
            <w:r>
              <w:rPr/>
              <w:t>Year Ended December 31,</w:t>
            </w:r>
          </w:p>
        </w:tc>
        <w:tc>
          <w:tcPr>
            <w:tcW w:w="65" w:type="dxa"/>
            <w:tcBorders/>
            <w:shd w:fill="auto" w:val="clear"/>
            <w:vAlign w:val="bottom"/>
          </w:tcPr>
          <w:p>
            <w:pPr>
              <w:pStyle w:val="TableContents"/>
              <w:spacing w:before="0" w:after="283"/>
              <w:rPr/>
            </w:pPr>
            <w:r>
              <w:rPr/>
              <w:t> </w:t>
            </w:r>
          </w:p>
        </w:tc>
      </w:tr>
      <w:tr>
        <w:trPr/>
        <w:tc>
          <w:tcPr>
            <w:tcW w:w="3980" w:type="dxa"/>
            <w:tcBorders/>
            <w:shd w:fill="auto" w:val="clear"/>
            <w:vAlign w:val="bottom"/>
          </w:tcPr>
          <w:p>
            <w:pPr>
              <w:pStyle w:val="TableContents"/>
              <w:pBdr>
                <w:bottom w:val="single" w:sz="8" w:space="1" w:color="000000"/>
              </w:pBdr>
              <w:spacing w:before="0" w:after="0"/>
              <w:rPr>
                <w:rFonts w:ascii="Times New Roman" w:hAnsi="Times New Roman"/>
                <w:sz w:val="16"/>
              </w:rPr>
            </w:pPr>
            <w:r>
              <w:rPr>
                <w:rFonts w:ascii="Times New Roman" w:hAnsi="Times New Roman"/>
                <w:sz w:val="16"/>
              </w:rPr>
              <w:t>(In dekatherms)</w:t>
            </w:r>
          </w:p>
        </w:tc>
        <w:tc>
          <w:tcPr>
            <w:tcW w:w="178" w:type="dxa"/>
            <w:tcBorders/>
            <w:shd w:fill="auto" w:val="clear"/>
            <w:vAlign w:val="bottom"/>
          </w:tcPr>
          <w:p>
            <w:pPr>
              <w:pStyle w:val="TableContents"/>
              <w:spacing w:before="0" w:after="283"/>
              <w:rPr/>
            </w:pPr>
            <w:r>
              <w:rPr/>
              <w:t>  </w:t>
            </w:r>
          </w:p>
        </w:tc>
        <w:tc>
          <w:tcPr>
            <w:tcW w:w="1291" w:type="dxa"/>
            <w:gridSpan w:val="2"/>
            <w:tcBorders>
              <w:bottom w:val="single" w:sz="8" w:space="0" w:color="000000"/>
            </w:tcBorders>
            <w:shd w:fill="auto" w:val="clear"/>
            <w:tcMar>
              <w:bottom w:w="28" w:type="dxa"/>
            </w:tcMar>
            <w:vAlign w:val="bottom"/>
          </w:tcPr>
          <w:p>
            <w:pPr>
              <w:pStyle w:val="TableContents"/>
              <w:spacing w:before="0" w:after="283"/>
              <w:jc w:val="center"/>
              <w:rPr/>
            </w:pPr>
            <w:r>
              <w:rPr/>
              <w:t>2021</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91" w:type="dxa"/>
            <w:gridSpan w:val="2"/>
            <w:tcBorders>
              <w:bottom w:val="single" w:sz="8" w:space="0" w:color="000000"/>
            </w:tcBorders>
            <w:shd w:fill="auto" w:val="clear"/>
            <w:tcMar>
              <w:bottom w:w="28" w:type="dxa"/>
            </w:tcMar>
            <w:vAlign w:val="bottom"/>
          </w:tcPr>
          <w:p>
            <w:pPr>
              <w:pStyle w:val="TableContents"/>
              <w:spacing w:before="0" w:after="283"/>
              <w:jc w:val="center"/>
              <w:rPr/>
            </w:pPr>
            <w:r>
              <w:rPr/>
              <w:t>2020</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1291" w:type="dxa"/>
            <w:gridSpan w:val="2"/>
            <w:tcBorders>
              <w:bottom w:val="single" w:sz="8" w:space="0" w:color="000000"/>
            </w:tcBorders>
            <w:shd w:fill="auto" w:val="clear"/>
            <w:tcMar>
              <w:bottom w:w="28" w:type="dxa"/>
            </w:tcMar>
            <w:vAlign w:val="bottom"/>
          </w:tcPr>
          <w:p>
            <w:pPr>
              <w:pStyle w:val="TableContents"/>
              <w:spacing w:before="0" w:after="283"/>
              <w:jc w:val="center"/>
              <w:rPr/>
            </w:pPr>
            <w:r>
              <w:rPr/>
              <w:t>2019</w:t>
            </w:r>
          </w:p>
        </w:tc>
        <w:tc>
          <w:tcPr>
            <w:tcW w:w="65" w:type="dxa"/>
            <w:tcBorders/>
            <w:shd w:fill="auto" w:val="clear"/>
            <w:vAlign w:val="bottom"/>
          </w:tcPr>
          <w:p>
            <w:pPr>
              <w:pStyle w:val="TableContents"/>
              <w:spacing w:before="0" w:after="283"/>
              <w:rPr/>
            </w:pPr>
            <w:r>
              <w:rPr/>
              <w:t> </w:t>
            </w:r>
          </w:p>
        </w:tc>
      </w:tr>
      <w:tr>
        <w:trPr/>
        <w:tc>
          <w:tcPr>
            <w:tcW w:w="3980"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Residential</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76,810,460</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80,067,973</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81,838,973</w:t>
            </w:r>
          </w:p>
        </w:tc>
        <w:tc>
          <w:tcPr>
            <w:tcW w:w="65" w:type="dxa"/>
            <w:tcBorders/>
            <w:shd w:fill="CCEEFF" w:val="clear"/>
            <w:vAlign w:val="bottom"/>
          </w:tcPr>
          <w:p>
            <w:pPr>
              <w:pStyle w:val="TableContents"/>
              <w:spacing w:before="0" w:after="283"/>
              <w:rPr/>
            </w:pPr>
            <w:r>
              <w:rPr/>
              <w:t> </w:t>
            </w:r>
          </w:p>
        </w:tc>
      </w:tr>
      <w:tr>
        <w:trPr/>
        <w:tc>
          <w:tcPr>
            <w:tcW w:w="398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Small commercial</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31,050,963</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29,316,352</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33,322,111</w:t>
            </w:r>
          </w:p>
        </w:tc>
        <w:tc>
          <w:tcPr>
            <w:tcW w:w="65" w:type="dxa"/>
            <w:tcBorders/>
            <w:shd w:fill="auto" w:val="clear"/>
            <w:vAlign w:val="bottom"/>
          </w:tcPr>
          <w:p>
            <w:pPr>
              <w:pStyle w:val="TableContents"/>
              <w:spacing w:before="0" w:after="283"/>
              <w:rPr/>
            </w:pPr>
            <w:r>
              <w:rPr/>
              <w:t> </w:t>
            </w:r>
          </w:p>
        </w:tc>
      </w:tr>
      <w:tr>
        <w:trPr/>
        <w:tc>
          <w:tcPr>
            <w:tcW w:w="3980"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Large commercial</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9,490,130</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9,124,202</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9,932,641</w:t>
            </w:r>
          </w:p>
        </w:tc>
        <w:tc>
          <w:tcPr>
            <w:tcW w:w="65" w:type="dxa"/>
            <w:tcBorders/>
            <w:shd w:fill="CCEEFF" w:val="clear"/>
            <w:vAlign w:val="bottom"/>
          </w:tcPr>
          <w:p>
            <w:pPr>
              <w:pStyle w:val="TableContents"/>
              <w:spacing w:before="0" w:after="283"/>
              <w:rPr/>
            </w:pPr>
            <w:r>
              <w:rPr/>
              <w:t> </w:t>
            </w:r>
          </w:p>
        </w:tc>
      </w:tr>
      <w:tr>
        <w:trPr/>
        <w:tc>
          <w:tcPr>
            <w:tcW w:w="398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Industrial / Other</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5,104,137</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5,315,357</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4,255,086</w:t>
            </w:r>
          </w:p>
        </w:tc>
        <w:tc>
          <w:tcPr>
            <w:tcW w:w="65" w:type="dxa"/>
            <w:tcBorders/>
            <w:shd w:fill="auto" w:val="clear"/>
            <w:vAlign w:val="bottom"/>
          </w:tcPr>
          <w:p>
            <w:pPr>
              <w:pStyle w:val="TableContents"/>
              <w:spacing w:before="0" w:after="283"/>
              <w:rPr/>
            </w:pPr>
            <w:r>
              <w:rPr/>
              <w:t> </w:t>
            </w:r>
          </w:p>
        </w:tc>
      </w:tr>
      <w:tr>
        <w:trPr/>
        <w:tc>
          <w:tcPr>
            <w:tcW w:w="3980"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Transportation</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94,955,200</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98,327,608</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31" w:type="dxa"/>
            <w:tcBorders/>
            <w:shd w:fill="CCEEFF" w:val="clear"/>
            <w:vAlign w:val="bottom"/>
          </w:tcPr>
          <w:p>
            <w:pPr>
              <w:pStyle w:val="TableContents"/>
              <w:spacing w:before="0" w:after="283"/>
              <w:jc w:val="right"/>
              <w:rPr/>
            </w:pPr>
            <w:r>
              <w:rPr/>
              <w:t>100,798,916</w:t>
            </w:r>
          </w:p>
        </w:tc>
        <w:tc>
          <w:tcPr>
            <w:tcW w:w="65" w:type="dxa"/>
            <w:tcBorders/>
            <w:shd w:fill="CCEEFF" w:val="clear"/>
            <w:vAlign w:val="bottom"/>
          </w:tcPr>
          <w:p>
            <w:pPr>
              <w:pStyle w:val="TableContents"/>
              <w:spacing w:before="0" w:after="283"/>
              <w:rPr/>
            </w:pPr>
            <w:r>
              <w:rPr/>
              <w:t> </w:t>
            </w:r>
          </w:p>
        </w:tc>
      </w:tr>
      <w:tr>
        <w:trPr/>
        <w:tc>
          <w:tcPr>
            <w:tcW w:w="3980"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1231"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398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Total system throughput</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217,410,890</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222,151,492</w:t>
            </w:r>
          </w:p>
        </w:tc>
        <w:tc>
          <w:tcPr>
            <w:tcW w:w="60" w:type="dxa"/>
            <w:tcBorders/>
            <w:shd w:fill="auto" w:val="clear"/>
            <w:vAlign w:val="bottom"/>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jc w:val="right"/>
              <w:rPr/>
            </w:pPr>
            <w:r>
              <w:rPr/>
              <w:t>230,147,727</w:t>
            </w:r>
          </w:p>
        </w:tc>
        <w:tc>
          <w:tcPr>
            <w:tcW w:w="65" w:type="dxa"/>
            <w:tcBorders/>
            <w:shd w:fill="auto" w:val="clear"/>
            <w:vAlign w:val="bottom"/>
          </w:tcPr>
          <w:p>
            <w:pPr>
              <w:pStyle w:val="TableContents"/>
              <w:spacing w:before="0" w:after="283"/>
              <w:rPr/>
            </w:pPr>
            <w:r>
              <w:rPr/>
              <w:t> </w:t>
            </w:r>
          </w:p>
        </w:tc>
      </w:tr>
      <w:tr>
        <w:trPr/>
        <w:tc>
          <w:tcPr>
            <w:tcW w:w="3980"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23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23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8"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1231"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b/>
          <w:sz w:val="20"/>
        </w:rPr>
      </w:pPr>
      <w:r>
        <w:rPr>
          <w:rFonts w:ascii="Times New Roman" w:hAnsi="Times New Roman"/>
          <w:b/>
          <w:sz w:val="20"/>
        </w:rPr>
        <w:t xml:space="preserve">HEATING DEGREE DAY COMPARISON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5913"/>
        <w:gridCol w:w="201"/>
        <w:gridCol w:w="60"/>
        <w:gridCol w:w="564"/>
        <w:gridCol w:w="60"/>
        <w:gridCol w:w="201"/>
        <w:gridCol w:w="60"/>
        <w:gridCol w:w="564"/>
        <w:gridCol w:w="60"/>
        <w:gridCol w:w="201"/>
        <w:gridCol w:w="59"/>
        <w:gridCol w:w="564"/>
        <w:gridCol w:w="65"/>
      </w:tblGrid>
      <w:tr>
        <w:trPr/>
        <w:tc>
          <w:tcPr>
            <w:tcW w:w="5913"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5913" w:type="dxa"/>
            <w:tcBorders/>
            <w:shd w:fill="CCEEFF" w:val="clear"/>
            <w:vAlign w:val="bottom"/>
          </w:tcPr>
          <w:p>
            <w:pPr>
              <w:pStyle w:val="TableContents"/>
              <w:spacing w:before="0" w:after="0"/>
              <w:rPr>
                <w:rFonts w:ascii="Times New Roman" w:hAnsi="Times New Roman"/>
                <w:sz w:val="20"/>
              </w:rPr>
            </w:pPr>
            <w:r>
              <w:rPr>
                <w:rFonts w:ascii="Times New Roman" w:hAnsi="Times New Roman"/>
                <w:sz w:val="20"/>
              </w:rPr>
              <w:t>Actual</w:t>
            </w:r>
          </w:p>
        </w:tc>
        <w:tc>
          <w:tcPr>
            <w:tcW w:w="20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1,627</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1,764</w:t>
            </w:r>
          </w:p>
        </w:tc>
        <w:tc>
          <w:tcPr>
            <w:tcW w:w="60" w:type="dxa"/>
            <w:tcBorders/>
            <w:shd w:fill="CCEEFF" w:val="clear"/>
            <w:vAlign w:val="bottom"/>
          </w:tcPr>
          <w:p>
            <w:pPr>
              <w:pStyle w:val="TableContents"/>
              <w:spacing w:before="0" w:after="283"/>
              <w:rPr/>
            </w:pPr>
            <w:r>
              <w:rPr/>
              <w:t> </w:t>
            </w:r>
          </w:p>
        </w:tc>
        <w:tc>
          <w:tcPr>
            <w:tcW w:w="201" w:type="dxa"/>
            <w:tcBorders/>
            <w:shd w:fill="CCEEFF" w:val="clear"/>
            <w:vAlign w:val="bottom"/>
          </w:tcPr>
          <w:p>
            <w:pPr>
              <w:pStyle w:val="TableContents"/>
              <w:spacing w:before="0" w:after="283"/>
              <w:rPr/>
            </w:pPr>
            <w:r>
              <w:rPr/>
              <w:t>  </w:t>
            </w:r>
          </w:p>
        </w:tc>
        <w:tc>
          <w:tcPr>
            <w:tcW w:w="59" w:type="dxa"/>
            <w:tcBorders/>
            <w:shd w:fill="CCEEFF" w:val="clear"/>
            <w:vAlign w:val="bottom"/>
          </w:tcPr>
          <w:p>
            <w:pPr>
              <w:pStyle w:val="TableContents"/>
              <w:spacing w:before="0" w:after="283"/>
              <w:rPr/>
            </w:pPr>
            <w:r>
              <w:rPr/>
              <w:t> </w:t>
            </w:r>
          </w:p>
        </w:tc>
        <w:tc>
          <w:tcPr>
            <w:tcW w:w="564" w:type="dxa"/>
            <w:tcBorders/>
            <w:shd w:fill="CCEEFF" w:val="clear"/>
            <w:vAlign w:val="bottom"/>
          </w:tcPr>
          <w:p>
            <w:pPr>
              <w:pStyle w:val="TableContents"/>
              <w:spacing w:before="0" w:after="283"/>
              <w:jc w:val="right"/>
              <w:rPr/>
            </w:pPr>
            <w:r>
              <w:rPr/>
              <w:t>1,908</w:t>
            </w:r>
          </w:p>
        </w:tc>
        <w:tc>
          <w:tcPr>
            <w:tcW w:w="65" w:type="dxa"/>
            <w:tcBorders/>
            <w:shd w:fill="CCEEFF" w:val="clear"/>
            <w:vAlign w:val="bottom"/>
          </w:tcPr>
          <w:p>
            <w:pPr>
              <w:pStyle w:val="TableContents"/>
              <w:spacing w:before="0" w:after="283"/>
              <w:rPr/>
            </w:pPr>
            <w:r>
              <w:rPr/>
              <w:t> </w:t>
            </w:r>
          </w:p>
        </w:tc>
      </w:tr>
      <w:tr>
        <w:trPr/>
        <w:tc>
          <w:tcPr>
            <w:tcW w:w="591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Ten-year average</w:t>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1,637</w:t>
            </w:r>
          </w:p>
        </w:tc>
        <w:tc>
          <w:tcPr>
            <w:tcW w:w="6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1,672</w:t>
            </w:r>
          </w:p>
        </w:tc>
        <w:tc>
          <w:tcPr>
            <w:tcW w:w="60" w:type="dxa"/>
            <w:tcBorders/>
            <w:shd w:fill="auto" w:val="clear"/>
            <w:vAlign w:val="bottom"/>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spacing w:before="0" w:after="283"/>
              <w:rPr/>
            </w:pPr>
            <w:r>
              <w:rPr/>
              <w:t> </w:t>
            </w:r>
          </w:p>
        </w:tc>
        <w:tc>
          <w:tcPr>
            <w:tcW w:w="564" w:type="dxa"/>
            <w:tcBorders/>
            <w:shd w:fill="auto" w:val="clear"/>
            <w:vAlign w:val="bottom"/>
          </w:tcPr>
          <w:p>
            <w:pPr>
              <w:pStyle w:val="TableContents"/>
              <w:spacing w:before="0" w:after="283"/>
              <w:jc w:val="right"/>
              <w:rPr/>
            </w:pPr>
            <w:r>
              <w:rPr/>
              <w:t>1,693</w:t>
            </w:r>
          </w:p>
        </w:tc>
        <w:tc>
          <w:tcPr>
            <w:tcW w:w="65" w:type="dxa"/>
            <w:tcBorders/>
            <w:shd w:fill="auto" w:val="clear"/>
            <w:vAlign w:val="bottom"/>
          </w:tcPr>
          <w:p>
            <w:pPr>
              <w:pStyle w:val="TableContents"/>
              <w:spacing w:before="0" w:after="283"/>
              <w:rPr/>
            </w:pPr>
            <w:r>
              <w:rPr/>
              <w:t> </w:t>
            </w:r>
          </w:p>
        </w:tc>
      </w:tr>
      <w:tr>
        <w:trPr/>
        <w:tc>
          <w:tcPr>
            <w:tcW w:w="5913" w:type="dxa"/>
            <w:tcBorders/>
            <w:shd w:fill="auto" w:val="clear"/>
            <w:vAlign w:val="bottom"/>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56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double" w:sz="6" w:space="1" w:color="000000"/>
              </w:pBdr>
              <w:spacing w:before="0" w:after="0"/>
              <w:rPr/>
            </w:pPr>
            <w:r>
              <w:rPr/>
              <w:t> </w:t>
            </w:r>
          </w:p>
        </w:tc>
        <w:tc>
          <w:tcPr>
            <w:tcW w:w="56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201" w:type="dxa"/>
            <w:tcBorders/>
            <w:shd w:fill="auto" w:val="clear"/>
            <w:vAlign w:val="bottom"/>
          </w:tcPr>
          <w:p>
            <w:pPr>
              <w:pStyle w:val="TableContents"/>
              <w:spacing w:before="0" w:after="283"/>
              <w:rPr/>
            </w:pPr>
            <w:r>
              <w:rPr/>
              <w:t>  </w:t>
            </w:r>
          </w:p>
        </w:tc>
        <w:tc>
          <w:tcPr>
            <w:tcW w:w="59" w:type="dxa"/>
            <w:tcBorders/>
            <w:shd w:fill="auto" w:val="clear"/>
            <w:vAlign w:val="bottom"/>
          </w:tcPr>
          <w:p>
            <w:pPr>
              <w:pStyle w:val="TableContents"/>
              <w:pBdr>
                <w:top w:val="double" w:sz="6" w:space="1" w:color="000000"/>
              </w:pBdr>
              <w:spacing w:before="0" w:after="0"/>
              <w:rPr/>
            </w:pPr>
            <w:r>
              <w:rPr/>
              <w:t> </w:t>
            </w:r>
          </w:p>
        </w:tc>
        <w:tc>
          <w:tcPr>
            <w:tcW w:w="564"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Heating degree days for prior periods have been recalculated using the current period customer mix. </w:t>
      </w:r>
      <w:r>
        <w:br w:type="page"/>
      </w:r>
    </w:p>
    <w:p>
      <w:pPr>
        <w:pStyle w:val="TextBody"/>
        <w:spacing w:before="0" w:after="0"/>
        <w:jc w:val="right"/>
        <w:rPr>
          <w:rFonts w:ascii="Times New Roman" w:hAnsi="Times New Roman"/>
          <w:b/>
          <w:sz w:val="20"/>
        </w:rPr>
      </w:pPr>
      <w:bookmarkStart w:id="4" w:name="d300730dex992.htm"/>
      <w:bookmarkStart w:id="5" w:name="ksd300730dex992"/>
      <w:bookmarkEnd w:id="4"/>
      <w:bookmarkEnd w:id="5"/>
      <w:r>
        <w:rPr>
          <w:rFonts w:ascii="Times New Roman" w:hAnsi="Times New Roman"/>
          <w:b/>
          <w:sz w:val="20"/>
        </w:rPr>
        <w:t xml:space="preserve">Exhibit 99.2 </w:t>
      </w:r>
    </w:p>
    <w:p>
      <w:pPr>
        <w:pStyle w:val="TextBody"/>
        <w:spacing w:before="240" w:after="0"/>
        <w:jc w:val="center"/>
        <w:rPr>
          <w:rFonts w:ascii="Times New Roman" w:hAnsi="Times New Roman"/>
          <w:b/>
          <w:sz w:val="20"/>
        </w:rPr>
      </w:pPr>
      <w:r>
        <w:rPr>
          <w:rFonts w:ascii="Times New Roman" w:hAnsi="Times New Roman"/>
          <w:b/>
          <w:sz w:val="20"/>
        </w:rPr>
        <w:t xml:space="preserve">Southwest Gas Holdings Announces Decision to Separate Centuri, Creating Two Focused, Independent </w:t>
      </w:r>
    </w:p>
    <w:p>
      <w:pPr>
        <w:pStyle w:val="TextBody"/>
        <w:spacing w:before="0" w:after="0"/>
        <w:jc w:val="center"/>
        <w:rPr>
          <w:rFonts w:ascii="Times New Roman" w:hAnsi="Times New Roman"/>
          <w:b/>
          <w:sz w:val="20"/>
        </w:rPr>
      </w:pPr>
      <w:r>
        <w:rPr>
          <w:rFonts w:ascii="Times New Roman" w:hAnsi="Times New Roman"/>
          <w:b/>
          <w:sz w:val="20"/>
        </w:rPr>
        <w:t xml:space="preserve">Companies to Unlock Value for Stockholders </w:t>
      </w:r>
    </w:p>
    <w:p>
      <w:pPr>
        <w:pStyle w:val="TextBody"/>
        <w:spacing w:before="240" w:after="0"/>
        <w:jc w:val="center"/>
        <w:rPr>
          <w:rFonts w:ascii="Times New Roman" w:hAnsi="Times New Roman"/>
          <w:i/>
          <w:sz w:val="20"/>
        </w:rPr>
      </w:pPr>
      <w:r>
        <w:rPr>
          <w:rFonts w:ascii="Times New Roman" w:hAnsi="Times New Roman"/>
          <w:i/>
          <w:sz w:val="20"/>
        </w:rPr>
        <w:t xml:space="preserve">Centuri to Become a Leading Independent Utility Infrastructure Services Business Positioned for Continued Profitable Growth at the Forefront of Infrastructure Modernization and Energy Transition </w:t>
      </w:r>
    </w:p>
    <w:p>
      <w:pPr>
        <w:pStyle w:val="TextBody"/>
        <w:spacing w:before="240" w:after="0"/>
        <w:jc w:val="center"/>
        <w:rPr>
          <w:rFonts w:ascii="Times New Roman" w:hAnsi="Times New Roman"/>
          <w:i/>
          <w:sz w:val="20"/>
        </w:rPr>
      </w:pPr>
      <w:r>
        <w:rPr>
          <w:rFonts w:ascii="Times New Roman" w:hAnsi="Times New Roman"/>
          <w:i/>
          <w:sz w:val="20"/>
        </w:rPr>
        <w:t xml:space="preserve">Southwest Gas Holdings to Become Fully Regulated Natural Gas Business with Continued Focus on Providing Reliable, Affordable, Clean Energy across Arizona, Nevada, California and the Rocky Mountain Region </w:t>
      </w:r>
    </w:p>
    <w:p>
      <w:pPr>
        <w:pStyle w:val="TextBody"/>
        <w:spacing w:before="240" w:after="0"/>
        <w:jc w:val="left"/>
        <w:rPr>
          <w:rFonts w:ascii="Times New Roman" w:hAnsi="Times New Roman"/>
          <w:sz w:val="20"/>
        </w:rPr>
      </w:pPr>
      <w:r>
        <w:rPr>
          <w:rFonts w:ascii="Times New Roman" w:hAnsi="Times New Roman"/>
          <w:sz w:val="20"/>
        </w:rPr>
        <w:t xml:space="preserve">LAS VEGAS, March 1, 2022  Southwest Gas Holdings, Inc. (NYSE: SWX) (Southwest Gas or the Company) today announced that its Board of Directors has unanimously decided to separate its wholly-owned subsidiary, Centuri Group, Inc. (Centuri), from the Company. The separation is expected to occur within the next 9 to 12 months. </w:t>
      </w:r>
    </w:p>
    <w:p>
      <w:pPr>
        <w:pStyle w:val="TextBody"/>
        <w:spacing w:before="240" w:after="0"/>
        <w:jc w:val="left"/>
        <w:rPr>
          <w:rFonts w:ascii="Times New Roman" w:hAnsi="Times New Roman"/>
          <w:sz w:val="20"/>
        </w:rPr>
      </w:pPr>
      <w:r>
        <w:rPr>
          <w:rFonts w:ascii="Times New Roman" w:hAnsi="Times New Roman"/>
          <w:sz w:val="20"/>
        </w:rPr>
        <w:t xml:space="preserve">As a standalone, independent company, Centuri, an unregulated utility services platform diversified across the U.S. and Canada, will be an industry leader at the forefront of infrastructure modernization. Centuri is positioned to support the energy transition given its extensive infrastructure capabilities and attractive blue-chip customer base comprised of a diverse range of utilities. The separation will transform Southwest Gas into a fully regulated natural gas business, distributing natural gas to customers and communities across its growing service areas in Arizona, Nevada and California. Southwest Gas will also continue to operate its Federal Energy Regulatory Commission (FERC) regulated interstate natural gas pipeline businesses in Arizona, Nevada and now in the Rocky Mountain region through its recently acquired subsidiary MountainWest Pipelines Holding Company (MountainWest), formerly Dominion Energy Questar Pipeline, LLC. The separation is not expected to have any impact on Southwest Gas Corporations utility operations, customers or customer rates. </w:t>
      </w:r>
    </w:p>
    <w:p>
      <w:pPr>
        <w:pStyle w:val="TextBody"/>
        <w:spacing w:before="360" w:after="0"/>
        <w:jc w:val="left"/>
        <w:rPr>
          <w:rFonts w:ascii="Times New Roman" w:hAnsi="Times New Roman"/>
          <w:b/>
          <w:sz w:val="20"/>
        </w:rPr>
      </w:pPr>
      <w:r>
        <w:rPr>
          <w:rFonts w:ascii="Times New Roman" w:hAnsi="Times New Roman"/>
          <w:b/>
          <w:sz w:val="20"/>
        </w:rPr>
        <w:t xml:space="preserve">Benefits of Separation </w:t>
      </w:r>
    </w:p>
    <w:p>
      <w:pPr>
        <w:pStyle w:val="TextBody"/>
        <w:spacing w:before="120" w:after="0"/>
        <w:jc w:val="left"/>
        <w:rPr>
          <w:rFonts w:ascii="Times New Roman" w:hAnsi="Times New Roman"/>
          <w:sz w:val="20"/>
        </w:rPr>
      </w:pPr>
      <w:r>
        <w:rPr>
          <w:rFonts w:ascii="Times New Roman" w:hAnsi="Times New Roman"/>
          <w:sz w:val="20"/>
        </w:rPr>
        <w:t xml:space="preserve">The separation is expected to drive value for all stakeholders and create a number of benefits for Southwest Gas and Centuri,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Unlocking value for stockholders and enhancing value transparency through more direct comparability to pure-play industry peers;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Flexibility to meaningfully reduce future equity financing needs, including with respect to MountainWest;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Compelling financial profiles that more accurately reflect the strengths and opportunities of each business, and as a result, they will be able to more efficiently finance themselves while providing a more targeted investment opportunity for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Improved capital allocation efficiency and strategic flexibility based on the specific initiatives and objectives of each business;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Distinct and expanding market opportunities and specific customer bases with enhanced potential for customer base expansion and organic growth.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sz w:val="20"/>
        </w:rPr>
      </w:pPr>
      <w:r>
        <w:rPr>
          <w:rFonts w:ascii="Times New Roman" w:hAnsi="Times New Roman"/>
          <w:sz w:val="20"/>
        </w:rPr>
        <w:t xml:space="preserve">As a Board, we have regularly examined the steps necessary to establish Centuri as a successful standalone business and how best to maximize the value of this business for stockholders, said Michael J. Melarkey, Chair of the Board of Southwest Gas. Following years of planning, growth and investment, culminating with our recent acquisition of Riggs Distler, we are confident that Centuri now has a compelling set of opportunities to deliver enhanced value for stockholders. We transformed Centuri into an industry leader that is uniquely positioned to benefit from the surge in infrastructure spending throughout the country, including in the 5G datacom buildout, offshore wind and other renewable energy transition programs. With Centuri nearly doubling its revenue over the last four years and poised for continued growth as a standalone platform, our Board determined that now is the right time to separate Centuri and unlock the significant value we have built over the last decade. </w:t>
      </w:r>
    </w:p>
    <w:p>
      <w:pPr>
        <w:pStyle w:val="TextBody"/>
        <w:spacing w:before="240" w:after="0"/>
        <w:jc w:val="left"/>
        <w:rPr>
          <w:rFonts w:ascii="Times New Roman" w:hAnsi="Times New Roman"/>
          <w:sz w:val="20"/>
        </w:rPr>
      </w:pPr>
      <w:r>
        <w:rPr>
          <w:rFonts w:ascii="Times New Roman" w:hAnsi="Times New Roman"/>
          <w:sz w:val="20"/>
        </w:rPr>
        <w:t xml:space="preserve">We are proud of the businesses we have built and are excited by the opportunities for continued value creation made possible by the separation, said John Hester, President and Chief Executive Officer of Southwest Gas. Just as Riggs Distler opens up new avenues for growth for Centuri, the acquisition of MountainWest provides us with the scale to create value across our regulated operations by sharing best practices, instilling operational excellence and delivering efficiencies, while driving strong, rate-regulated earnings and cash flow. We look forward to this next chapter of growth for both Southwest Gas and Centuri as we seek to maximize value for our stockholders, deliver excellent service to our customers and create new opportunities for employees. </w:t>
      </w:r>
    </w:p>
    <w:p>
      <w:pPr>
        <w:pStyle w:val="TextBody"/>
        <w:spacing w:before="240" w:after="0"/>
        <w:jc w:val="left"/>
        <w:rPr>
          <w:rFonts w:ascii="Times New Roman" w:hAnsi="Times New Roman"/>
          <w:sz w:val="20"/>
        </w:rPr>
      </w:pPr>
      <w:r>
        <w:rPr>
          <w:rFonts w:ascii="Times New Roman" w:hAnsi="Times New Roman"/>
          <w:sz w:val="20"/>
        </w:rPr>
        <w:t xml:space="preserve">With the support of the Southwest Gas Board and management team, we have strategically diversified Centuri, expanding the business into new markets and geographies and partnering with our customers to build safe, modern, and clean energy networks, said Paul Daily, President and Chief Executive Officer of Centuri, who will continue to serve as CEO of Centuri following the separation. Our breadth across the U.S. and Canada, integrated electric and gas service offering, as well as our union and non-union workforce, gives us the scale and optionality to meet the evolving needs of our utility customers. As Centuri has grown its scope and scale, we have built an operations and corporate management team that is ready to operate Centuri as a standalone company from day one. I thank our employees, whose hard work and dedication helped us reach this exciting milestone and establish our safety-focused high performance company culture. We have a bright future at Centuri. </w:t>
      </w:r>
    </w:p>
    <w:p>
      <w:pPr>
        <w:pStyle w:val="TextBody"/>
        <w:spacing w:before="240" w:after="0"/>
        <w:jc w:val="left"/>
        <w:rPr>
          <w:rFonts w:ascii="Times New Roman" w:hAnsi="Times New Roman"/>
          <w:sz w:val="20"/>
        </w:rPr>
      </w:pPr>
      <w:r>
        <w:rPr>
          <w:rFonts w:ascii="Times New Roman" w:hAnsi="Times New Roman"/>
          <w:sz w:val="20"/>
        </w:rPr>
        <w:t xml:space="preserve">The separation will be effected with the goal of maximizing value for Southwest Gas stockholders. Details of the separation, including structure, will be publicly disclosed following the Companys finalization of its separation plans. </w:t>
      </w:r>
    </w:p>
    <w:p>
      <w:pPr>
        <w:pStyle w:val="TextBody"/>
        <w:spacing w:before="240" w:after="0"/>
        <w:jc w:val="left"/>
        <w:rPr>
          <w:rFonts w:ascii="Times New Roman" w:hAnsi="Times New Roman"/>
          <w:sz w:val="20"/>
        </w:rPr>
      </w:pPr>
      <w:r>
        <w:rPr>
          <w:rFonts w:ascii="Times New Roman" w:hAnsi="Times New Roman"/>
          <w:sz w:val="20"/>
        </w:rPr>
        <w:t xml:space="preserve">Until the separation, Southwest Gas intends to continue its dividend program at a payout ratio of 55%65% of consolidated earnings per share, with a plan to increase the payout ratio to levels competitive with pure-play utilities following the separation. As separate companies, Southwest Gas and Centuri will each have tailored capital structures and financial policies appropriate for each companys business. </w:t>
      </w:r>
    </w:p>
    <w:p>
      <w:pPr>
        <w:pStyle w:val="TextBody"/>
        <w:spacing w:before="360" w:after="0"/>
        <w:jc w:val="left"/>
        <w:rPr>
          <w:rFonts w:ascii="Times New Roman" w:hAnsi="Times New Roman"/>
          <w:b/>
          <w:sz w:val="20"/>
        </w:rPr>
      </w:pPr>
      <w:r>
        <w:rPr>
          <w:rFonts w:ascii="Times New Roman" w:hAnsi="Times New Roman"/>
          <w:b/>
          <w:sz w:val="20"/>
        </w:rPr>
        <w:t xml:space="preserve">Centuri: A Leading High-Growth Utility Infrastructure Services Company </w:t>
      </w:r>
    </w:p>
    <w:p>
      <w:pPr>
        <w:pStyle w:val="TextBody"/>
        <w:spacing w:before="120" w:after="0"/>
        <w:jc w:val="left"/>
        <w:rPr>
          <w:rFonts w:ascii="Times New Roman" w:hAnsi="Times New Roman"/>
          <w:i/>
          <w:sz w:val="20"/>
        </w:rPr>
      </w:pPr>
      <w:r>
        <w:rPr>
          <w:rFonts w:ascii="Times New Roman" w:hAnsi="Times New Roman"/>
          <w:i/>
          <w:sz w:val="20"/>
        </w:rPr>
        <w:t xml:space="preserve">Serving its Attractive Blue-Chip Customer Base across the U.S. and Canada with Significant Growth Opportunities Associated with Infrastructure Modernization and the Energy Transition </w:t>
      </w:r>
    </w:p>
    <w:p>
      <w:pPr>
        <w:pStyle w:val="TextBody"/>
        <w:spacing w:before="120" w:after="0"/>
        <w:jc w:val="left"/>
        <w:rPr>
          <w:rFonts w:ascii="Times New Roman" w:hAnsi="Times New Roman"/>
          <w:sz w:val="20"/>
        </w:rPr>
      </w:pPr>
      <w:r>
        <w:rPr>
          <w:rFonts w:ascii="Times New Roman" w:hAnsi="Times New Roman"/>
          <w:sz w:val="20"/>
        </w:rPr>
        <w:t xml:space="preserve">With comprehensive service capabilities that cover the entire utility and infrastructure value chain and its geographic presence across the U.S. and Canada, Centuri is uniquely positioned to serve as a strategic partner for all customer needs and has outsized growth prospects given the continued significant investment in utility infrastructure, 5G and renewables. As the energy transition accelerates, Centuri will have a wide range of opportunities to support the transition ranging from gas pipe replacement and hardening of electric distribution assets, to supporting infrastructure for offshore wind development. Centuri has approximately 10,500 employees across its footprint.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sz w:val="20"/>
        </w:rPr>
        <w:t xml:space="preserve">Centuris 2021 pro forma revenue totaled approximately $2.5 billion, supported by continued organic growth, strategic acquisitions and meaningful exposure to clear infrastructure trends. Centuri revenues in 2022 are expected to be $2.65 billion to $2.80 billion and it is targeting normalized EBITDA margin of 11% to 12%, excluding non-recurring separation costs. Centuri is expected to continue pursuing exciting new electric and gas infrastructure opportunities, focusing on operational excellence, cross-selling its growing service offerings to its combination utility customers, and increasing profitability and growth. </w:t>
      </w:r>
    </w:p>
    <w:p>
      <w:pPr>
        <w:pStyle w:val="TextBody"/>
        <w:spacing w:before="240" w:after="0"/>
        <w:jc w:val="left"/>
        <w:rPr>
          <w:rFonts w:ascii="Times New Roman" w:hAnsi="Times New Roman"/>
          <w:sz w:val="20"/>
        </w:rPr>
      </w:pPr>
      <w:r>
        <w:rPr>
          <w:rFonts w:ascii="Times New Roman" w:hAnsi="Times New Roman"/>
          <w:sz w:val="20"/>
        </w:rPr>
        <w:t xml:space="preserve">With highly recurring revenue underpinned by long-term master service agreements and stable contracts, Centuri will generate strong cash flows to optimize its capital structure, invest in business prospects and return capital to stockholders. </w:t>
      </w:r>
    </w:p>
    <w:p>
      <w:pPr>
        <w:pStyle w:val="TextBody"/>
        <w:spacing w:before="240" w:after="0"/>
        <w:jc w:val="left"/>
        <w:rPr>
          <w:rFonts w:ascii="Times New Roman" w:hAnsi="Times New Roman"/>
          <w:sz w:val="20"/>
        </w:rPr>
      </w:pPr>
      <w:r>
        <w:rPr>
          <w:rFonts w:ascii="Times New Roman" w:hAnsi="Times New Roman"/>
          <w:sz w:val="20"/>
        </w:rPr>
        <w:t xml:space="preserve">Paul Daily, President and CEO of Centuri, will continue to be supported by a strong and highly engaged management team averaging more than 20 years of experience in the utility infrastructure business. Centuri will remain headquartered in Phoenix, Arizona and maintain its strong presence across the United States and Canada. Further details about the Board of Directors of Centuri will be announced in the future. </w:t>
      </w:r>
    </w:p>
    <w:p>
      <w:pPr>
        <w:pStyle w:val="TextBody"/>
        <w:spacing w:before="360" w:after="0"/>
        <w:jc w:val="left"/>
        <w:rPr>
          <w:rFonts w:ascii="Times New Roman" w:hAnsi="Times New Roman"/>
          <w:b/>
          <w:sz w:val="20"/>
        </w:rPr>
      </w:pPr>
      <w:r>
        <w:rPr>
          <w:rFonts w:ascii="Times New Roman" w:hAnsi="Times New Roman"/>
          <w:b/>
          <w:sz w:val="20"/>
        </w:rPr>
        <w:t xml:space="preserve">Southwest Gas: A Fully Regulated Natural Gas Business </w:t>
      </w:r>
    </w:p>
    <w:p>
      <w:pPr>
        <w:pStyle w:val="TextBody"/>
        <w:spacing w:before="120" w:after="0"/>
        <w:jc w:val="left"/>
        <w:rPr>
          <w:rFonts w:ascii="Times New Roman" w:hAnsi="Times New Roman"/>
          <w:i/>
          <w:sz w:val="20"/>
        </w:rPr>
      </w:pPr>
      <w:r>
        <w:rPr>
          <w:rFonts w:ascii="Times New Roman" w:hAnsi="Times New Roman"/>
          <w:i/>
          <w:sz w:val="20"/>
        </w:rPr>
        <w:t xml:space="preserve">Continuing to Provide Reliable, Affordable, Clean Energy across Arizona, Nevada, California, and the Rocky Mountain Region </w:t>
      </w:r>
    </w:p>
    <w:p>
      <w:pPr>
        <w:pStyle w:val="TextBody"/>
        <w:spacing w:before="120" w:after="0"/>
        <w:jc w:val="left"/>
        <w:rPr>
          <w:rFonts w:ascii="Times New Roman" w:hAnsi="Times New Roman"/>
          <w:sz w:val="20"/>
        </w:rPr>
      </w:pPr>
      <w:r>
        <w:rPr>
          <w:rFonts w:ascii="Times New Roman" w:hAnsi="Times New Roman"/>
          <w:sz w:val="20"/>
        </w:rPr>
        <w:t xml:space="preserve">Following the separation, Southwest Gas will be a fully regulated natural gas leader through its utility business and MountainWest. Serving more than two million customers across its service territories, Southwest Gas utility business will remain the largest distributor of natural gas in Arizona, including the Phoenix and Tucson metropolitan areas, and Nevada, including Las Vegas and most of Northern Nevada. It will also maintain its operations in California, including parts of the Lake Tahoe area in Northern California and the high-desert area in Southern California. Southwest Gas, including MountainWest, has approximately 2,500 employees. Southwest Gas will remain headquartered in Las Vegas, Nevada. </w:t>
      </w:r>
    </w:p>
    <w:p>
      <w:pPr>
        <w:pStyle w:val="TextBody"/>
        <w:spacing w:before="240" w:after="0"/>
        <w:jc w:val="left"/>
        <w:rPr>
          <w:rFonts w:ascii="Times New Roman" w:hAnsi="Times New Roman"/>
          <w:sz w:val="20"/>
        </w:rPr>
      </w:pPr>
      <w:r>
        <w:rPr>
          <w:rFonts w:ascii="Times New Roman" w:hAnsi="Times New Roman"/>
          <w:sz w:val="20"/>
        </w:rPr>
        <w:t xml:space="preserve">Southwest Gas utility business continues to grow its customers, rate base, EBITDA and net income, and is well-positioned given the continued significant population growth and strong demand across its service territories. Southwest Gas is expected to deliver a 7.0 % utility rate base CAGR from 2022  2026. Southwest Gas has strong, collaborative relationships with its state regulatory commissions, which contributed to near record growth in revenues and rate base in 2021. This followed a strong 2020, where the Company had rate cases in all three jurisdictions that resulted in an increase in rate base of over $1 billion. </w:t>
      </w:r>
    </w:p>
    <w:p>
      <w:pPr>
        <w:pStyle w:val="TextBody"/>
        <w:spacing w:before="240" w:after="0"/>
        <w:jc w:val="left"/>
        <w:rPr>
          <w:rFonts w:ascii="Times New Roman" w:hAnsi="Times New Roman"/>
          <w:sz w:val="20"/>
        </w:rPr>
      </w:pPr>
      <w:r>
        <w:rPr>
          <w:rFonts w:ascii="Times New Roman" w:hAnsi="Times New Roman"/>
          <w:sz w:val="20"/>
        </w:rPr>
        <w:t xml:space="preserve">MountainWest operates more than 2,000 miles of highly contracted, FERC-regulated interstate national pipelines in the Rocky Mountain region. With a strong re-contracting record, high-quality customer base and a robust stream of steady and contracted earnings and cash flows over the long-term, MountainWest is expected to be accretive to earnings in 2022 and significantly broadens the Companys flexibility to source and allocate growth capital. MountainWest also positions Southwest Gas to deliver on numerous attractive opportunities in the energy transition with renewable natural gas, responsibly sourced natural gas, hydrogen and CO2 transportation.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Fourth Quarter and Full-Year 2021 Financial Results </w:t>
      </w:r>
    </w:p>
    <w:p>
      <w:pPr>
        <w:pStyle w:val="TextBody"/>
        <w:spacing w:before="120" w:after="0"/>
        <w:jc w:val="left"/>
        <w:rPr>
          <w:rFonts w:ascii="Times New Roman" w:hAnsi="Times New Roman"/>
          <w:sz w:val="20"/>
        </w:rPr>
      </w:pPr>
      <w:r>
        <w:rPr>
          <w:rFonts w:ascii="Times New Roman" w:hAnsi="Times New Roman"/>
          <w:sz w:val="20"/>
        </w:rPr>
        <w:t xml:space="preserve">In a separate press release issued today, Southwest Gas announced its fourth quarter and full year 2021 results. </w:t>
      </w:r>
    </w:p>
    <w:p>
      <w:pPr>
        <w:pStyle w:val="TextBody"/>
        <w:spacing w:before="360" w:after="0"/>
        <w:jc w:val="left"/>
        <w:rPr>
          <w:rFonts w:ascii="Times New Roman" w:hAnsi="Times New Roman"/>
          <w:b/>
          <w:sz w:val="20"/>
        </w:rPr>
      </w:pPr>
      <w:r>
        <w:rPr>
          <w:rFonts w:ascii="Times New Roman" w:hAnsi="Times New Roman"/>
          <w:b/>
          <w:sz w:val="20"/>
        </w:rPr>
        <w:t xml:space="preserve">Conference Call and Webcast </w:t>
      </w:r>
    </w:p>
    <w:p>
      <w:pPr>
        <w:pStyle w:val="TextBody"/>
        <w:spacing w:before="120" w:after="0"/>
        <w:jc w:val="left"/>
        <w:rPr>
          <w:rFonts w:ascii="Times New Roman" w:hAnsi="Times New Roman"/>
          <w:sz w:val="20"/>
        </w:rPr>
      </w:pPr>
      <w:r>
        <w:rPr>
          <w:rFonts w:ascii="Times New Roman" w:hAnsi="Times New Roman"/>
          <w:sz w:val="20"/>
        </w:rPr>
        <w:t xml:space="preserve">Southwest Gas will host a conference call on Wednesday, March 2, 2022 at 1 p.m. ET to discuss todays announcement and its fourth quarter and full year 2021 results. The associated press releases and presentation slides are available at </w:t>
      </w:r>
      <w:r>
        <w:rPr>
          <w:rFonts w:ascii="Times New Roman" w:hAnsi="Times New Roman"/>
          <w:sz w:val="20"/>
          <w:u w:val="single"/>
        </w:rPr>
        <w:t>https://investors.swgasholdings.com/investor-overview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call will be webcast live on the Companys website at </w:t>
      </w:r>
      <w:r>
        <w:rPr>
          <w:rFonts w:ascii="Times New Roman" w:hAnsi="Times New Roman"/>
          <w:sz w:val="20"/>
          <w:u w:val="single"/>
        </w:rPr>
        <w:t>www.swgasholdings.com</w:t>
      </w:r>
      <w:r>
        <w:rPr>
          <w:rFonts w:ascii="Times New Roman" w:hAnsi="Times New Roman"/>
          <w:sz w:val="20"/>
        </w:rPr>
        <w:t xml:space="preserve">. The telephone dial-in numbers in the U.S. and Canada are toll free: (877) 419-3678 or international: (614) 610-1910. The conference ID is 7668616. The webcast will be archived on the Southwest Gas website. </w:t>
      </w:r>
    </w:p>
    <w:p>
      <w:pPr>
        <w:pStyle w:val="TextBody"/>
        <w:spacing w:before="360" w:after="0"/>
        <w:jc w:val="left"/>
        <w:rPr>
          <w:rFonts w:ascii="Times New Roman" w:hAnsi="Times New Roman"/>
          <w:b/>
          <w:sz w:val="20"/>
        </w:rPr>
      </w:pPr>
      <w:r>
        <w:rPr>
          <w:rFonts w:ascii="Times New Roman" w:hAnsi="Times New Roman"/>
          <w:b/>
          <w:sz w:val="20"/>
        </w:rPr>
        <w:t xml:space="preserve">Advisors </w:t>
      </w:r>
    </w:p>
    <w:p>
      <w:pPr>
        <w:pStyle w:val="TextBody"/>
        <w:spacing w:before="120" w:after="0"/>
        <w:jc w:val="left"/>
        <w:rPr>
          <w:rFonts w:ascii="Times New Roman" w:hAnsi="Times New Roman"/>
          <w:sz w:val="20"/>
        </w:rPr>
      </w:pPr>
      <w:r>
        <w:rPr>
          <w:rFonts w:ascii="Times New Roman" w:hAnsi="Times New Roman"/>
          <w:sz w:val="20"/>
        </w:rPr>
        <w:t xml:space="preserve">Lazard served as financial advisor to Southwest Gas and Morrison &amp; Foerster LLP and Cravath, Swaine &amp; Moore LLP served as legal advisors, each in connection with the determination to separate Centuri. </w:t>
      </w:r>
    </w:p>
    <w:p>
      <w:pPr>
        <w:pStyle w:val="TextBody"/>
        <w:spacing w:before="360" w:after="0"/>
        <w:jc w:val="left"/>
        <w:rPr>
          <w:rFonts w:ascii="Times New Roman" w:hAnsi="Times New Roman"/>
          <w:b/>
          <w:sz w:val="20"/>
        </w:rPr>
      </w:pPr>
      <w:r>
        <w:rPr>
          <w:rFonts w:ascii="Times New Roman" w:hAnsi="Times New Roman"/>
          <w:b/>
          <w:sz w:val="20"/>
        </w:rPr>
        <w:t xml:space="preserve">About Southwest Gas Holdings, Inc. </w:t>
      </w:r>
    </w:p>
    <w:p>
      <w:pPr>
        <w:pStyle w:val="TextBody"/>
        <w:spacing w:before="120" w:after="0"/>
        <w:jc w:val="left"/>
        <w:rPr>
          <w:rFonts w:ascii="Times New Roman" w:hAnsi="Times New Roman"/>
          <w:sz w:val="20"/>
        </w:rPr>
      </w:pPr>
      <w:r>
        <w:rPr>
          <w:rFonts w:ascii="Times New Roman" w:hAnsi="Times New Roman"/>
          <w:sz w:val="20"/>
        </w:rPr>
        <w:t xml:space="preserve">Southwest Gas Holdings, Inc., through its subsidiaries, engages in the business of purchasing, distributing and transporting natural gas, and providing comprehensive utility infrastructure services across North America. Southwest Gas Corporation, a wholly owned subsidiary, safely and reliably delivers natural gas to over two million customers in Arizona, California and Nevada. The Companys MountainWest subsidiary provides natural gas storage and interstate pipeline services within the Rocky Mountain region. Centuri Group, Inc., a wholly owned subsidiary, is a strategic infrastructure services company that partners with regulated utilities to build and maintain the energy network that powers millions of homes and businesses across the United States and Canada. </w:t>
      </w:r>
    </w:p>
    <w:p>
      <w:pPr>
        <w:pStyle w:val="TextBody"/>
        <w:spacing w:before="360" w:after="0"/>
        <w:jc w:val="left"/>
        <w:rPr>
          <w:rFonts w:ascii="Times New Roman" w:hAnsi="Times New Roman"/>
          <w:b/>
          <w:sz w:val="20"/>
        </w:rPr>
      </w:pPr>
      <w:r>
        <w:rPr>
          <w:rFonts w:ascii="Times New Roman" w:hAnsi="Times New Roman"/>
          <w:b/>
          <w:sz w:val="20"/>
        </w:rPr>
        <w:t xml:space="preserve">How to Find Further Information </w:t>
      </w:r>
    </w:p>
    <w:p>
      <w:pPr>
        <w:pStyle w:val="TextBody"/>
        <w:spacing w:before="120" w:after="0"/>
        <w:jc w:val="left"/>
        <w:rPr>
          <w:rFonts w:ascii="Times New Roman" w:hAnsi="Times New Roman"/>
          <w:sz w:val="20"/>
        </w:rPr>
      </w:pPr>
      <w:r>
        <w:rPr>
          <w:rFonts w:ascii="Times New Roman" w:hAnsi="Times New Roman"/>
          <w:sz w:val="20"/>
        </w:rPr>
        <w:t xml:space="preserve">This communication does not constitute a solicitation of any vote or approval in connection with the 2022 annual meeting of stockholders of Southwest Gas Holdings, Inc. (the Company) (the Annual Meeting). In connection with the Annual Meeting, the Company has filed a preliminary proxy statement and will file a definitive proxy statement with the U.S. Securities and Exchange Commission (SEC), which the Company will furnish, with any other relevant information or documents, to its stockholders in connection with the Annual Meeting. BEFORE MAKING ANY VOTING DECISION, WE URGE STOCKHOLDERS TO READ THE PROXY STATEMENT (INCLUDING ALL AMENDMENTS AND SUPPLEMENTS THERETO) AND WHITE PROXY CARD AND OTHER DOCUMENTS WHEN SUCH INFORMATION IS FILED WITH THE SEC CAREFULLY AND IN THEIR ENTIRETY WHEN THEY BECOME AVAILABLE, BECAUSE THEY WILL CONTAIN IMPORTANT INFORMATION ABOUT THE COMPANY AND THE ANNUAL MEETING. The proposals for the Annual Meeting will be made solely through the definitive proxy statement. In addition, a copy of the definitive proxy statement (when it becomes available) may be obtained free of charge from www.swgasholdings.com/proxymaterials. Security holders also will be able to obtain, free of charge, copies of the proxy statement and any other documents filed by Company with the SEC in connection with the Annual Meeting at the SECs website at http://www.sec.gov, and at the companies website at </w:t>
      </w:r>
      <w:r>
        <w:rPr>
          <w:rFonts w:ascii="Times New Roman" w:hAnsi="Times New Roman"/>
          <w:sz w:val="20"/>
          <w:u w:val="single"/>
        </w:rPr>
        <w:t>www.swgasholdings.com</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i/>
          <w:sz w:val="20"/>
        </w:rPr>
        <w:t>Important Information for Investors and Stockholders:</w:t>
      </w:r>
      <w:r>
        <w:rPr>
          <w:rFonts w:ascii="Times New Roman" w:hAnsi="Times New Roman"/>
          <w:sz w:val="20"/>
        </w:rPr>
        <w:t xml:space="preserve"> </w:t>
      </w:r>
      <w:r>
        <w:rPr>
          <w:rFonts w:ascii="Times New Roman" w:hAnsi="Times New Roman"/>
          <w:i/>
          <w:sz w:val="20"/>
        </w:rPr>
        <w:t xml:space="preserve">This communication does not constitute an offer to buy or solicitation of an offer to sell any securities. In response to the tender offer for the shares of the Company commenced by IEP Utility Holdings LLC and Icahn Enterprises Holdings L.P., the Company has filed a solicitation/recommendation statement on Schedule 14D-9 with the SEC. INVESTORS AND STOCKHOLDERS OF SOUTHWEST GAS HOLDINGS ARE URGED TO READ THE SOLICITATION/RECOMMENDATION STATEMENT AND OTHER DOCUMENTS FILED WITH THE SEC CAREFULLY IN THEIR ENTIRETY BECAUSE THEY WILL CONTAIN IMPORTANT INFORMATION. Investors and stockholders may obtain a free copy of these documents free of charge at the SECs website at www.sec.gov, and at the Companys website at www.swgasholdings.com. In addition, copies of these materials may be requested from the Companys information agent, Innisfree M&amp;A Incorporated, toll-free at (877) 825-8621. </w:t>
      </w:r>
    </w:p>
    <w:p>
      <w:pPr>
        <w:pStyle w:val="TextBody"/>
        <w:spacing w:before="360" w:after="0"/>
        <w:jc w:val="left"/>
        <w:rPr>
          <w:rFonts w:ascii="Times New Roman" w:hAnsi="Times New Roman"/>
          <w:sz w:val="20"/>
        </w:rPr>
      </w:pPr>
      <w:r>
        <w:rPr>
          <w:rFonts w:ascii="Times New Roman" w:hAnsi="Times New Roman"/>
          <w:b/>
          <w:i/>
          <w:sz w:val="20"/>
        </w:rPr>
        <w:t>Forward-Looking Statements:</w:t>
      </w:r>
      <w:r>
        <w:rPr>
          <w:rFonts w:ascii="Times New Roman" w:hAnsi="Times New Roman"/>
          <w:sz w:val="20"/>
        </w:rPr>
        <w:t xml:space="preserve"> </w:t>
      </w:r>
      <w:r>
        <w:rPr>
          <w:rFonts w:ascii="Times New Roman" w:hAnsi="Times New Roman"/>
          <w:i/>
          <w:sz w:val="20"/>
        </w:rPr>
        <w:t xml:space="preserve">This press release contains forward-looking statements within the meaning of the U.S. Private Securities Litigation Reform Act of 1995, Section 27A of the Securities Act of 1933, as amended, and Section 21E of the Securities Exchange Act of 1934, as amended. Such statements include, without limitation, statements regarding Southwest Gas Holdings, Inc. (the Company) and the Companys expectations or intentions regarding the future. These forward-looking statements can often be identified by the use of words such as will, predict, continue, forecast, expect, believe, anticipate, outlook, could, target, project, intend, plan, seek, estimate, should, may and assume, as well as variations of such words and similar expressions referring to the future, and include (without limitation) statements regarding expectations with respect to a separation of Centuri, the future performance of Centuri, Southwest Gass dividend ratios and Southwest Gass future performance. A number of important factors affecting the business and financial results of the Company could cause actual results to differ materially from those stated in the forward-looking statements. These factors include, but are not limited to, the timing and amount of rate relief, changes in rate design, customer growth rates, the effects of regulation/deregulation, tax reform and related regulatory decisions, the impacts of construction activity at Centuri, whether we will separate Centuri within the anticipated timeframe and the impact to our results of operations and financial position from the separation, the potential for, and the impact of, a credit rating downgrade, the costs to integrate MountainWest, future earnings trends, inflation, sufficiency of labor markets and similar resources, seasonal patterns, the cost and management attention of ongoing litigation that the Company is currently engaged in, the effects of the pending tender offer and proxy contest brought by Carl Icahn and his affiliates, and the impacts of stock market volatility. In addition, the Company can provide no assurance that its discussions about future operating margin, operating income, COLI earnings, interest expense, and capital expenditures of the natural gas distribution segment will occur. Likewise, the Company can provide no assurance that discussions regarding utility infrastructure services segment revenues, EBITDA as a percentage of revenue, and interest expense will transpire, nor assurance regarding acquisitions or their impacts, including managements plans or expectations related thereto, including with regard to Riggs Distler or MountainWest. Factors that could cause actual results to differ also include (without limitation) those discussed under the heading Risk Factors in the Companys most recent Annual Report on Form 10-K and in the Companys and Southwest Gas Corporations current and periodic reports, including our Quarterly Reports on Form 10-Q, filed from time to time with the SEC. The statements in this press release are made as of the date of this press release, even if subsequently made available by the Company on its Web site or otherwise. The Company does not assume any obligation to update the forward-looking statements, whether written or oral, that may be made from time to time, whether as a result of new information, future developments, or otherwise. </w:t>
      </w:r>
      <w:r>
        <w:br w:type="page"/>
      </w:r>
    </w:p>
    <w:p>
      <w:pPr>
        <w:pStyle w:val="HorizontalLine"/>
        <w:pBdr>
          <w:bottom w:val="double" w:sz="6" w:space="0" w:color="808080"/>
        </w:pBdr>
        <w:rPr/>
      </w:pPr>
      <w:r>
        <w:rPr/>
      </w:r>
    </w:p>
    <w:p>
      <w:pPr>
        <w:pStyle w:val="TextBody"/>
        <w:spacing w:before="0" w:after="0"/>
        <w:jc w:val="left"/>
        <w:rPr>
          <w:rFonts w:ascii="Times New Roman" w:hAnsi="Times New Roman"/>
          <w:sz w:val="20"/>
        </w:rPr>
      </w:pPr>
      <w:r>
        <w:rPr>
          <w:rFonts w:ascii="Times New Roman" w:hAnsi="Times New Roman"/>
          <w:b/>
          <w:i/>
          <w:sz w:val="20"/>
        </w:rPr>
        <w:t xml:space="preserve">Participants in the Solicitation: </w:t>
      </w:r>
      <w:r>
        <w:rPr>
          <w:rFonts w:ascii="Times New Roman" w:hAnsi="Times New Roman"/>
          <w:i/>
          <w:sz w:val="20"/>
        </w:rPr>
        <w:t xml:space="preserve">The directors and officers of the Company may be deemed to be participants in the solicitation of proxies in connection with the Annual Meeting. Information regarding the Companys directors and officers and their respective interests in the Company by security holdings or otherwise is available in its most recent Annual Report on Form 10-K filed with the SEC and its most recent definitive Proxy Statement on Schedule 14A filed with the SEC. Additional information regarding the interests of such potential participants is or will be included in the proxy statement for the Annual Meeting and other relevant materials to be filed with the SEC, when they become available. </w:t>
      </w:r>
    </w:p>
    <w:p>
      <w:pPr>
        <w:pStyle w:val="TextBody"/>
        <w:spacing w:before="360" w:after="0"/>
        <w:jc w:val="left"/>
        <w:rPr>
          <w:rFonts w:ascii="Times New Roman" w:hAnsi="Times New Roman"/>
          <w:b/>
          <w:sz w:val="20"/>
        </w:rPr>
      </w:pPr>
      <w:r>
        <w:rPr>
          <w:rFonts w:ascii="Times New Roman" w:hAnsi="Times New Roman"/>
          <w:b/>
          <w:sz w:val="20"/>
        </w:rPr>
        <w:t xml:space="preserve">Contacts </w:t>
      </w:r>
    </w:p>
    <w:p>
      <w:pPr>
        <w:pStyle w:val="TextBody"/>
        <w:spacing w:before="120" w:after="0"/>
        <w:jc w:val="left"/>
        <w:rPr>
          <w:rFonts w:ascii="Times New Roman" w:hAnsi="Times New Roman"/>
          <w:sz w:val="20"/>
        </w:rPr>
      </w:pPr>
      <w:r>
        <w:rPr>
          <w:rFonts w:ascii="Times New Roman" w:hAnsi="Times New Roman"/>
          <w:sz w:val="20"/>
        </w:rPr>
        <w:t xml:space="preserve">For investor information, contact: Boyd Nelson, (702) 876-7237, boyd.nelson@swgas.com; or Innisfree M&amp;A Incorporated, Scott Winter/Jennifer Shotwell/Jon Salzberger, (212) 750-5833. </w:t>
      </w:r>
    </w:p>
    <w:p>
      <w:pPr>
        <w:pStyle w:val="TextBody"/>
        <w:spacing w:before="240" w:after="0"/>
        <w:jc w:val="left"/>
        <w:rPr>
          <w:rFonts w:ascii="Times New Roman" w:hAnsi="Times New Roman"/>
          <w:sz w:val="20"/>
        </w:rPr>
      </w:pPr>
      <w:r>
        <w:rPr>
          <w:rFonts w:ascii="Times New Roman" w:hAnsi="Times New Roman"/>
          <w:sz w:val="20"/>
        </w:rPr>
        <w:t xml:space="preserve">For media information, contact: Sean Corbett, (702) 876-7219, sean.corbett@swgas.com; or </w:t>
      </w:r>
    </w:p>
    <w:p>
      <w:pPr>
        <w:pStyle w:val="TextBody"/>
        <w:spacing w:before="0" w:after="0"/>
        <w:jc w:val="left"/>
        <w:rPr>
          <w:rFonts w:ascii="Times New Roman" w:hAnsi="Times New Roman"/>
          <w:sz w:val="20"/>
        </w:rPr>
      </w:pPr>
      <w:r>
        <w:rPr>
          <w:rFonts w:ascii="Times New Roman" w:hAnsi="Times New Roman"/>
          <w:sz w:val="20"/>
        </w:rPr>
        <w:t xml:space="preserve">Joele Frank, Wilkinson Brimmer Katcher, Dan Katcher / Tim Lynch, (212) 355-4449.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23</Pages>
  <Words>8212</Words>
  <CharactersWithSpaces>55229</CharactersWithSpaces>
  <Paragraphs>1676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