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7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period ended 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5"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ind w:left="260"/>
              <w:spacing w:after="0"/>
              <w:rPr>
                <w:sz w:val="20"/>
                <w:szCs w:val="20"/>
                <w:color w:val="auto"/>
              </w:rPr>
            </w:pPr>
            <w:r>
              <w:rPr>
                <w:rFonts w:ascii="Arial" w:cs="Arial" w:eastAsia="Arial" w:hAnsi="Arial"/>
                <w:sz w:val="14"/>
                <w:szCs w:val="14"/>
                <w:i w:val="1"/>
                <w:iCs w:val="1"/>
                <w:color w:val="auto"/>
              </w:rPr>
              <w:t>Commission</w:t>
            </w:r>
          </w:p>
        </w:tc>
        <w:tc>
          <w:tcPr>
            <w:tcW w:w="3640" w:type="dxa"/>
            <w:vAlign w:val="bottom"/>
            <w:gridSpan w:val="2"/>
          </w:tcPr>
          <w:p>
            <w:pPr>
              <w:ind w:left="20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820" w:type="dxa"/>
            <w:vAlign w:val="bottom"/>
          </w:tcPr>
          <w:p>
            <w:pPr>
              <w:jc w:val="center"/>
              <w:ind w:left="1822"/>
              <w:spacing w:after="0"/>
              <w:rPr>
                <w:sz w:val="20"/>
                <w:szCs w:val="20"/>
                <w:color w:val="auto"/>
              </w:rPr>
            </w:pPr>
            <w:r>
              <w:rPr>
                <w:rFonts w:ascii="Arial" w:cs="Arial" w:eastAsia="Arial" w:hAnsi="Arial"/>
                <w:sz w:val="14"/>
                <w:szCs w:val="14"/>
                <w:i w:val="1"/>
                <w:iCs w:val="1"/>
                <w:color w:val="auto"/>
                <w:w w:val="91"/>
              </w:rPr>
              <w:t>State of</w:t>
            </w:r>
          </w:p>
        </w:tc>
        <w:tc>
          <w:tcPr>
            <w:tcW w:w="2580" w:type="dxa"/>
            <w:vAlign w:val="bottom"/>
          </w:tcPr>
          <w:p>
            <w:pPr>
              <w:jc w:val="center"/>
              <w:ind w:left="64"/>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File Number</w:t>
            </w:r>
          </w:p>
        </w:tc>
        <w:tc>
          <w:tcPr>
            <w:tcW w:w="36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820" w:type="dxa"/>
            <w:vAlign w:val="bottom"/>
            <w:tcBorders>
              <w:bottom w:val="single" w:sz="8" w:color="auto"/>
            </w:tcBorders>
          </w:tcPr>
          <w:p>
            <w:pPr>
              <w:jc w:val="center"/>
              <w:ind w:left="1822"/>
              <w:spacing w:after="0"/>
              <w:rPr>
                <w:sz w:val="20"/>
                <w:szCs w:val="20"/>
                <w:color w:val="auto"/>
              </w:rPr>
            </w:pPr>
            <w:r>
              <w:rPr>
                <w:rFonts w:ascii="Arial" w:cs="Arial" w:eastAsia="Arial" w:hAnsi="Arial"/>
                <w:sz w:val="14"/>
                <w:szCs w:val="14"/>
                <w:i w:val="1"/>
                <w:iCs w:val="1"/>
                <w:color w:val="auto"/>
                <w:w w:val="97"/>
              </w:rPr>
              <w:t>Incorporation</w:t>
            </w:r>
          </w:p>
        </w:tc>
        <w:tc>
          <w:tcPr>
            <w:tcW w:w="25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200" w:type="dxa"/>
            <w:vAlign w:val="bottom"/>
          </w:tcPr>
          <w:p>
            <w:pPr>
              <w:jc w:val="right"/>
              <w:ind w:right="184"/>
              <w:spacing w:after="0"/>
              <w:rPr>
                <w:sz w:val="20"/>
                <w:szCs w:val="20"/>
                <w:color w:val="auto"/>
              </w:rPr>
            </w:pPr>
            <w:r>
              <w:rPr>
                <w:rFonts w:ascii="Arial" w:cs="Arial" w:eastAsia="Arial" w:hAnsi="Arial"/>
                <w:sz w:val="16"/>
                <w:szCs w:val="16"/>
                <w:color w:val="auto"/>
              </w:rPr>
              <w:t>001-37976</w:t>
            </w:r>
          </w:p>
        </w:tc>
        <w:tc>
          <w:tcPr>
            <w:tcW w:w="2220" w:type="dxa"/>
            <w:vAlign w:val="bottom"/>
          </w:tcPr>
          <w:p>
            <w:pPr>
              <w:ind w:left="200"/>
              <w:spacing w:after="0"/>
              <w:rPr>
                <w:sz w:val="20"/>
                <w:szCs w:val="20"/>
                <w:color w:val="auto"/>
              </w:rPr>
            </w:pPr>
            <w:r>
              <w:rPr>
                <w:rFonts w:ascii="Arial" w:cs="Arial" w:eastAsia="Arial" w:hAnsi="Arial"/>
                <w:sz w:val="16"/>
                <w:szCs w:val="16"/>
                <w:color w:val="auto"/>
                <w:w w:val="95"/>
              </w:rPr>
              <w:t>Southwest Gas Holdings, Inc.</w:t>
            </w:r>
          </w:p>
        </w:tc>
        <w:tc>
          <w:tcPr>
            <w:tcW w:w="1420" w:type="dxa"/>
            <w:vAlign w:val="bottom"/>
          </w:tcPr>
          <w:p>
            <w:pPr>
              <w:spacing w:after="0"/>
              <w:rPr>
                <w:sz w:val="17"/>
                <w:szCs w:val="17"/>
                <w:color w:val="auto"/>
              </w:rPr>
            </w:pPr>
          </w:p>
        </w:tc>
        <w:tc>
          <w:tcPr>
            <w:tcW w:w="3820" w:type="dxa"/>
            <w:vAlign w:val="bottom"/>
          </w:tcPr>
          <w:p>
            <w:pPr>
              <w:jc w:val="center"/>
              <w:ind w:left="1842"/>
              <w:spacing w:after="0"/>
              <w:rPr>
                <w:sz w:val="20"/>
                <w:szCs w:val="20"/>
                <w:color w:val="auto"/>
              </w:rPr>
            </w:pPr>
            <w:r>
              <w:rPr>
                <w:rFonts w:ascii="Arial" w:cs="Arial" w:eastAsia="Arial" w:hAnsi="Arial"/>
                <w:sz w:val="16"/>
                <w:szCs w:val="16"/>
                <w:color w:val="auto"/>
                <w:w w:val="91"/>
              </w:rPr>
              <w:t>Delaware</w:t>
            </w:r>
          </w:p>
        </w:tc>
        <w:tc>
          <w:tcPr>
            <w:tcW w:w="2580" w:type="dxa"/>
            <w:vAlign w:val="bottom"/>
          </w:tcPr>
          <w:p>
            <w:pPr>
              <w:jc w:val="center"/>
              <w:ind w:left="84"/>
              <w:spacing w:after="0"/>
              <w:rPr>
                <w:sz w:val="20"/>
                <w:szCs w:val="20"/>
                <w:color w:val="auto"/>
              </w:rPr>
            </w:pPr>
            <w:r>
              <w:rPr>
                <w:rFonts w:ascii="Arial" w:cs="Arial" w:eastAsia="Arial" w:hAnsi="Arial"/>
                <w:sz w:val="16"/>
                <w:szCs w:val="16"/>
                <w:color w:val="auto"/>
                <w:w w:val="91"/>
              </w:rPr>
              <w:t>81-3881866</w:t>
            </w: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8360 S. Durango Dr.</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Post Office Box 98510</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Las Vegas,</w:t>
            </w: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3820" w:type="dxa"/>
            <w:vAlign w:val="bottom"/>
          </w:tcPr>
          <w:p>
            <w:pPr>
              <w:jc w:val="right"/>
              <w:ind w:right="2702"/>
              <w:spacing w:after="0"/>
              <w:rPr>
                <w:sz w:val="20"/>
                <w:szCs w:val="20"/>
                <w:color w:val="auto"/>
              </w:rPr>
            </w:pPr>
            <w:r>
              <w:rPr>
                <w:rFonts w:ascii="Arial" w:cs="Arial" w:eastAsia="Arial" w:hAnsi="Arial"/>
                <w:sz w:val="16"/>
                <w:szCs w:val="16"/>
                <w:color w:val="auto"/>
              </w:rPr>
              <w:t>89193-8510</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w w:val="96"/>
              </w:rPr>
              <w:t>(702) 876-7237</w:t>
            </w: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114"/>
        </w:trPr>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r>
      <w:tr>
        <w:trPr>
          <w:trHeight w:val="203"/>
        </w:trPr>
        <w:tc>
          <w:tcPr>
            <w:tcW w:w="1200" w:type="dxa"/>
            <w:vAlign w:val="bottom"/>
          </w:tcPr>
          <w:p>
            <w:pPr>
              <w:jc w:val="right"/>
              <w:ind w:right="304"/>
              <w:spacing w:after="0"/>
              <w:rPr>
                <w:sz w:val="20"/>
                <w:szCs w:val="20"/>
                <w:color w:val="auto"/>
              </w:rPr>
            </w:pPr>
            <w:r>
              <w:rPr>
                <w:rFonts w:ascii="Arial" w:cs="Arial" w:eastAsia="Arial" w:hAnsi="Arial"/>
                <w:sz w:val="16"/>
                <w:szCs w:val="16"/>
                <w:color w:val="auto"/>
              </w:rPr>
              <w:t>1-7850</w:t>
            </w:r>
          </w:p>
        </w:tc>
        <w:tc>
          <w:tcPr>
            <w:tcW w:w="2220" w:type="dxa"/>
            <w:vAlign w:val="bottom"/>
          </w:tcPr>
          <w:p>
            <w:pPr>
              <w:ind w:left="200"/>
              <w:spacing w:after="0"/>
              <w:rPr>
                <w:sz w:val="20"/>
                <w:szCs w:val="20"/>
                <w:color w:val="auto"/>
              </w:rPr>
            </w:pPr>
            <w:r>
              <w:rPr>
                <w:rFonts w:ascii="Arial" w:cs="Arial" w:eastAsia="Arial" w:hAnsi="Arial"/>
                <w:sz w:val="16"/>
                <w:szCs w:val="16"/>
                <w:color w:val="auto"/>
              </w:rPr>
              <w:t>Southwest Gas Corporation</w:t>
            </w:r>
          </w:p>
        </w:tc>
        <w:tc>
          <w:tcPr>
            <w:tcW w:w="1420" w:type="dxa"/>
            <w:vAlign w:val="bottom"/>
          </w:tcPr>
          <w:p>
            <w:pPr>
              <w:spacing w:after="0"/>
              <w:rPr>
                <w:sz w:val="17"/>
                <w:szCs w:val="17"/>
                <w:color w:val="auto"/>
              </w:rPr>
            </w:pPr>
          </w:p>
        </w:tc>
        <w:tc>
          <w:tcPr>
            <w:tcW w:w="3820" w:type="dxa"/>
            <w:vAlign w:val="bottom"/>
          </w:tcPr>
          <w:p>
            <w:pPr>
              <w:jc w:val="center"/>
              <w:ind w:left="1842"/>
              <w:spacing w:after="0"/>
              <w:rPr>
                <w:sz w:val="20"/>
                <w:szCs w:val="20"/>
                <w:color w:val="auto"/>
              </w:rPr>
            </w:pPr>
            <w:r>
              <w:rPr>
                <w:rFonts w:ascii="Arial" w:cs="Arial" w:eastAsia="Arial" w:hAnsi="Arial"/>
                <w:sz w:val="16"/>
                <w:szCs w:val="16"/>
                <w:color w:val="auto"/>
                <w:w w:val="97"/>
              </w:rPr>
              <w:t>California</w:t>
            </w:r>
          </w:p>
        </w:tc>
        <w:tc>
          <w:tcPr>
            <w:tcW w:w="2580" w:type="dxa"/>
            <w:vAlign w:val="bottom"/>
          </w:tcPr>
          <w:p>
            <w:pPr>
              <w:jc w:val="center"/>
              <w:ind w:left="84"/>
              <w:spacing w:after="0"/>
              <w:rPr>
                <w:sz w:val="20"/>
                <w:szCs w:val="20"/>
                <w:color w:val="auto"/>
              </w:rPr>
            </w:pPr>
            <w:r>
              <w:rPr>
                <w:rFonts w:ascii="Arial" w:cs="Arial" w:eastAsia="Arial" w:hAnsi="Arial"/>
                <w:sz w:val="16"/>
                <w:szCs w:val="16"/>
                <w:color w:val="auto"/>
                <w:w w:val="91"/>
              </w:rPr>
              <w:t>88-0085720</w:t>
            </w: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8360 S. Durango Dr.</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Post Office Box 98510</w:t>
            </w: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Las Vegas,</w:t>
            </w: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3820" w:type="dxa"/>
            <w:vAlign w:val="bottom"/>
          </w:tcPr>
          <w:p>
            <w:pPr>
              <w:jc w:val="right"/>
              <w:ind w:right="2702"/>
              <w:spacing w:after="0"/>
              <w:rPr>
                <w:sz w:val="20"/>
                <w:szCs w:val="20"/>
                <w:color w:val="auto"/>
              </w:rPr>
            </w:pPr>
            <w:r>
              <w:rPr>
                <w:rFonts w:ascii="Arial" w:cs="Arial" w:eastAsia="Arial" w:hAnsi="Arial"/>
                <w:sz w:val="16"/>
                <w:szCs w:val="16"/>
                <w:color w:val="auto"/>
              </w:rPr>
              <w:t>89193-8510</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color w:val="auto"/>
                <w:w w:val="96"/>
              </w:rPr>
              <w:t>(702) 876-7237</w:t>
            </w:r>
          </w:p>
        </w:tc>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87"/>
              </w:rPr>
              <w:t>Title of each class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940" w:type="dxa"/>
            <w:vAlign w:val="bottom"/>
          </w:tcPr>
          <w:p>
            <w:pPr>
              <w:jc w:val="center"/>
              <w:ind w:left="99"/>
              <w:spacing w:after="0"/>
              <w:rPr>
                <w:sz w:val="20"/>
                <w:szCs w:val="20"/>
                <w:color w:val="auto"/>
              </w:rPr>
            </w:pPr>
            <w:r>
              <w:rPr>
                <w:rFonts w:ascii="Arial" w:cs="Arial" w:eastAsia="Arial" w:hAnsi="Arial"/>
                <w:sz w:val="16"/>
                <w:szCs w:val="16"/>
                <w:color w:val="auto"/>
                <w:w w:val="92"/>
              </w:rPr>
              <w:t>Southwest Gas Holdings, Inc. Common Stock, $1 par value</w:t>
            </w:r>
          </w:p>
        </w:tc>
        <w:tc>
          <w:tcPr>
            <w:tcW w:w="208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w w:val="91"/>
              </w:rPr>
              <w:t>New York Stock Exchange</w:t>
            </w:r>
          </w:p>
        </w:tc>
      </w:tr>
      <w:tr>
        <w:trPr>
          <w:trHeight w:val="216"/>
        </w:trPr>
        <w:tc>
          <w:tcPr>
            <w:tcW w:w="4940" w:type="dxa"/>
            <w:vAlign w:val="bottom"/>
          </w:tcPr>
          <w:p>
            <w:pPr>
              <w:jc w:val="center"/>
              <w:ind w:left="99"/>
              <w:spacing w:after="0"/>
              <w:rPr>
                <w:sz w:val="20"/>
                <w:szCs w:val="20"/>
                <w:color w:val="auto"/>
              </w:rPr>
            </w:pPr>
            <w:r>
              <w:rPr>
                <w:rFonts w:ascii="Arial" w:cs="Arial" w:eastAsia="Arial" w:hAnsi="Arial"/>
                <w:sz w:val="16"/>
                <w:szCs w:val="16"/>
                <w:color w:val="auto"/>
                <w:w w:val="90"/>
              </w:rPr>
              <w:t>Preferred Stock Purchase Rights</w:t>
            </w:r>
          </w:p>
        </w:tc>
        <w:tc>
          <w:tcPr>
            <w:tcW w:w="2080" w:type="dxa"/>
            <w:vAlign w:val="bottom"/>
          </w:tcPr>
          <w:p>
            <w:pPr>
              <w:jc w:val="center"/>
              <w:spacing w:after="0"/>
              <w:rPr>
                <w:sz w:val="20"/>
                <w:szCs w:val="20"/>
                <w:color w:val="auto"/>
              </w:rPr>
            </w:pPr>
            <w:r>
              <w:rPr>
                <w:rFonts w:ascii="Arial" w:cs="Arial" w:eastAsia="Arial" w:hAnsi="Arial"/>
                <w:sz w:val="16"/>
                <w:szCs w:val="16"/>
                <w:color w:val="auto"/>
              </w:rPr>
              <w:t>N/A</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w w:val="91"/>
              </w:rPr>
              <w:t>New York Stock Exchange</w:t>
            </w:r>
          </w:p>
        </w:tc>
      </w:tr>
    </w:tbl>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Arial" w:cs="Arial" w:eastAsia="Arial" w:hAnsi="Arial"/>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highlight w:val="black"/>
                <w:w w:val="85"/>
              </w:rPr>
              <w:t>☐</w:t>
            </w:r>
          </w:p>
        </w:tc>
        <w:tc>
          <w:tcPr>
            <w:tcW w:w="0" w:type="dxa"/>
            <w:vAlign w:val="bottom"/>
          </w:tcPr>
          <w:p>
            <w:pPr>
              <w:spacing w:after="0"/>
              <w:rPr>
                <w:sz w:val="1"/>
                <w:szCs w:val="1"/>
                <w:color w:val="auto"/>
              </w:rPr>
            </w:pPr>
          </w:p>
        </w:tc>
      </w:tr>
      <w:tr>
        <w:trPr>
          <w:trHeight w:val="262"/>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Arial" w:cs="Arial" w:eastAsia="Arial" w:hAnsi="Arial"/>
                <w:sz w:val="18"/>
                <w:szCs w:val="18"/>
                <w:b w:val="1"/>
                <w:bCs w:val="1"/>
                <w:color w:val="auto"/>
                <w:w w:val="85"/>
              </w:rPr>
              <w:t xml:space="preserve">No </w:t>
            </w:r>
            <w:r>
              <w:rPr>
                <w:rFonts w:ascii="MS PGothic" w:cs="MS PGothic" w:eastAsia="MS PGothic" w:hAnsi="MS PGothic"/>
                <w:sz w:val="18"/>
                <w:szCs w:val="18"/>
                <w:color w:val="auto"/>
                <w:highlight w:val="black"/>
                <w:w w:val="85"/>
              </w:rPr>
              <w:t>☒</w:t>
            </w:r>
          </w:p>
        </w:tc>
        <w:tc>
          <w:tcPr>
            <w:tcW w:w="0" w:type="dxa"/>
            <w:vAlign w:val="bottom"/>
          </w:tcPr>
          <w:p>
            <w:pPr>
              <w:spacing w:after="0"/>
              <w:rPr>
                <w:sz w:val="1"/>
                <w:szCs w:val="1"/>
                <w:color w:val="auto"/>
              </w:rPr>
            </w:pPr>
          </w:p>
        </w:tc>
      </w:tr>
      <w:tr>
        <w:trPr>
          <w:trHeight w:val="283"/>
        </w:trPr>
        <w:tc>
          <w:tcPr>
            <w:tcW w:w="6740" w:type="dxa"/>
            <w:vAlign w:val="bottom"/>
          </w:tcPr>
          <w:p>
            <w:pPr>
              <w:ind w:left="60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line="207" w:lineRule="exact"/>
        <w:tabs>
          <w:tab w:leader="none" w:pos="8880" w:val="left"/>
          <w:tab w:leader="none" w:pos="9580" w:val="left"/>
        </w:tabs>
        <w:rPr>
          <w:sz w:val="20"/>
          <w:szCs w:val="20"/>
          <w:color w:val="auto"/>
        </w:rPr>
      </w:pPr>
      <w:r>
        <w:rPr>
          <w:rFonts w:ascii="Arial" w:cs="Arial" w:eastAsia="Arial" w:hAnsi="Arial"/>
          <w:sz w:val="17"/>
          <w:szCs w:val="17"/>
          <w:color w:val="auto"/>
        </w:rPr>
        <w:t>Indicate by check mark if each registrant is not required to file reports pursuant to Section 13 or Section 15(d) of the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9"/>
              </w:rPr>
              <w:t>Southwest Gas Holdings, Inc.:</w:t>
            </w:r>
          </w:p>
        </w:tc>
        <w:tc>
          <w:tcPr>
            <w:tcW w:w="30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0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Southwest Gas Corporation:</w:t>
            </w:r>
          </w:p>
        </w:tc>
        <w:tc>
          <w:tcPr>
            <w:tcW w:w="3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0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7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 market value of the voting and non-voting common stock held by nonaffiliates of the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$3,911,021,151 as of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shares outstanding of Southwest Gas Holdings, Inc.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$1 Par Value, 60,452,351 shares as of February 15,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February 15,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SOUTHWEST GAS CORPORATION MEETS THE CONDITIONS SET FORTH IN GENERAL INSTRUCTION (I)(1)(a) and (b) OF FORM 10-K AND IS THEREFORE FILING THIS REPORT WITH THE REDUCED DISCLOSURE FORMAT AS PERMITTED BY GENERAL INSTRUCTION I(2).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jc w:val="center"/>
              <w:ind w:right="255"/>
              <w:spacing w:after="0"/>
              <w:rPr>
                <w:sz w:val="20"/>
                <w:szCs w:val="20"/>
                <w:color w:val="auto"/>
              </w:rPr>
            </w:pPr>
            <w:r>
              <w:rPr>
                <w:rFonts w:ascii="Arial" w:cs="Arial" w:eastAsia="Arial" w:hAnsi="Arial"/>
                <w:sz w:val="14"/>
                <w:szCs w:val="14"/>
                <w:b w:val="1"/>
                <w:bCs w:val="1"/>
                <w:color w:val="auto"/>
                <w:w w:val="93"/>
              </w:rPr>
              <w:t>Description</w:t>
            </w:r>
          </w:p>
        </w:tc>
        <w:tc>
          <w:tcPr>
            <w:tcW w:w="5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Part Into Which Incorporated</w:t>
            </w:r>
          </w:p>
        </w:tc>
        <w:tc>
          <w:tcPr>
            <w:tcW w:w="0" w:type="dxa"/>
            <w:vAlign w:val="bottom"/>
          </w:tcPr>
          <w:p>
            <w:pPr>
              <w:spacing w:after="0"/>
              <w:rPr>
                <w:sz w:val="1"/>
                <w:szCs w:val="1"/>
                <w:color w:val="auto"/>
              </w:rPr>
            </w:pPr>
          </w:p>
        </w:tc>
      </w:tr>
      <w:tr>
        <w:trPr>
          <w:trHeight w:val="243"/>
        </w:trPr>
        <w:tc>
          <w:tcPr>
            <w:tcW w:w="5900" w:type="dxa"/>
            <w:vAlign w:val="bottom"/>
          </w:tcPr>
          <w:p>
            <w:pPr>
              <w:jc w:val="center"/>
              <w:ind w:right="295"/>
              <w:spacing w:after="0"/>
              <w:rPr>
                <w:sz w:val="20"/>
                <w:szCs w:val="20"/>
                <w:color w:val="auto"/>
              </w:rPr>
            </w:pPr>
            <w:r>
              <w:rPr>
                <w:rFonts w:ascii="Arial" w:cs="Arial" w:eastAsia="Arial" w:hAnsi="Arial"/>
                <w:sz w:val="18"/>
                <w:szCs w:val="18"/>
                <w:color w:val="auto"/>
                <w:w w:val="90"/>
              </w:rPr>
              <w:t>Annual Report to Stockholders for the Year Ended</w:t>
            </w: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Parts I, II, and IV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900" w:type="dxa"/>
            <w:vAlign w:val="bottom"/>
          </w:tcPr>
          <w:p>
            <w:pPr>
              <w:jc w:val="center"/>
              <w:ind w:right="255"/>
              <w:spacing w:after="0" w:line="176" w:lineRule="exact"/>
              <w:rPr>
                <w:sz w:val="20"/>
                <w:szCs w:val="20"/>
                <w:color w:val="auto"/>
              </w:rPr>
            </w:pPr>
            <w:r>
              <w:rPr>
                <w:rFonts w:ascii="Arial" w:cs="Arial" w:eastAsia="Arial" w:hAnsi="Arial"/>
                <w:sz w:val="18"/>
                <w:szCs w:val="18"/>
                <w:color w:val="auto"/>
                <w:w w:val="88"/>
              </w:rPr>
              <w:t>December 31, 2021</w:t>
            </w:r>
          </w:p>
        </w:tc>
        <w:tc>
          <w:tcPr>
            <w:tcW w:w="53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7"/>
              </w:rPr>
              <w:t>Part III</w:t>
            </w:r>
          </w:p>
        </w:tc>
        <w:tc>
          <w:tcPr>
            <w:tcW w:w="0" w:type="dxa"/>
            <w:vAlign w:val="bottom"/>
          </w:tcPr>
          <w:p>
            <w:pPr>
              <w:spacing w:after="0"/>
              <w:rPr>
                <w:sz w:val="1"/>
                <w:szCs w:val="1"/>
                <w:color w:val="auto"/>
              </w:rPr>
            </w:pPr>
          </w:p>
        </w:tc>
      </w:tr>
      <w:tr>
        <w:trPr>
          <w:trHeight w:val="230"/>
        </w:trPr>
        <w:tc>
          <w:tcPr>
            <w:tcW w:w="5900" w:type="dxa"/>
            <w:vAlign w:val="bottom"/>
          </w:tcPr>
          <w:p>
            <w:pPr>
              <w:jc w:val="center"/>
              <w:ind w:right="255"/>
              <w:spacing w:after="0"/>
              <w:rPr>
                <w:sz w:val="20"/>
                <w:szCs w:val="20"/>
                <w:color w:val="auto"/>
              </w:rPr>
            </w:pPr>
            <w:r>
              <w:rPr>
                <w:rFonts w:ascii="Arial" w:cs="Arial" w:eastAsia="Arial" w:hAnsi="Arial"/>
                <w:sz w:val="18"/>
                <w:szCs w:val="18"/>
                <w:color w:val="auto"/>
                <w:w w:val="89"/>
              </w:rPr>
              <w:t>2022 Proxy Statement</w:t>
            </w:r>
          </w:p>
        </w:tc>
        <w:tc>
          <w:tcPr>
            <w:tcW w:w="5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78"/>
        </w:trPr>
        <w:tc>
          <w:tcPr>
            <w:tcW w:w="59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40" w:type="dxa"/>
            <w:vAlign w:val="bottom"/>
            <w:gridSpan w:val="1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80" w:type="dxa"/>
            <w:vAlign w:val="bottom"/>
            <w:gridSpan w:val="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FILING FORMAT</w:t>
              </w:r>
            </w:hyperlink>
          </w:p>
        </w:tc>
        <w:tc>
          <w:tcPr>
            <w:tcW w:w="9540" w:type="dxa"/>
            <w:vAlign w:val="bottom"/>
            <w:gridSpan w:val="36"/>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76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2"/>
                <w:szCs w:val="22"/>
                <w:color w:val="auto"/>
              </w:rPr>
            </w:pPr>
          </w:p>
        </w:tc>
        <w:tc>
          <w:tcPr>
            <w:tcW w:w="9660" w:type="dxa"/>
            <w:vAlign w:val="bottom"/>
            <w:gridSpan w:val="37"/>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BUSINESS</w:t>
              </w:r>
            </w:hyperlink>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36"/>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 xml:space="preserve">NATURAL GAS </w:t>
              </w:r>
            </w:hyperlink>
            <w:r>
              <w:rPr>
                <w:rFonts w:ascii="Arial" w:cs="Arial" w:eastAsia="Arial" w:hAnsi="Arial"/>
                <w:sz w:val="18"/>
                <w:szCs w:val="18"/>
                <w:color w:val="3051F2"/>
              </w:rPr>
              <w:t>DISTRIBUTION</w:t>
            </w: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820" w:type="dxa"/>
            <w:vAlign w:val="bottom"/>
            <w:gridSpan w:val="2"/>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7"/>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General Description</w:t>
              </w:r>
            </w:hyperlink>
          </w:p>
        </w:tc>
        <w:tc>
          <w:tcPr>
            <w:tcW w:w="880" w:type="dxa"/>
            <w:vAlign w:val="bottom"/>
            <w:gridSpan w:val="9"/>
          </w:tcPr>
          <w:p>
            <w:pPr>
              <w:spacing w:after="0"/>
              <w:rPr>
                <w:sz w:val="18"/>
                <w:szCs w:val="18"/>
                <w:color w:val="auto"/>
              </w:rPr>
            </w:pPr>
          </w:p>
        </w:tc>
        <w:tc>
          <w:tcPr>
            <w:tcW w:w="7000" w:type="dxa"/>
            <w:vAlign w:val="bottom"/>
            <w:gridSpan w:val="18"/>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8"/>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Rates and Regulation</w:t>
              </w:r>
            </w:hyperlink>
          </w:p>
        </w:tc>
        <w:tc>
          <w:tcPr>
            <w:tcW w:w="7800" w:type="dxa"/>
            <w:vAlign w:val="bottom"/>
            <w:gridSpan w:val="26"/>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Competition</w:t>
              </w:r>
            </w:hyperlink>
          </w:p>
        </w:tc>
        <w:tc>
          <w:tcPr>
            <w:tcW w:w="640" w:type="dxa"/>
            <w:vAlign w:val="bottom"/>
            <w:gridSpan w:val="5"/>
          </w:tcPr>
          <w:p>
            <w:pPr>
              <w:spacing w:after="0"/>
              <w:rPr>
                <w:sz w:val="18"/>
                <w:szCs w:val="18"/>
                <w:color w:val="auto"/>
              </w:rPr>
            </w:pPr>
          </w:p>
        </w:tc>
        <w:tc>
          <w:tcPr>
            <w:tcW w:w="7800" w:type="dxa"/>
            <w:vAlign w:val="bottom"/>
            <w:gridSpan w:val="26"/>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9">
              <w:r>
                <w:rPr>
                  <w:rFonts w:ascii="Arial" w:cs="Arial" w:eastAsia="Arial" w:hAnsi="Arial"/>
                  <w:sz w:val="18"/>
                  <w:szCs w:val="18"/>
                  <w:b w:val="1"/>
                  <w:bCs w:val="1"/>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40" w:type="dxa"/>
            <w:vAlign w:val="bottom"/>
            <w:gridSpan w:val="3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Environmental Matters</w:t>
              </w:r>
            </w:hyperlink>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9">
              <w:r>
                <w:rPr>
                  <w:rFonts w:ascii="Arial" w:cs="Arial" w:eastAsia="Arial" w:hAnsi="Arial"/>
                  <w:sz w:val="18"/>
                  <w:szCs w:val="18"/>
                  <w:b w:val="1"/>
                  <w:bCs w:val="1"/>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3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UTILITY INFRASTRUCTURE SERVICES</w:t>
              </w:r>
            </w:hyperlink>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10">
              <w:r>
                <w:rPr>
                  <w:rFonts w:ascii="Arial" w:cs="Arial" w:eastAsia="Arial" w:hAnsi="Arial"/>
                  <w:sz w:val="18"/>
                  <w:szCs w:val="18"/>
                  <w:b w:val="1"/>
                  <w:bCs w:val="1"/>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2"/>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PIPELINE AND STORAGE</w:t>
              </w:r>
            </w:hyperlink>
          </w:p>
        </w:tc>
        <w:tc>
          <w:tcPr>
            <w:tcW w:w="6320" w:type="dxa"/>
            <w:vAlign w:val="bottom"/>
            <w:gridSpan w:val="14"/>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11">
              <w:r>
                <w:rPr>
                  <w:rFonts w:ascii="Arial" w:cs="Arial" w:eastAsia="Arial" w:hAnsi="Arial"/>
                  <w:sz w:val="18"/>
                  <w:szCs w:val="18"/>
                  <w:b w:val="1"/>
                  <w:bCs w:val="1"/>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14"/>
          </w:tcPr>
          <w:p>
            <w:pPr>
              <w:spacing w:after="0"/>
              <w:rPr>
                <w:sz w:val="20"/>
                <w:szCs w:val="20"/>
                <w:color w:val="auto"/>
              </w:rPr>
            </w:pPr>
            <w:r>
              <w:rPr>
                <w:rFonts w:ascii="Arial" w:cs="Arial" w:eastAsia="Arial" w:hAnsi="Arial"/>
                <w:sz w:val="18"/>
                <w:szCs w:val="18"/>
                <w:color w:val="0E32E1"/>
              </w:rPr>
              <w:t>HUMAN CAPITAL</w:t>
            </w:r>
          </w:p>
        </w:tc>
        <w:tc>
          <w:tcPr>
            <w:tcW w:w="7460" w:type="dxa"/>
            <w:vAlign w:val="bottom"/>
            <w:gridSpan w:val="2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b w:val="1"/>
                <w:bCs w:val="1"/>
                <w:color w:val="0000FF"/>
              </w:rPr>
            </w:pPr>
            <w:hyperlink w:anchor="page12">
              <w:r>
                <w:rPr>
                  <w:rFonts w:ascii="Arial" w:cs="Arial" w:eastAsia="Arial" w:hAnsi="Arial"/>
                  <w:sz w:val="18"/>
                  <w:szCs w:val="18"/>
                  <w:b w:val="1"/>
                  <w:bCs w:val="1"/>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80" w:type="dxa"/>
            <w:vAlign w:val="bottom"/>
            <w:gridSpan w:val="3"/>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660" w:type="dxa"/>
            <w:vAlign w:val="bottom"/>
            <w:gridSpan w:val="37"/>
          </w:tcPr>
          <w:p>
            <w:pPr>
              <w:spacing w:after="0"/>
              <w:rPr>
                <w:rFonts w:ascii="Arial" w:cs="Arial" w:eastAsia="Arial" w:hAnsi="Arial"/>
                <w:sz w:val="18"/>
                <w:szCs w:val="18"/>
                <w:b w:val="1"/>
                <w:bCs w:val="1"/>
                <w:color w:val="0000FF"/>
              </w:rPr>
            </w:pPr>
            <w:hyperlink w:anchor="page13">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3">
              <w:r>
                <w:rPr>
                  <w:rFonts w:ascii="Arial" w:cs="Arial" w:eastAsia="Arial" w:hAnsi="Arial"/>
                  <w:sz w:val="18"/>
                  <w:szCs w:val="18"/>
                  <w:b w:val="1"/>
                  <w:bCs w:val="1"/>
                  <w:color w:val="0000FF"/>
                  <w:w w:val="79"/>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960" w:type="dxa"/>
            <w:vAlign w:val="bottom"/>
            <w:tcBorders>
              <w:bottom w:val="single" w:sz="8" w:color="0000FF"/>
            </w:tcBorders>
            <w:gridSpan w:val="21"/>
          </w:tcPr>
          <w:p>
            <w:pPr>
              <w:spacing w:after="0"/>
              <w:rPr>
                <w:rFonts w:ascii="Arial" w:cs="Arial" w:eastAsia="Arial" w:hAnsi="Arial"/>
                <w:sz w:val="18"/>
                <w:szCs w:val="18"/>
                <w:b w:val="1"/>
                <w:bCs w:val="1"/>
                <w:color w:val="0000FF"/>
                <w:w w:val="98"/>
              </w:rPr>
            </w:pPr>
            <w:hyperlink w:anchor="page20">
              <w:r>
                <w:rPr>
                  <w:rFonts w:ascii="Arial" w:cs="Arial" w:eastAsia="Arial" w:hAnsi="Arial"/>
                  <w:sz w:val="18"/>
                  <w:szCs w:val="18"/>
                  <w:b w:val="1"/>
                  <w:bCs w:val="1"/>
                  <w:color w:val="0000FF"/>
                  <w:w w:val="98"/>
                </w:rPr>
                <w:t>UNRESOLVED STAFF COMMENTS</w:t>
              </w:r>
            </w:hyperlink>
          </w:p>
        </w:tc>
        <w:tc>
          <w:tcPr>
            <w:tcW w:w="670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0">
              <w:r>
                <w:rPr>
                  <w:rFonts w:ascii="Arial" w:cs="Arial" w:eastAsia="Arial" w:hAnsi="Arial"/>
                  <w:sz w:val="18"/>
                  <w:szCs w:val="18"/>
                  <w:b w:val="1"/>
                  <w:bCs w:val="1"/>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1140" w:type="dxa"/>
            <w:vAlign w:val="bottom"/>
            <w:tcBorders>
              <w:bottom w:val="single" w:sz="8" w:color="0000FF"/>
            </w:tcBorders>
            <w:gridSpan w:val="5"/>
          </w:tcPr>
          <w:p>
            <w:pPr>
              <w:spacing w:after="0"/>
              <w:rPr>
                <w:rFonts w:ascii="Arial" w:cs="Arial" w:eastAsia="Arial" w:hAnsi="Arial"/>
                <w:sz w:val="18"/>
                <w:szCs w:val="18"/>
                <w:b w:val="1"/>
                <w:bCs w:val="1"/>
                <w:color w:val="0000FF"/>
                <w:w w:val="96"/>
              </w:rPr>
            </w:pPr>
            <w:hyperlink w:anchor="page20">
              <w:r>
                <w:rPr>
                  <w:rFonts w:ascii="Arial" w:cs="Arial" w:eastAsia="Arial" w:hAnsi="Arial"/>
                  <w:sz w:val="18"/>
                  <w:szCs w:val="18"/>
                  <w:b w:val="1"/>
                  <w:bCs w:val="1"/>
                  <w:color w:val="0000FF"/>
                  <w:w w:val="96"/>
                </w:rPr>
                <w:t>PROPERTIES</w:t>
              </w:r>
            </w:hyperlink>
          </w:p>
        </w:tc>
        <w:tc>
          <w:tcPr>
            <w:tcW w:w="8520" w:type="dxa"/>
            <w:vAlign w:val="bottom"/>
            <w:gridSpan w:val="3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0">
              <w:r>
                <w:rPr>
                  <w:rFonts w:ascii="Arial" w:cs="Arial" w:eastAsia="Arial" w:hAnsi="Arial"/>
                  <w:sz w:val="18"/>
                  <w:szCs w:val="18"/>
                  <w:b w:val="1"/>
                  <w:bCs w:val="1"/>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2000" w:type="dxa"/>
            <w:vAlign w:val="bottom"/>
            <w:tcBorders>
              <w:bottom w:val="single" w:sz="8" w:color="0000FF"/>
            </w:tcBorders>
            <w:gridSpan w:val="13"/>
          </w:tcPr>
          <w:p>
            <w:pPr>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LEGAL PROCEEDINGS</w:t>
              </w:r>
            </w:hyperlink>
          </w:p>
        </w:tc>
        <w:tc>
          <w:tcPr>
            <w:tcW w:w="7660" w:type="dxa"/>
            <w:vAlign w:val="bottom"/>
            <w:gridSpan w:val="24"/>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1">
              <w:r>
                <w:rPr>
                  <w:rFonts w:ascii="Arial" w:cs="Arial" w:eastAsia="Arial" w:hAnsi="Arial"/>
                  <w:sz w:val="18"/>
                  <w:szCs w:val="18"/>
                  <w:b w:val="1"/>
                  <w:bCs w:val="1"/>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2560" w:type="dxa"/>
            <w:vAlign w:val="bottom"/>
            <w:tcBorders>
              <w:bottom w:val="single" w:sz="8" w:color="0000FF"/>
            </w:tcBorders>
            <w:gridSpan w:val="17"/>
          </w:tcPr>
          <w:p>
            <w:pPr>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MINE SAFETY DISCLOSURES</w:t>
              </w:r>
            </w:hyperlink>
          </w:p>
        </w:tc>
        <w:tc>
          <w:tcPr>
            <w:tcW w:w="7100" w:type="dxa"/>
            <w:vAlign w:val="bottom"/>
            <w:gridSpan w:val="20"/>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1">
              <w:r>
                <w:rPr>
                  <w:rFonts w:ascii="Arial" w:cs="Arial" w:eastAsia="Arial" w:hAnsi="Arial"/>
                  <w:sz w:val="18"/>
                  <w:szCs w:val="18"/>
                  <w:b w:val="1"/>
                  <w:bCs w:val="1"/>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4A.</w:t>
            </w:r>
          </w:p>
        </w:tc>
        <w:tc>
          <w:tcPr>
            <w:tcW w:w="9660" w:type="dxa"/>
            <w:vAlign w:val="bottom"/>
            <w:gridSpan w:val="37"/>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EXECUTIVE OFFICERS OF THE REGISTRANT</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1">
              <w:r>
                <w:rPr>
                  <w:rFonts w:ascii="Arial" w:cs="Arial" w:eastAsia="Arial" w:hAnsi="Arial"/>
                  <w:sz w:val="18"/>
                  <w:szCs w:val="18"/>
                  <w:b w:val="1"/>
                  <w:bCs w:val="1"/>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gridSpan w:val="6"/>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21">
              <w:r>
                <w:rPr>
                  <w:rFonts w:ascii="Arial" w:cs="Arial" w:eastAsia="Arial" w:hAnsi="Arial"/>
                  <w:sz w:val="18"/>
                  <w:szCs w:val="18"/>
                  <w:b w:val="1"/>
                  <w:bCs w:val="1"/>
                  <w:color w:val="0000FF"/>
                  <w:w w:val="79"/>
                </w:rPr>
                <w:t>19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00" w:type="dxa"/>
            <w:vAlign w:val="bottom"/>
            <w:gridSpan w:val="4"/>
          </w:tcPr>
          <w:p>
            <w:pPr>
              <w:spacing w:after="0"/>
              <w:rPr>
                <w:sz w:val="18"/>
                <w:szCs w:val="18"/>
                <w:color w:val="auto"/>
              </w:rPr>
            </w:pPr>
          </w:p>
        </w:tc>
        <w:tc>
          <w:tcPr>
            <w:tcW w:w="9660" w:type="dxa"/>
            <w:vAlign w:val="bottom"/>
            <w:gridSpan w:val="37"/>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MARKET FOR REGISTRANT’S COMMON EQUITY, RELATED STOCKHOLDER MATTERS</w:t>
              </w:r>
            </w:hyperlink>
          </w:p>
        </w:tc>
        <w:tc>
          <w:tcPr>
            <w:tcW w:w="180" w:type="dxa"/>
            <w:vAlign w:val="bottom"/>
            <w:tcBorders>
              <w:top w:val="single" w:sz="8" w:color="0000FF"/>
            </w:tcBorders>
            <w:gridSpan w:val="2"/>
            <w:vMerge w:val="restart"/>
          </w:tcPr>
          <w:p>
            <w:pPr>
              <w:jc w:val="right"/>
              <w:spacing w:after="0"/>
              <w:rPr>
                <w:rFonts w:ascii="Arial" w:cs="Arial" w:eastAsia="Arial" w:hAnsi="Arial"/>
                <w:sz w:val="18"/>
                <w:szCs w:val="18"/>
                <w:b w:val="1"/>
                <w:bCs w:val="1"/>
                <w:color w:val="0000FF"/>
                <w:w w:val="79"/>
              </w:rPr>
            </w:pPr>
            <w:hyperlink w:anchor="page22">
              <w:r>
                <w:rPr>
                  <w:rFonts w:ascii="Arial" w:cs="Arial" w:eastAsia="Arial" w:hAnsi="Arial"/>
                  <w:sz w:val="18"/>
                  <w:szCs w:val="18"/>
                  <w:b w:val="1"/>
                  <w:bCs w:val="1"/>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0" w:type="dxa"/>
            <w:vAlign w:val="bottom"/>
            <w:tcBorders>
              <w:top w:val="single" w:sz="8" w:color="0000FF"/>
            </w:tcBorders>
            <w:gridSpan w:val="35"/>
          </w:tcPr>
          <w:p>
            <w:pPr>
              <w:spacing w:after="0" w:line="156"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AND ISSUER PURCHASES OF EQUITY SECURITIES</w:t>
              </w:r>
            </w:hyperlink>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Borders>
              <w:top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4400" w:type="dxa"/>
            <w:vAlign w:val="bottom"/>
            <w:tcBorders>
              <w:top w:val="single" w:sz="8" w:color="0000FF"/>
            </w:tcBorders>
            <w:gridSpan w:val="27"/>
          </w:tcPr>
          <w:p>
            <w:pPr>
              <w:spacing w:after="0"/>
              <w:rPr>
                <w:sz w:val="20"/>
                <w:szCs w:val="20"/>
                <w:color w:val="auto"/>
              </w:rPr>
            </w:pPr>
            <w:r>
              <w:rPr>
                <w:rFonts w:ascii="Arial" w:cs="Arial" w:eastAsia="Arial" w:hAnsi="Arial"/>
                <w:sz w:val="18"/>
                <w:szCs w:val="18"/>
                <w:b w:val="1"/>
                <w:bCs w:val="1"/>
                <w:color w:val="auto"/>
              </w:rPr>
              <w:t>[RESERVED]</w:t>
            </w:r>
          </w:p>
        </w:tc>
        <w:tc>
          <w:tcPr>
            <w:tcW w:w="5260" w:type="dxa"/>
            <w:vAlign w:val="bottom"/>
            <w:gridSpan w:val="10"/>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22">
              <w:r>
                <w:rPr>
                  <w:rFonts w:ascii="Arial" w:cs="Arial" w:eastAsia="Arial" w:hAnsi="Arial"/>
                  <w:sz w:val="18"/>
                  <w:szCs w:val="18"/>
                  <w:b w:val="1"/>
                  <w:bCs w:val="1"/>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9660" w:type="dxa"/>
            <w:vAlign w:val="bottom"/>
            <w:gridSpan w:val="37"/>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MANAGEMENT’S DISCUSSION AND ANALYSIS OF FINANCIAL CONDITION AND RESULTS</w:t>
              </w:r>
            </w:hyperlink>
          </w:p>
        </w:tc>
        <w:tc>
          <w:tcPr>
            <w:tcW w:w="180" w:type="dxa"/>
            <w:vAlign w:val="bottom"/>
            <w:gridSpan w:val="2"/>
            <w:vMerge w:val="restart"/>
          </w:tcPr>
          <w:p>
            <w:pPr>
              <w:jc w:val="right"/>
              <w:spacing w:after="0"/>
              <w:rPr>
                <w:rFonts w:ascii="Arial" w:cs="Arial" w:eastAsia="Arial" w:hAnsi="Arial"/>
                <w:sz w:val="18"/>
                <w:szCs w:val="18"/>
                <w:b w:val="1"/>
                <w:bCs w:val="1"/>
                <w:color w:val="0000FF"/>
                <w:w w:val="79"/>
              </w:rPr>
            </w:pPr>
            <w:hyperlink w:anchor="page22">
              <w:r>
                <w:rPr>
                  <w:rFonts w:ascii="Arial" w:cs="Arial" w:eastAsia="Arial" w:hAnsi="Arial"/>
                  <w:sz w:val="18"/>
                  <w:szCs w:val="18"/>
                  <w:b w:val="1"/>
                  <w:bCs w:val="1"/>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780" w:type="dxa"/>
            <w:vAlign w:val="bottom"/>
            <w:tcBorders>
              <w:top w:val="single" w:sz="8" w:color="0000FF"/>
            </w:tcBorders>
            <w:gridSpan w:val="36"/>
          </w:tcPr>
          <w:p>
            <w:pPr>
              <w:spacing w:after="0" w:line="156"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OF OPERATIONS</w:t>
              </w:r>
            </w:hyperlink>
          </w:p>
        </w:tc>
        <w:tc>
          <w:tcPr>
            <w:tcW w:w="18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6460" w:type="dxa"/>
            <w:vAlign w:val="bottom"/>
            <w:tcBorders>
              <w:bottom w:val="single" w:sz="8" w:color="0000FF"/>
            </w:tcBorders>
            <w:gridSpan w:val="30"/>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QUANTITATIVE AND QUALITATIVE DISCLOSURES ABOUT MARKET RISK</w:t>
              </w:r>
            </w:hyperlink>
          </w:p>
        </w:tc>
        <w:tc>
          <w:tcPr>
            <w:tcW w:w="320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2">
              <w:r>
                <w:rPr>
                  <w:rFonts w:ascii="Arial" w:cs="Arial" w:eastAsia="Arial" w:hAnsi="Arial"/>
                  <w:sz w:val="18"/>
                  <w:szCs w:val="18"/>
                  <w:b w:val="1"/>
                  <w:bCs w:val="1"/>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4880" w:type="dxa"/>
            <w:vAlign w:val="bottom"/>
            <w:tcBorders>
              <w:bottom w:val="single" w:sz="8" w:color="0000FF"/>
            </w:tcBorders>
            <w:gridSpan w:val="28"/>
          </w:tcPr>
          <w:p>
            <w:pPr>
              <w:spacing w:after="0"/>
              <w:rPr>
                <w:rFonts w:ascii="Arial" w:cs="Arial" w:eastAsia="Arial" w:hAnsi="Arial"/>
                <w:sz w:val="18"/>
                <w:szCs w:val="18"/>
                <w:b w:val="1"/>
                <w:bCs w:val="1"/>
                <w:color w:val="0000FF"/>
                <w:w w:val="99"/>
              </w:rPr>
            </w:pPr>
            <w:hyperlink w:anchor="page23">
              <w:r>
                <w:rPr>
                  <w:rFonts w:ascii="Arial" w:cs="Arial" w:eastAsia="Arial" w:hAnsi="Arial"/>
                  <w:sz w:val="18"/>
                  <w:szCs w:val="18"/>
                  <w:b w:val="1"/>
                  <w:bCs w:val="1"/>
                  <w:color w:val="0000FF"/>
                  <w:w w:val="99"/>
                </w:rPr>
                <w:t>FINANCIAL STATEMENTS AND SUPPLEMENTARY DATA</w:t>
              </w:r>
            </w:hyperlink>
          </w:p>
        </w:tc>
        <w:tc>
          <w:tcPr>
            <w:tcW w:w="4780" w:type="dxa"/>
            <w:vAlign w:val="bottom"/>
            <w:gridSpan w:val="9"/>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3">
              <w:r>
                <w:rPr>
                  <w:rFonts w:ascii="Arial" w:cs="Arial" w:eastAsia="Arial" w:hAnsi="Arial"/>
                  <w:sz w:val="18"/>
                  <w:szCs w:val="18"/>
                  <w:b w:val="1"/>
                  <w:bCs w:val="1"/>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9660" w:type="dxa"/>
            <w:vAlign w:val="bottom"/>
            <w:gridSpan w:val="37"/>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CHANGES IN AND DISAGREEMENTS WITH ACCOUNTANTS ON ACCOUNTING AND</w:t>
              </w:r>
            </w:hyperlink>
          </w:p>
        </w:tc>
        <w:tc>
          <w:tcPr>
            <w:tcW w:w="180" w:type="dxa"/>
            <w:vAlign w:val="bottom"/>
            <w:gridSpan w:val="2"/>
            <w:vMerge w:val="restart"/>
          </w:tcPr>
          <w:p>
            <w:pPr>
              <w:jc w:val="right"/>
              <w:spacing w:after="0"/>
              <w:rPr>
                <w:rFonts w:ascii="Arial" w:cs="Arial" w:eastAsia="Arial" w:hAnsi="Arial"/>
                <w:sz w:val="18"/>
                <w:szCs w:val="18"/>
                <w:b w:val="1"/>
                <w:bCs w:val="1"/>
                <w:color w:val="0000FF"/>
                <w:w w:val="79"/>
              </w:rPr>
            </w:pPr>
            <w:hyperlink w:anchor="page23">
              <w:r>
                <w:rPr>
                  <w:rFonts w:ascii="Arial" w:cs="Arial" w:eastAsia="Arial" w:hAnsi="Arial"/>
                  <w:sz w:val="18"/>
                  <w:szCs w:val="18"/>
                  <w:b w:val="1"/>
                  <w:bCs w:val="1"/>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FINANCIAL DISCLOSURE</w:t>
              </w:r>
            </w:hyperlink>
          </w:p>
        </w:tc>
        <w:tc>
          <w:tcPr>
            <w:tcW w:w="4980" w:type="dxa"/>
            <w:vAlign w:val="bottom"/>
            <w:tcBorders>
              <w:top w:val="single" w:sz="8" w:color="0000FF"/>
            </w:tcBorders>
            <w:gridSpan w:val="16"/>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3"/>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9660" w:type="dxa"/>
            <w:vAlign w:val="bottom"/>
            <w:gridSpan w:val="37"/>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CONTROLS AND PROCEDURES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3">
              <w:r>
                <w:rPr>
                  <w:rFonts w:ascii="Arial" w:cs="Arial" w:eastAsia="Arial" w:hAnsi="Arial"/>
                  <w:sz w:val="18"/>
                  <w:szCs w:val="18"/>
                  <w:b w:val="1"/>
                  <w:bCs w:val="1"/>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2020" w:type="dxa"/>
            <w:vAlign w:val="bottom"/>
            <w:tcBorders>
              <w:top w:val="single" w:sz="8" w:color="0000FF"/>
              <w:bottom w:val="single" w:sz="8" w:color="0000FF"/>
            </w:tcBorders>
            <w:gridSpan w:val="14"/>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OTHER INFORMATION</w:t>
              </w:r>
            </w:hyperlink>
          </w:p>
        </w:tc>
        <w:tc>
          <w:tcPr>
            <w:tcW w:w="700" w:type="dxa"/>
            <w:vAlign w:val="bottom"/>
            <w:tcBorders>
              <w:top w:val="single" w:sz="8" w:color="0000FF"/>
            </w:tcBorders>
            <w:gridSpan w:val="6"/>
          </w:tcPr>
          <w:p>
            <w:pPr>
              <w:spacing w:after="0"/>
              <w:rPr>
                <w:sz w:val="18"/>
                <w:szCs w:val="18"/>
                <w:color w:val="auto"/>
              </w:rPr>
            </w:pPr>
          </w:p>
        </w:tc>
        <w:tc>
          <w:tcPr>
            <w:tcW w:w="6940" w:type="dxa"/>
            <w:vAlign w:val="bottom"/>
            <w:gridSpan w:val="1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24">
              <w:r>
                <w:rPr>
                  <w:rFonts w:ascii="Arial" w:cs="Arial" w:eastAsia="Arial" w:hAnsi="Arial"/>
                  <w:sz w:val="18"/>
                  <w:szCs w:val="18"/>
                  <w:b w:val="1"/>
                  <w:bCs w:val="1"/>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9C.</w:t>
            </w:r>
          </w:p>
        </w:tc>
        <w:tc>
          <w:tcPr>
            <w:tcW w:w="9660" w:type="dxa"/>
            <w:vAlign w:val="bottom"/>
            <w:gridSpan w:val="37"/>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DISCLOSURE REGARDING FOREIGN JURISDICTIONS THAT PREVENT INSPECTIONS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4">
              <w:r>
                <w:rPr>
                  <w:rFonts w:ascii="Arial" w:cs="Arial" w:eastAsia="Arial" w:hAnsi="Arial"/>
                  <w:sz w:val="18"/>
                  <w:szCs w:val="18"/>
                  <w:b w:val="1"/>
                  <w:bCs w:val="1"/>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III</w:t>
              </w:r>
            </w:hyperlink>
          </w:p>
        </w:tc>
        <w:tc>
          <w:tcPr>
            <w:tcW w:w="620" w:type="dxa"/>
            <w:vAlign w:val="bottom"/>
            <w:gridSpan w:val="2"/>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12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24">
              <w:r>
                <w:rPr>
                  <w:rFonts w:ascii="Arial" w:cs="Arial" w:eastAsia="Arial" w:hAnsi="Arial"/>
                  <w:sz w:val="18"/>
                  <w:szCs w:val="18"/>
                  <w:b w:val="1"/>
                  <w:bCs w:val="1"/>
                  <w:color w:val="0000FF"/>
                  <w:w w:val="79"/>
                </w:rPr>
                <w:t>22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6140" w:type="dxa"/>
            <w:vAlign w:val="bottom"/>
            <w:tcBorders>
              <w:bottom w:val="single" w:sz="8" w:color="0000FF"/>
            </w:tcBorders>
            <w:gridSpan w:val="29"/>
          </w:tcPr>
          <w:p>
            <w:pPr>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DIRECTORS, EXECUTIVE OFFICERS AND CORPORATE GOVERNANCE</w:t>
              </w:r>
            </w:hyperlink>
          </w:p>
        </w:tc>
        <w:tc>
          <w:tcPr>
            <w:tcW w:w="352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5">
              <w:r>
                <w:rPr>
                  <w:rFonts w:ascii="Arial" w:cs="Arial" w:eastAsia="Arial" w:hAnsi="Arial"/>
                  <w:sz w:val="18"/>
                  <w:szCs w:val="18"/>
                  <w:b w:val="1"/>
                  <w:bCs w:val="1"/>
                  <w:color w:val="0000FF"/>
                  <w:w w:val="79"/>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9660" w:type="dxa"/>
            <w:vAlign w:val="bottom"/>
            <w:gridSpan w:val="3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EXECUTIVE COMPENSATION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6">
              <w:r>
                <w:rPr>
                  <w:rFonts w:ascii="Arial" w:cs="Arial" w:eastAsia="Arial" w:hAnsi="Arial"/>
                  <w:sz w:val="18"/>
                  <w:szCs w:val="18"/>
                  <w:b w:val="1"/>
                  <w:bCs w:val="1"/>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9660" w:type="dxa"/>
            <w:vAlign w:val="bottom"/>
            <w:gridSpan w:val="3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SECURITY OWNERSHIP OF CERTAIN BENEFICIAL OWNERS AND MANAGEMENT AND</w:t>
              </w:r>
            </w:hyperlink>
          </w:p>
        </w:tc>
        <w:tc>
          <w:tcPr>
            <w:tcW w:w="180" w:type="dxa"/>
            <w:vAlign w:val="bottom"/>
            <w:gridSpan w:val="2"/>
            <w:vMerge w:val="restart"/>
          </w:tcPr>
          <w:p>
            <w:pPr>
              <w:jc w:val="right"/>
              <w:spacing w:after="0"/>
              <w:rPr>
                <w:rFonts w:ascii="Arial" w:cs="Arial" w:eastAsia="Arial" w:hAnsi="Arial"/>
                <w:sz w:val="18"/>
                <w:szCs w:val="18"/>
                <w:b w:val="1"/>
                <w:bCs w:val="1"/>
                <w:color w:val="0000FF"/>
                <w:w w:val="79"/>
              </w:rPr>
            </w:pPr>
            <w:hyperlink w:anchor="page26">
              <w:r>
                <w:rPr>
                  <w:rFonts w:ascii="Arial" w:cs="Arial" w:eastAsia="Arial" w:hAnsi="Arial"/>
                  <w:sz w:val="18"/>
                  <w:szCs w:val="18"/>
                  <w:b w:val="1"/>
                  <w:bCs w:val="1"/>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520" w:type="dxa"/>
            <w:vAlign w:val="bottom"/>
            <w:tcBorders>
              <w:top w:val="single" w:sz="8" w:color="0000FF"/>
            </w:tcBorders>
            <w:gridSpan w:val="34"/>
          </w:tcPr>
          <w:p>
            <w:pPr>
              <w:spacing w:after="0" w:line="156" w:lineRule="exact"/>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RELATED STOCKHOLDER MATTERS</w:t>
              </w:r>
            </w:hyperlink>
          </w:p>
        </w:tc>
        <w:tc>
          <w:tcPr>
            <w:tcW w:w="2140" w:type="dxa"/>
            <w:vAlign w:val="bottom"/>
            <w:gridSpan w:val="3"/>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9660" w:type="dxa"/>
            <w:vAlign w:val="bottom"/>
            <w:gridSpan w:val="3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CERTAIN RELATIONSHIPS AND RELATED TRANSACTIONS, AND DIRECTOR</w:t>
              </w:r>
            </w:hyperlink>
          </w:p>
        </w:tc>
        <w:tc>
          <w:tcPr>
            <w:tcW w:w="180" w:type="dxa"/>
            <w:vAlign w:val="bottom"/>
            <w:gridSpan w:val="2"/>
            <w:vMerge w:val="restart"/>
          </w:tcPr>
          <w:p>
            <w:pPr>
              <w:jc w:val="right"/>
              <w:spacing w:after="0"/>
              <w:rPr>
                <w:rFonts w:ascii="Arial" w:cs="Arial" w:eastAsia="Arial" w:hAnsi="Arial"/>
                <w:sz w:val="18"/>
                <w:szCs w:val="18"/>
                <w:b w:val="1"/>
                <w:bCs w:val="1"/>
                <w:color w:val="0000FF"/>
                <w:w w:val="79"/>
              </w:rPr>
            </w:pPr>
            <w:hyperlink w:anchor="page26">
              <w:r>
                <w:rPr>
                  <w:rFonts w:ascii="Arial" w:cs="Arial" w:eastAsia="Arial" w:hAnsi="Arial"/>
                  <w:sz w:val="18"/>
                  <w:szCs w:val="18"/>
                  <w:b w:val="1"/>
                  <w:bCs w:val="1"/>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b w:val="1"/>
                <w:bCs w:val="1"/>
                <w:color w:val="0000FF"/>
                <w:w w:val="99"/>
              </w:rPr>
            </w:pPr>
            <w:hyperlink w:anchor="page26">
              <w:r>
                <w:rPr>
                  <w:rFonts w:ascii="Arial" w:cs="Arial" w:eastAsia="Arial" w:hAnsi="Arial"/>
                  <w:sz w:val="18"/>
                  <w:szCs w:val="18"/>
                  <w:b w:val="1"/>
                  <w:bCs w:val="1"/>
                  <w:color w:val="0000FF"/>
                  <w:w w:val="99"/>
                </w:rPr>
                <w:t>INDEPENDENCE</w:t>
              </w:r>
            </w:hyperlink>
          </w:p>
        </w:tc>
        <w:tc>
          <w:tcPr>
            <w:tcW w:w="5160" w:type="dxa"/>
            <w:vAlign w:val="bottom"/>
            <w:tcBorders>
              <w:top w:val="single" w:sz="8" w:color="0000FF"/>
            </w:tcBorders>
            <w:gridSpan w:val="23"/>
          </w:tcPr>
          <w:p>
            <w:pPr>
              <w:spacing w:after="0"/>
              <w:rPr>
                <w:sz w:val="13"/>
                <w:szCs w:val="13"/>
                <w:color w:val="auto"/>
              </w:rPr>
            </w:pPr>
          </w:p>
        </w:tc>
        <w:tc>
          <w:tcPr>
            <w:tcW w:w="3040" w:type="dxa"/>
            <w:vAlign w:val="bottom"/>
            <w:gridSpan w:val="6"/>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9660" w:type="dxa"/>
            <w:vAlign w:val="bottom"/>
            <w:gridSpan w:val="3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PRINCIPAL ACCOUNTING FEES AND SERVICES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6">
              <w:r>
                <w:rPr>
                  <w:rFonts w:ascii="Arial" w:cs="Arial" w:eastAsia="Arial" w:hAnsi="Arial"/>
                  <w:sz w:val="18"/>
                  <w:szCs w:val="18"/>
                  <w:b w:val="1"/>
                  <w:bCs w:val="1"/>
                  <w:color w:val="0000FF"/>
                  <w:w w:val="79"/>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6"/>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IV</w:t>
              </w:r>
            </w:hyperlink>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27">
              <w:r>
                <w:rPr>
                  <w:rFonts w:ascii="Arial" w:cs="Arial" w:eastAsia="Arial" w:hAnsi="Arial"/>
                  <w:sz w:val="18"/>
                  <w:szCs w:val="18"/>
                  <w:b w:val="1"/>
                  <w:bCs w:val="1"/>
                  <w:color w:val="0000FF"/>
                  <w:w w:val="79"/>
                </w:rPr>
                <w:t>24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40" w:type="dxa"/>
            <w:vAlign w:val="bottom"/>
            <w:gridSpan w:val="3"/>
          </w:tcPr>
          <w:p>
            <w:pPr>
              <w:spacing w:after="0"/>
              <w:rPr>
                <w:sz w:val="18"/>
                <w:szCs w:val="18"/>
                <w:color w:val="auto"/>
              </w:rPr>
            </w:pPr>
          </w:p>
        </w:tc>
        <w:tc>
          <w:tcPr>
            <w:tcW w:w="4260" w:type="dxa"/>
            <w:vAlign w:val="bottom"/>
            <w:tcBorders>
              <w:bottom w:val="single" w:sz="8" w:color="0000FF"/>
            </w:tcBorders>
            <w:gridSpan w:val="26"/>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EXHIBITS, FINANCIAL STATEMENT SCHEDULES</w:t>
              </w:r>
            </w:hyperlink>
          </w:p>
        </w:tc>
        <w:tc>
          <w:tcPr>
            <w:tcW w:w="54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27">
              <w:r>
                <w:rPr>
                  <w:rFonts w:ascii="Arial" w:cs="Arial" w:eastAsia="Arial" w:hAnsi="Arial"/>
                  <w:sz w:val="18"/>
                  <w:szCs w:val="18"/>
                  <w:b w:val="1"/>
                  <w:bCs w:val="1"/>
                  <w:color w:val="0000FF"/>
                  <w:w w:val="79"/>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2000" w:type="dxa"/>
            <w:vAlign w:val="bottom"/>
            <w:tcBorders>
              <w:bottom w:val="single" w:sz="8" w:color="0000FF"/>
            </w:tcBorders>
            <w:gridSpan w:val="13"/>
          </w:tcPr>
          <w:p>
            <w:pPr>
              <w:spacing w:after="0"/>
              <w:rPr>
                <w:rFonts w:ascii="Arial" w:cs="Arial" w:eastAsia="Arial" w:hAnsi="Arial"/>
                <w:sz w:val="18"/>
                <w:szCs w:val="18"/>
                <w:b w:val="1"/>
                <w:bCs w:val="1"/>
                <w:color w:val="0000FF"/>
                <w:w w:val="99"/>
              </w:rPr>
            </w:pPr>
            <w:hyperlink w:anchor="page27">
              <w:r>
                <w:rPr>
                  <w:rFonts w:ascii="Arial" w:cs="Arial" w:eastAsia="Arial" w:hAnsi="Arial"/>
                  <w:sz w:val="18"/>
                  <w:szCs w:val="18"/>
                  <w:b w:val="1"/>
                  <w:bCs w:val="1"/>
                  <w:color w:val="0000FF"/>
                  <w:w w:val="99"/>
                </w:rPr>
                <w:t>FORM 10–K SUMMARY</w:t>
              </w:r>
            </w:hyperlink>
          </w:p>
        </w:tc>
        <w:tc>
          <w:tcPr>
            <w:tcW w:w="7660" w:type="dxa"/>
            <w:vAlign w:val="bottom"/>
            <w:gridSpan w:val="24"/>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7">
              <w:r>
                <w:rPr>
                  <w:rFonts w:ascii="Arial" w:cs="Arial" w:eastAsia="Arial" w:hAnsi="Arial"/>
                  <w:sz w:val="18"/>
                  <w:szCs w:val="18"/>
                  <w:b w:val="1"/>
                  <w:bCs w:val="1"/>
                  <w:color w:val="0000FF"/>
                  <w:w w:val="79"/>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20" w:type="dxa"/>
            <w:vAlign w:val="bottom"/>
            <w:gridSpan w:val="43"/>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LIST OF EXHIBITS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7">
              <w:r>
                <w:rPr>
                  <w:rFonts w:ascii="Arial" w:cs="Arial" w:eastAsia="Arial" w:hAnsi="Arial"/>
                  <w:sz w:val="18"/>
                  <w:szCs w:val="18"/>
                  <w:b w:val="1"/>
                  <w:bCs w:val="1"/>
                  <w:color w:val="0000FF"/>
                  <w:w w:val="79"/>
                </w:rPr>
                <w:t>25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tcBorders>
              <w:top w:val="single" w:sz="8" w:color="0000FF"/>
            </w:tcBorders>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SIGNATURES</w:t>
              </w:r>
            </w:hyperlink>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Gas Holdings, Inc., a Delaware corporation, is a holding company headquartered in Las Vegas, Nevada, which either on its own or together with its subsidiaries is referred to herein as the “Company.” Through its wholly owned subsidiaries, Southwest Gas Corporation (“Southwest” or the “natural gas distribution” segment), Centuri Group, Inc. (“Centuri” or the “utility infrastructure services” segment), and MountainWest Pipelines Holding Company, the newly formed holding company owning all of the membership interests in Dominion Energy Questar Pipeline, LLC and related entities (herein referred to as “Questar Pipelines,” “MountainWest,” or the “pipeline and storage” segment). The Company has historically operated two business segments: natural gas distribution (previously referred to as natural gas operations) and utility infrastructure services. With the consummation of the Questar Pipelines acquisition on December 31, 2021, a third segment now exists, the pipeline and storage segment.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incorporated in March 1931 (in California), and its subsidiaries provides regulated natural gas delivery services to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As described above, on December 31, 2021, the Company completed the acquisition of Questar Pipelines from Dominion Energy Questar Corporation (“Dominion”), a wholly owned subsidiary of Dominion Energy, Inc. Questar Pipelines owns and operates over 2,000 miles of highly contracted regulated interstate natural gas pipelines and storage facilities in the Rocky Mountain region, providing service in Utah, Wyoming, and Colorado, with non-regulated businesses primarily providing analytical and measurement services, and natural gas gathering. This acquisition further diversifies the Company’s business with an expansion of operations regulated, by the Federal Energy Regulatory Commission (the “FERC”), including regulated plant, tariff rates, and services performed. </w:t>
      </w:r>
      <w:r>
        <w:rPr>
          <w:rFonts w:ascii="Arial" w:cs="Arial" w:eastAsia="Arial" w:hAnsi="Arial"/>
          <w:sz w:val="15"/>
          <w:szCs w:val="15"/>
          <w:color w:val="auto"/>
        </w:rPr>
        <w:t>Questar Pipelines’ revenues are primarily derived from reservation charges for firm transportation and storage services as provided for in their FERC-approved tariffs. The profitability of these businesses is dependent on their ability, through the rates they are permitted to charge, to recover costs and earn a reasonable return on their capital investments. Variability in earnings results from changes in operating and maintenance expenditures, as well as changes in rates and the demand for services, which are dependent on weather, changes in commodity prices, and the economy. Pursuant to a transition services agreement (the “TSA”) entered into between the Company and Dominion, Dominion will continue to provide certain services with respect to the operations of Questar Pipelines for up to 12 months. The Company will develop an operating model during the period of the TSA in which Questar Pipelines will be leveraging Dominion Energy, Inc.’s personnel and systems. During the development of the operating model, the Company will be reviewing current processes for the development of future processes in association with the integration and administrative stand up of Questar Pipelines.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Centuri is a strategic utility infrastructure services company dedicated to partnering with North America’s electric and gas providers to build and maintain the energy network that powers millions of homes across the United States (“U.S.”) and Canada. Centuri’s skilled workforce delivers a comprehensive and integrated array of solutions through its primary operating companies: NPL Construction Co. (“NPL”), NPL Canada Ltd. (“NPL Canada”), New England Utility Constructors, Inc. (“Neuco”), Linetec Services, LLC (“Linetec”), and Riggs Distler &amp; Company, Inc. (“Riggs Distler”). Centuri has strategically expanded its geographic reach and service offerings through organic and inorganic growth to better meet diverse customer needs across both electric and gas infrastructure, including growing customer attention to achieving environmental objectives. Utility infrastructure services activity is seasonal in most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Centuri completed the acquisition of Drum Parent LLC, formerly Drum Parent, Inc. (“Drum”), including Drum’s most significant operating</w:t>
      </w:r>
    </w:p>
    <w:p>
      <w:pPr>
        <w:spacing w:after="0" w:line="200" w:lineRule="exact"/>
        <w:rPr>
          <w:sz w:val="20"/>
          <w:szCs w:val="20"/>
          <w:color w:val="auto"/>
        </w:rPr>
      </w:pP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subsidiary, Riggs Distler, in August 2021, thereby expanding Centuri’s electric footprint in the northeast and mid-Atlantic regions of the U.S.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March 1, 2022, the Company announced that its Board of Directors (the “Board”) determined to separate Centuri from Southwest Gas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has authorized management to complete the separation within the next nine to twelve months.</w:t>
      </w:r>
    </w:p>
    <w:p>
      <w:pPr>
        <w:spacing w:after="0" w:line="9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Financial information concerning the Company’s business segments is included in </w:t>
      </w:r>
      <w:r>
        <w:rPr>
          <w:rFonts w:ascii="Arial" w:cs="Arial" w:eastAsia="Arial" w:hAnsi="Arial"/>
          <w:sz w:val="18"/>
          <w:szCs w:val="18"/>
          <w:b w:val="1"/>
          <w:bCs w:val="1"/>
          <w:color w:val="auto"/>
        </w:rPr>
        <w:t>Note 13 - Segment Information</w:t>
      </w:r>
      <w:r>
        <w:rPr>
          <w:rFonts w:ascii="Arial" w:cs="Arial" w:eastAsia="Arial" w:hAnsi="Arial"/>
          <w:sz w:val="18"/>
          <w:szCs w:val="18"/>
          <w:color w:val="auto"/>
        </w:rPr>
        <w:t xml:space="preserve"> of the notes to consolidated financial statements, which is included in the 2021 Annual Report to Stockholders and incorporated herein by reference.</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Gas Holdings maintains a website (www.swgasholdings.com) for the benefit of stockholders, investors, customers, and other interested parties. Similarly, Southwest maintains a website (www.swgas.com) mainly focused on utility operations. The annual report on Form 10-K, quarterly reports on Form 10-Q, current reports on Form 8-K, and all amendments to those reports are available, free of charge, through the www.swgasholdings.com website as soon as reasonably practicable after such material is electronically filed with, or furnished to, the Securities and Exchange Commission (the “SEC”). All Company SEC filings are also available on the www.swgasholdings.com website. Nothing included on our website shall be deemed to be a part of the annual report on Form 10-K. The Corporate Governance Guidelines, Code of Business Conduct and Ethics, and charters of the Nominating and Corporate Governance, Audit, and Compensation Committees of the Board of Directors of the Company are also available on the www.swgasholdings.com website. Print versions of these documents are available to stockholders upon request directed to the Corporate Secretary, Southwest Gas Holdings, Inc., 8360 S. Durango Drive, Las Vegas, NV 89113.</w:t>
      </w:r>
    </w:p>
    <w:p>
      <w:pPr>
        <w:spacing w:after="0" w:line="200" w:lineRule="exact"/>
        <w:rPr>
          <w:sz w:val="20"/>
          <w:szCs w:val="20"/>
          <w:color w:val="auto"/>
        </w:rPr>
      </w:pP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NATURAL GAS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is subject to regulation by the Arizona Corporation Commission (the “ACC”), the Public Utilities Commission of Nevada (the “PUCN”), and the California Public Utilities Commission (the “CPUC”). These commissions regulate public utility rates, practices, facilities, and service territories in their respective states. The CPUC also regulates the issuance of all debt securities by Southwest, with the exception of short-term borrowings. Certain accounting practices, transmission facilities, and rates are subject to regulation by the FERC. As discussed above, the pipeline and storage segment of the Company is also subject to the regulation of the FERC. Centuri, by contrast, is not rate regulated by the state utilities commissions or by the FERC in any of its operating areas.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Southwest purchased and distributed or transported natural gas to 2,159,000 residential, commercial, and industrial customers in geographically diverse portions of Arizona, Nevada, and California. Southwest added 37,000 new customers during 2021. Southwest expects similar customer growth in 2022.</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the percentage of operating margin (operating revenues less net cost of gas) by major customer class for the years indicated: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Distribution</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24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Residential and</w:t>
            </w:r>
          </w:p>
        </w:tc>
        <w:tc>
          <w:tcPr>
            <w:tcW w:w="1420" w:type="dxa"/>
            <w:vAlign w:val="bottom"/>
          </w:tcPr>
          <w:p>
            <w:pPr>
              <w:jc w:val="center"/>
              <w:ind w:right="377"/>
              <w:spacing w:after="0" w:line="135" w:lineRule="exact"/>
              <w:rPr>
                <w:sz w:val="20"/>
                <w:szCs w:val="20"/>
                <w:color w:val="auto"/>
              </w:rPr>
            </w:pPr>
            <w:r>
              <w:rPr>
                <w:rFonts w:ascii="Arial" w:cs="Arial" w:eastAsia="Arial" w:hAnsi="Arial"/>
                <w:sz w:val="14"/>
                <w:szCs w:val="14"/>
                <w:b w:val="1"/>
                <w:bCs w:val="1"/>
                <w:color w:val="auto"/>
                <w:w w:val="92"/>
              </w:rPr>
              <w:t>Other Sales</w:t>
            </w:r>
          </w:p>
        </w:tc>
        <w:tc>
          <w:tcPr>
            <w:tcW w:w="100" w:type="dxa"/>
            <w:vAlign w:val="bottom"/>
          </w:tcPr>
          <w:p>
            <w:pPr>
              <w:spacing w:after="0"/>
              <w:rPr>
                <w:sz w:val="11"/>
                <w:szCs w:val="11"/>
                <w:color w:val="auto"/>
              </w:rPr>
            </w:pPr>
          </w:p>
        </w:tc>
        <w:tc>
          <w:tcPr>
            <w:tcW w:w="1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Transportation</w:t>
            </w:r>
          </w:p>
        </w:tc>
        <w:tc>
          <w:tcPr>
            <w:tcW w:w="0" w:type="dxa"/>
            <w:vAlign w:val="bottom"/>
          </w:tcPr>
          <w:p>
            <w:pPr>
              <w:spacing w:after="0"/>
              <w:rPr>
                <w:sz w:val="1"/>
                <w:szCs w:val="1"/>
                <w:color w:val="auto"/>
              </w:rPr>
            </w:pPr>
          </w:p>
        </w:tc>
      </w:tr>
      <w:tr>
        <w:trPr>
          <w:trHeight w:val="188"/>
        </w:trPr>
        <w:tc>
          <w:tcPr>
            <w:tcW w:w="5340" w:type="dxa"/>
            <w:vAlign w:val="bottom"/>
            <w:gridSpan w:val="2"/>
            <w:vMerge w:val="continue"/>
          </w:tcPr>
          <w:p>
            <w:pPr>
              <w:spacing w:after="0"/>
              <w:rPr>
                <w:sz w:val="16"/>
                <w:szCs w:val="16"/>
                <w:color w:val="auto"/>
              </w:rPr>
            </w:pPr>
          </w:p>
        </w:tc>
        <w:tc>
          <w:tcPr>
            <w:tcW w:w="2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Small Commercial</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Customers</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not dependent on any one or a few customers such that the loss of any one or several would have a significant adverse impact on earnings or cash flows.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Transportation of customer-secured gas to end-users accounted for 44% of total system throughput in 2021, but represents only 11% of operating margin as shown in the table above. Customers who utilized this service transported 95 million dekatherms in 2021, 98 million dekatherms in 2020, and 101 million dekatherms in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three-state service territory, as described below, are structured with seasonal variations. Also, earnings for interim, or any, periods can be significantly affected by the timing of general rate relief.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Rates that Southwest is authorized to charge its distribution system customers are determined by the ACC, PUCN, and CPUC in general rate cases and are derived using rate base, cost of service, and cost of capital experienced in an historical test year, as adjusted in Arizona and Nevada, and projected for a future test year in California. The FERC regulates the northern Nevada transmission and liquefied natural gas (“LNG”) storage facilities of Great Basin Gas Transmission Company (“Great Basin”), formerly Paiute Pipeline Company, a wholly owned subsidiary, and the rates it charges for transportation of gas directly to certain end-users and to various local distribution companies (“LDCs”). The LDCs transporting on the Great Basin system are: NV Energy (serving Reno and Sparks, Nevada) and Southwest (serving Truckee, South and North Lake Tahoe in California, and various locations throughout northern Nevada).</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structures in all service territories allow Southwest to separate or “decouple” the recovery of operating margin from natural gas consumption, though decoupled structures (alternative revenue programs)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Rate schedules in all service areas contain deferred energy or purchased gas adjustment provisions, which allow Southwest to file for rate adjustments as the cost of purchased gas changes. Deferred energy and purchased gas adjustment (collectively</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“PGA”) rate changes affect cash flows, but have no direct impact on profit margin. Filings to change rates in accordance with PGA clauses are subject to audit by the appropriate state regulatory commission staff.</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recent general rate cases, PGA filings, and other regulatory proceedings is included in the Rates and Regulatory Proceedings section of Management’s Discussion and Analysis (“MD&amp;A”), which is incorporated by reference herein and included within the 2021 Annual Report to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recent docketed general rate filings and the status of such filing within each ratemaking area:</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Ratemaking Area</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Type of Filing</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Month Filed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Month Final Rates</w:t>
            </w:r>
          </w:p>
        </w:tc>
        <w:tc>
          <w:tcPr>
            <w:tcW w:w="0" w:type="dxa"/>
            <w:vAlign w:val="bottom"/>
          </w:tcPr>
          <w:p>
            <w:pPr>
              <w:spacing w:after="0"/>
              <w:rPr>
                <w:sz w:val="1"/>
                <w:szCs w:val="1"/>
                <w:color w:val="auto"/>
              </w:rPr>
            </w:pPr>
          </w:p>
        </w:tc>
      </w:tr>
      <w:tr>
        <w:trPr>
          <w:trHeight w:val="188"/>
        </w:trPr>
        <w:tc>
          <w:tcPr>
            <w:tcW w:w="56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224"/>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General rate case</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Southern, and South Lake Tahoe</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2021</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Northern and Southern</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2021</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Pending</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FERC*:</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Great Basin</w:t>
            </w: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General rate case</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2019</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2020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*Separate from the natural gas distribution operations, and acquired by the Company as part of the Questar acquisition, Questar Pipeline, LLC, Overthrust Pipeline, LLC, and White River Hub, LLC (the latter, a 50% owned company accounted for under the equity method) are FERC regulated, each having filed their last general rate case in July 1995, March 2018, and October 2018, respectively. Other filings take place more frequently as necessary. Current rate structures are sufficient to cover cost of service and provide a return; each of these entities would file a rate case in the future to update their revenue requirement as necessary or required.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Natural Gas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Deliveries of natural gas by Southwest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utility and large industrial customers able to use alternative fuels, are provided any quantity of gas or capacity.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natural gas is greatly affected by temperature. On cold days, use of gas by residential and commercial customers can be as much as seven times greater than on warm days because of increased use of gas for space heating.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maintains no significant backlog on its orders for gas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Supply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is responsible for acquiring and arranging delivery of natural gas to its system in sufficient quantities to meet its sales customers’ needs. Southwest’s primary natural gas procurement objective is to ensure that adequate supplies of natural gas are available at a reasonable cost. Southwest acquires natural gas from a wide variety of sources with a mix of purchase provisions, which includes spot market and firm supplies. The purchases may have terms from one day to several years and utilize both fixed and indexed pricing. During 2021, Southwest acquired natural gas from 35 suppliers. Southwest regularly monitors the number of suppliers, their performance, and their relative contribution to the overall customer supply portfolio. New suppliers are contracted when possible, and solicitations for supplies are extended to the largest practicable list of suppliers, taking into account each supplier’s creditworthiness. Competitive pricing, flexibility in meeting Southwest’s requirements, and demonstrated reliability of service are instrumental to any one supplier’s inclusion in Southwest’s portfolio. The goal of this practice is to mitigate the risk of nonperformance by any one supplier and ensure competitive prices in the portfolio.</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Balancing reliability with supply cost results in a continually changing mix of purchase provisions within the supply portfolios. To address the unique requirements of its various market areas, Southwest assembles and administers a separate natural gas supply portfolio for each of its jurisdictional areas. Southwest facilitates most natural gas purchases through competitive bid processes.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mitigate customer exposure to short-term market price volatility, during 2021 Southwest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Southwest’s price volatility mitigation program previously included the use of financial derivatives, in the form of fixed-for-floating-index-price swaps combined with indexed-price physical purchases, to secure a portion of the fixed-price portfolio,</w:t>
      </w:r>
    </w:p>
    <w:p>
      <w:pPr>
        <w:spacing w:after="0" w:line="200" w:lineRule="exact"/>
        <w:rPr>
          <w:sz w:val="20"/>
          <w:szCs w:val="20"/>
          <w:color w:val="auto"/>
        </w:rPr>
      </w:pPr>
    </w:p>
    <w:p>
      <w:pPr>
        <w:spacing w:after="0" w:line="23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most recently, for the Arizona rate jurisdiction. The combination of fixed-price contracts and financial derivatives was designed to increase flexibility for Southwest and increase supplier diversification. The cost of such financial derivatives combined with the associated indexed-price physical purchases has been recoverable from customers through the PGA mechanism. For periods beyond October 2020, Southwest has not and does not plan to make fixed-price term purchases broadly in other than California (as set forth above), nor engage in swap transactions for any of its territories.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2021/2022 heating season, firm fixed-price physical commodity purchases ranged from approximately $3.90 to approximately $4.23 per dekatherm. Southwest makes natural gas purchases, not covered by firm fixed-price contracts,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baseload firm natural gas supply arrangements are structured such that Southwest must nominate a stated volume of natural gas and the supplier must confirm that nomination. Contracts provide for fixed or market-based penalties to be paid by the non-performing party.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has some access to storage services, but overall there are small quantities of storage services available for Southwest’s use. For available storage services, Southwest purchases natural gas for injection during the off-peak period for use in the high demand months; however, since storage is limited, its impact is also limited in regard to Southwest’s annual average price of natural gas. Additionally, Southwest utilizes most available storage services for operational purposes to meet customer demand and not for economic purposes. This also limits the influence the available storage services have on Southwest’s average annual price of natural gas.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Southwest currently has no market area storage service availability in its southern Nevada rate jurisdiction; however, Southwest will begin receiving, in 2022, supply area storage services that will likely be used for the southern Nevada rate jurisdiction but could also be used to service the northern Nevada or northern California rate jurisdictions, as described below. Southwest has limited market area storage services availability for the southern and northern California, northern Nevada, and Arizona rate jurisdictions. The following summarizes Southwest’s access to storage services for those rate jurisdictions.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Southwest has a storage services contract with Southern California Gas Company for use only within Southwest’s southern California rate jurisdiction.</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Southwest contracts for storage services from Great Basin’s above-ground LNG facility. This storage service generally provides vaporization and injection, as well as peaking capability only for the northern Nevada and northern California rate jurisdictions.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referenced above, beginning in 2022, Southwest has contracted for supply area storage services from Spire Storage West. This storage will likely be used for the southern Nevada rate jurisdiction, but could also be used to service the northern Nevada or northern California rate jurisdictions.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also has interruptible storage contracts with Northwest Pipeline Corporation (“NWPL”) for the northern Nevada and northern California rate jurisdictions. NWPL has the discretion to limit Southwest’s ability to inject or withdraw from this interruptible storage, which consequently limits Southwest’s use of this interruptible storage capacity. As such, this storage provides limited operational flexibility to adjust daily flowing supplies to meet demand.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Arizona rate jurisdiction, Southwest operates a 233,000 dekatherm above-ground LNG facility in southern Arizona. This facility is intended to enhance service reliability and flexibility in natural gas deliveries in the area by providing a local storage option that is operated by Southwest and connected directly to its distribution system.</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Natural gas supplies for Southwest’s southern system (Arizona, southern Nevada, and southern California properties) are primarily obtained from producing regions in Colorado and New Mexico (San Juan basin), Texas (Permian basin), and Rocky Mountain areas. For its northern system (northern Nevada and northern California properties), Southwest primarily obtains natural gas from Rocky Mountain producing areas and from Canada.</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landscape for national natural gas supply is continuously changing. Advanced drilling techniques continue to provide access to abundant and sustainable natural gas supplies. The natural gas market has responded to the abundant supply of natural gas at prices that are competitive with other forms of energy. Forecasts show that an ample and diverse natural gas supply continues to be available to Southwest’s customers at a competitive price when compared with competing forms of energy.</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Southwest arranges for transportation of natural gas to its Arizona, Nevada, and California service territories through the pipeline systems of El Paso Natural Gas Company (“El Paso”), Kern River Gas Transmission Company (“Kern River”), Transwestern Pipeline Company (“Transwestern”), NWPL, Tuscarora Gas Pipeline Company (“Tuscarora”), Southern California Gas Company, Great Basin, and Ruby Pipeline LLC (“Ruby”), costs for which are recovered from Southwest’s customers through the PGA mechanism. Southwest regularly monitors short- and long-term supply and pipeline capacity</w:t>
      </w:r>
    </w:p>
    <w:p>
      <w:pPr>
        <w:spacing w:after="0" w:line="40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availability to ensure the reliability of service to its customers. Southwest currently receives firm transportation service, both on a short- and long-term basis, for all its service territories on the pipeline systems noted above. Southwest also contracts for firm natural gas supplies that are delivered to Southwest’s city gates to supplement its firm capacity on the interstate pipelines and to meet projected peak-day demands. Southwest could also utilize its interruptible contracts on the interstate pipelines for the transportation of additional natural gas supplies.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Southwest will continue to consider available options to obtain that capacity (either through the use of firm contracts with a pipeline company or by purchasing capacity on the open market), and will also consider options for the purchase of additional firm delivered natural gas supplies.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Electric utilities are the principal competitors of Southwest for the residential and small commercial markets throughout its service areas. Competition for space heating, general household, and small commercial energy needs generally occurs at the initial installation phase when the customer/builder typically makes the decision as to which type of equipment to install and operate. The customer will generally continue to use the chosen energy source for the life of the equipment. Southwest interfaces directly with the various home builders and commercial property developers in its service territories to ensure that natural gas appliances are considered in new developments and commercial centers. As a result of its efforts, Southwest has continued to experience growth in the new construction market among residential and small commercial customer classes. In 2021, Southwest provided natural gas to a large majority of the new homes constructed during the year in the major metropolitan markets composing our service territories.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Certain large commercial, industrial, and electric generation customers have the capability to switch to alternative energy sources. To date, Southwest has been successful in retaining most of these customers by setting rates (subject to conditions of the respective state tariffs) at levels competitive with commercially available alternative energy sources such as electricity and fuel oils. However, high natural gas prices or policies surrounding electrification could impact Southwest’s ability to retain some of these customers. Alternative energy has gained momentum in governmental policy overall in recent years. Southwest has taken steps to align with these efforts by supporting energy efficiency in our jurisdictions, being part of greenhouse gas protocols and initiatives in California, and creating new biogas and renewable natural gas (“RNG”) tariff schedules in Arizona, California, and Nevada. See also </w:t>
      </w: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below. While certain forms of renewable energy initiatives compete with natural gas, the abundance and low cost of natural gas,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 Additionally, the Company instituted a Board of Directors strategic review process to help facilitate and ensure success as the energy transition advances.</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Southwest competes with interstate transmission pipeline companies, such as El Paso, Kern River, Transwestern, Tuscarora, and Ruby to provide service to certain large end-users. End-use customers located in proximity to these interstate pipelines pose a potential bypass threat. Southwest closely monitors each customer situation and provides competitive service in order to retain the customer. Southwest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state, and local laws and regulations governing the discharge of materials into the environment have a direct impact upon Southwest.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a number of federal and state legislative and regulatory initiatives proposed in recent years in an attempt to control or limit the effects of global warming and overall climate change, including greenhouse gas emissions (“GHGs”), such as methane. The adoption of this type of legislation by Congress or similar legislation by state governments mandating a substantial reduction in GHGs, or decarbonization generally, could have significant impacts on the energy industry in the future. Such new legislation or regulations could result in increased compliance costs or additional operating restrictions on our business, affect the demand for natural gas, or impact the prices we charge our customers. At this time, we cannot predict the potential impact of such laws or regulations, if adopted, on our future business, financial condition, or results. However, increased environmental legislation and regulation can also be beneficial to the natural gas industry. Natural gas is more environmentally-friendly than many other fuels currently available and its use can help energy users comply with stricter environmental air quality standards. While</w:t>
      </w:r>
    </w:p>
    <w:p>
      <w:pPr>
        <w:spacing w:after="0" w:line="200" w:lineRule="exact"/>
        <w:rPr>
          <w:sz w:val="20"/>
          <w:szCs w:val="20"/>
          <w:color w:val="auto"/>
        </w:rPr>
      </w:pPr>
    </w:p>
    <w:p>
      <w:pPr>
        <w:spacing w:after="0" w:line="2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transportation is typically cited as the leading source of carbon dioxide emissions in the U.S., natural gas for residential consumption/use is cited as accounting for less than 5% of total U.S. GHG emissions.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remains committed to providing customers with clean, efficient, affordable natural gas service and continues to work with policy makers and regulators to support and adopt renewable initiatives and expanded use of RNG and compressed natural gas (“CNG”) as a transportation fuel. Additionally, Southwest is investigating blending hydrogen into its gas supply. Southwest is not only supporting a regional transportation customer in Nevada with its fleet’s RNG and CNG needs, but Southwest also received favorable cost recovery regarding the conversion of part of its own vehicle fleet to CNG, in support of the state’s greenhouse gas emission reduction goals. In recent years, regulatory activity in Arizona, California, and Nevada led to provisions allowing for the development of RNG projects. In addition, proposals have been made in all three states to allow Southwest to purchase RNG as part of its gas supply portfolio; in the California and Nevada jurisdictions, those proposals have been accepted by regulators or legislative bodies.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States Environmental Protection Agency (the “EPA”) and State of California Environmental Protection Agency (the “Cal/EPA”) regulations require the reporting of GHGs from large sources and suppliers in order to facilitate the development of policies and programs to reduce GHGs. Southwest reports required information to the EPA and Cal/EPA under respective rules, including the volumes of natural gas that it receives for distribution to LDC customers, and the GHG emissions that result from the operation of its LDC pipelines.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California legislation and regulations promulgated by the California Air Resources Board (the “CARB”) require Southwest to comply with the California GHG Emissions Reporting Program and the California Cap and Trade Program, which play an important role in the state’s goal of reducing GHG emissions to 40% below 1990 levels by 2030. Southwest must report annual GHGs each year. The CARB annually allocates to Southwest a certain number of allowances based on Southwest’s reported 2011 GHGs. Of those allocated allowances, Southwest must consign a certain percentage to the CARB for auction. Southwest can use any allocated allowances that remain after consignment, along with allowances it can purchase through CARB auctions or reserve sales, or through over the counter (“OTC”) purchases with other market participants, to meet its compliance obligations.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ongoing three-year compliance periods established. One ended in 2017, another ended in 2020, and the current compliance period ends in 2023. Southwest successfully met the 2017 and 2020 compliance obligations by surrendering a sufficient number of allowances prior to November 1, 2018 and November 1, 2021, respectively. Southwest will meet the 2023 compliance obligation by surrendering a sufficient number of allowances prior to November 1, 2024, or will purchase carbon offsets in order to meet those obligations. During the first quarter of 2022, Southwest successfully bid on offsets at auction to partially meet these requirements. While carbon offsets can be only be used to satisfy a portion of the compliance obligation per year, the recent auction in 2022 supports compliance years through 2025. The CPUC previously issued a decision that provides for the regulatory treatment of the program costs. The decision also implemented the California Climate Credit in October 2018, representing a return of auction proceeds, which is updated annually each April. There is no expected impact on earnings.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UTILITY INFRASTRUCTURE SERVICES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Centuri is a strategic utility infrastructure services company dedicated to partnering with North America’s gas and electric providers to build and maintain the energy network that powers millions of homes across the U.S. and Canada. Centuri’s skilled workforce delivers a comprehensive and integrated array of solutions through its operating companies. Centuri derives revenue primarily from installation, replacement, repair, and maintenance of energy networks. The primary focus of Centuri operations is the replacement of electric service lines and natural gas distribution pipelines, as well as new infrastructure installations. With the recent expansion of its electric services business and its geographic footprint through the acquisition of Riggs Distler, Centuri has grown its emergency restoration services, where necessary, to bring its customers’ above-ground utility infrastructure back on line following regional storms. Utility infrastructure services work varies from relatively small projects to the installation of infrastructure for entire residential communities or business parks. Centuri seeks to build long-term relationships with customers to meet their needs across geographies and across both electric and gas infrastructure. Utility infrastructure services activity is seasonal in many of Centuri’s operating areas. Peak periods are the summer and fall months in colder climate areas, such as the northeastern and midwestern U.S. and Canada. In warmer climate areas, such as the southwestern and southeastern U.S., utility infrastructure services activity typically continues year round.</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recent years, various factors resulted in an increase in large multi-year utility system replacement programs and expanded protocols. The U.S. Energy Policy Act of 2005 established mandatory electric grid reliability standards and incentivized investments in transmission and distribution systems. The U.S. Department of Transportation’s Pipeline and Hazardous Materials Safety Administration (“PHMSA”) instituted Distribution Integrity Management Programs (“DIMP”) effective February 2010, which required operators of gas distribution pipelines to develop and implement integrity management programs to enhance safety by identifying and reducing pipeline integrity risks. FERC Order No. 1000, issued in July 2011, established transmission planning requirements to encourage development of electric transmission infrastructure projects. In 2020, PHMSA issued its final “Mega Rule,” including requirements for reconfirming transmission pipeline maximum</w:t>
      </w:r>
    </w:p>
    <w:p>
      <w:pPr>
        <w:spacing w:after="0" w:line="200" w:lineRule="exact"/>
        <w:rPr>
          <w:sz w:val="20"/>
          <w:szCs w:val="20"/>
          <w:color w:val="auto"/>
        </w:rPr>
      </w:pP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allowable operating pressure and verification of pipeline materials, in addition to expanding assessments and requirements for work in moderate consequence areas, among other things. Likewise, there has been significant attention placed on electric grid modernization through national infrastructure legislation and related initiatives. The Department of Energy estimates more than 70% of the nation’s grid transmission lines and power transformers are over 25 years old, creating vulnerability particularly in light of seasonal storm and extreme weather events. Centuri’s services also support customers’ environmental goals, such as reducing methane emissions from pipeline leaks through pipe repair and replacement. Centuri is well positioned to support growing customer attention in achieving environmental objectives through infrastructure construction and maintenance.</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Centuri’s contract terms with utility customers generally specify unit-price or time-and-materials (“T&amp;M”) terms under master service agreements, and occasionally fixed-price arrangements for bid work. Unit-price contracts establish prices for all of the various services to be performed during the contract period. These contracts often have annual pricing reviews that provide an opportunity for Centuri to reflect anticipated increases in labor costs. Centuri customers supply materials required for building and maintenance services under the majority of Centuri’s contracts, and thus increased costs of materials generally do not present a direct material risk to Centuri. During 2021, approximately 88% of revenue was earned under unit-price and T&amp;M contracts. Storm restoration services are often contracted under T&amp;M rates and generally involve a higher number of hours worked per day given the emergency response nature of the work performed. Backlog represents the dollar amount of revenue Centuri expects to recognize in the future from contracts awarded and in progress as of the end of the reporting period. Reported backlog differs from the concept of remaining performance obligations as defined by accounting principles generally accepted in the U.S. (“U.S. GAAP”) and is not a measure of contract profitability. As of December 31, 2021, backlog of approximately $106 million existed with respect to outstanding fixed-priced contracts. Centuri maintains an average customer relationship tenure of more than 20 years, supported by its unwavering commitments to safety, quality, community engagement, and workforce development.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by Centuri in its utility infrastructure service activities are typically specified, purchased, and supplied by Centuri’s customers. Contracts with customers also contain provisions which make customers generally liable for remediating environmental hazards encountered during the construction process. Such hazards might include digging in an area that was contaminated prior to construction, finding endangered animals, digging in historically significant sites, etc. Otherwise, Centuri’s operations have limited environmental impact (dust control, normal waste disposal, handling harmful materials, etc.).</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within the industry has traditionally been limited to several regional and numerous local competitors in what has been a largely fragmented industry. Some national competitors also exist within the industry. Centuri operates in over 68 primary locations across 45 states and provinces in the U.S. and Canada, with its corporate headquarters located in Phoenix, Arizona. During 2021, Centuri served over 300 customers, with Southwest accounting for approximately 5% of total revenue. Another individual customer accounted for approximately 11% of total revenue, while five other customers individually accounted for 5% or more of total revenue.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not directly affected by regulations promulgated by the ACC, PUCN, CPUC, or FERC. Centuri is an unregulated subsidiary of the Company. However, because Centuri performs work for Southwest, its associated costs are subject indirectly to “prudency reviews” like any other capital work performed by third parties or directly by Southwest. However, such reviews would not bring Centuri under the regulatory jurisdiction of any of the commissions noted above.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specializes in construction of underground aviation fueling systems and storage tanks. Western is a variable interest entity of which Centuri is not the primary beneficiary; therefore, Western is not consolidated with Centuri and is, instead, accounted for under the equity method of accounting. To date, Western, has not been a significant component of Centuri’s financial results.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PIPELINE AND STORAGE</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Questar Pipelines was acquired by Southwest Gas Holdings, Inc. on December 31, 2021. The operations are comprised of over 2,000 miles of highly-contracted FERC-regulated interstate natural gas pipelines providing transportation and underground storage services in Utah, Wyoming, and Colorado. The operations specifically include two wholly owned, FERC-regulated businesses (referred to herein as Questar Pipeline and Overthrust Pipeline), and another FERC-regulated pipeline held as a 50% interest in White River Hub (“WRH”). WRH is a variable interest entity of which Questar Pipelines is not the primary beneficiary; therefore, WRH is not consolidated with MountainWest and is, instead, accounted for under the equity method of accounting.</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Collectively, Questar Pipelines has fewer that two hundred customers, which include storage customers, marketers, end-users, power generators, or utilities.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two largest customers comprise nearly half of their expected revenues, including an entity that was affiliated prior to the acquisition by the Company.</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operations are primarily in the midstream, including 56 billion cubic feet (“Bcf”) of storage capacity that has, in the recent past, been at or near full contracting.</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Operationally, it is subject to certain similar influences of the Company’s significant subsidiary, Southwest Gas Corporation. It is subject to the operational and pricing requirements under FERC and PHMSA rulemaking. Questar Pipelines is also subject to similar environmental and political influences as Southwest. Federal, state, and local regulations governing the discharge of materials into the environment have a direct impact on Questar Pipelines’ operations. For example, in recent years, legislation implemented in Colorado, significantly amended the Oil and Gas Conservation Act and directed the Colorado Department of Public Health &amp; Environment (the “CDPHE”) to promulgate new rules to meet the state’s GHG emissions goals. In 2021, the CDPHE amended certain regulations, that among other things, established a steering committee to develop recommendations for the reduction of GHG emissions. That steering committee is directed to consider all means of reducing GHGs, with guidelines expected in 2023. While MountainWest will be part of the Company’s broader consideration for deployment on renewables undertakings, these and other developments will be monitored for their impact on Questar Pipelines and the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Southwest, Centuri, MountainWest, and throughout our collective operations, employees are critical to our success. Their talent and dedication are what allow us to provide safe and reliable service to customers and explore new opportunities that align with our strategies, while carrying out organizational core values related to safety, quality, and stewardship, among others. The Board oversees matters relating to our vision, values, and culture where diversity, equity, and inclusion; human and workplace rights; and employee health and safety are priorities. The Board receives regular reports from management and subject 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Centuri, and MountainWest are committed to the safety of our employees and the communities we serve every day. Employees and contract workers receive initial safety orientation training to learn practices, procedures, and policies established by Southwest, Centuri, and MountainWest.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all the Company’s business segments, reinforcing our top priority to safeguard our communities, our employees, and our assets. At Southwest, such metrics included Damages per 1,000 Tickets and Incident Response Time; at Centuri, they included Total Recordable Incident Rate and Days Away/Restricted/Transferred (“DART”); and at MountainWest such metrics included OSHA Injury Rate, DART, and Preventable Motor Vehicle Incident Rate, among others. In each case, the measures are widely used in the respective industries comprising our businesses. All segments maintain additional programs and extensive employee training initiatives to promote safe work.</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2021, Southwest had 2,286 regular full-time equivalent employees. Southwest believes that a skilled, highly trained workforce is a key to success in the utility industry, and a driver of Southwest’s safety performance and high customer satisfaction ratings. Southwest believes it has a good relationship with its employees and that compensation, benefits, and working conditions are comparable to those generally found in the utility industry. In recent years, employee engagement surveys have been deployed to gauge the extent to which employees feel connected and valued. Flexible working arrangements are available to employees, which support work-life balance. No Southwest employees are represented by a labor union. A stable workforce has been important to knowledge transfer and succession processes, with the average tenure of Southwest employees being approximately 12 years. Germane to attracting and retaining employees are our compensation and benefits programs, which are regularly reviewed. For employees hired on or before December 31, 2021, Southwest maintains an employee pension plan based on eligibility and vesting, and also provides a 50% company match on the first 7% of employee contributions through its defined contribution plan. Employees hired on or after January 1, 2022 will be eligible for enhanced employer contributions of 3% plus a matching contribution up to 7% (dollar-for-dollar) of eligible compensation through the defined contribution plan instead of participating in the defined benefit pension plan. The health and wellness of our workforce are supported by group insurance programs, incentive programs in support of total health, and related employee programs. Southwest also offers a tuition assistance program. Regular succession planning helps ensure that talent is identified, and existing and prospective leaders are developed in order to build their skills and be prepared for future roles.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2021, Centuri had 10,434 regular full-time equivalent employees, including additional full-time equivalent employees resulting from the Riggs Distler acquisition, working in over 45 states and provinces throughout the U.S. and Canada. Employee counts fluctuate between seasonal periods, normally heaviest in the summer and fall. Typical of the segment’s industry, a majority of Centuri employees are represented by unions and covered by collective bargaining agreements. Centuri maintains a market-based total rewards strategy to attract, retain, motivate, and develop employees. Additionally, Centuri has a scholarship program, which awards more than half of the grants to minority students who are dependents of Centuri employees. Similar employee engagement and succession planning protocols to those existing at Southwest are deployed at Centuri.</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Questar Pipelines increased the number of states in which the Company operates. As of December 31, 2021, MountainWest had 253 full-time employees across Utah, Wyoming, and Colorado. MountainWest is comprised of a highly</w:t>
      </w:r>
    </w:p>
    <w:p>
      <w:pPr>
        <w:spacing w:after="0" w:line="200" w:lineRule="exact"/>
        <w:rPr>
          <w:sz w:val="20"/>
          <w:szCs w:val="20"/>
          <w:color w:val="auto"/>
        </w:rPr>
      </w:pP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skilled workforce which provides gas transportation and underground storage services in the midstream space. MountainWest does not have a unionized workforce. Pursuant to the Purchase and Sale Agreement, dated as of October 5, 2021, by and between Dominion and the Company, Questar Pipelines employees transferred as part of the acquisition will have certain employment protections for a period of 24 months beginning December 31, 2021. In addition, pursuant to the TSA, Dominion will continue to provide certain services with respect to the operations of MountainWest for up to 12 months, including many administrative processes.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believes that a positive onboarding experience is foundational to positive employee engagement and rapid productivity. As part of the acquisition strategy, management has established a robust integration program with the goal of enabling the transferred Questar Pipelines employees to quickly integrate into the Company’s culture. The Company will be working to develop an operating model during the TSA period during which MountainWest will be leveraging Dominion Energy, Inc.’s personnel and systems. During the development of the operating model, the Company will be reviewing current state processes for the development of future state processes to facilitate the integration and necessary administrative stand up of MountainWest. This will include building an organizational structure and hiring additional employees where gaps exist, as well as reviewing outsourcing solutions that are financially prudent to support future state processes. Other activities will include policy changes to support new processes, employee engagement and culture, and management changes to support employees and leaders during this transitional period.</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Collectively, we embrace a culture of diversity, equity, and inclusion to not only protect employees under laws designed to do so regardless of race, color, religion, gender, sexual orientation, national origin, age, disability, pregnancy, and veteran status, but to reinforce the value that diversity brings to the workplace. We strive to have a workforce that reflects the communities we serve, and engage experts from time to time to update management on the trends and benefits of diverse backgrounds, cultures, and perspectives. Our belief is that adherence to these principles forms the genesis of a workforce that is both diverse and inclusive. Southwest and Centuri have several programs, including employee resource groups, diversity councils, a diversity ambassadors (champions) network, educational outreach programs, and other initiatives designed to attract and retain a diverse workforce. We commit to creating a safe and respectful workplace by encouraging employees to value diversity through unconscious bias training, and by inviting them to engage in meaningful conversations about diversity, equity, and inclusion topics. Through these and other efforts, we place value in our people and nurture their development, while ensuring that all employees have an equitable opportunity for success.</w:t>
      </w:r>
    </w:p>
    <w:p>
      <w:pPr>
        <w:spacing w:after="0" w:line="10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Described below (and in </w:t>
      </w:r>
      <w:r>
        <w:rPr>
          <w:rFonts w:ascii="Arial" w:cs="Arial" w:eastAsia="Arial" w:hAnsi="Arial"/>
          <w:sz w:val="16"/>
          <w:szCs w:val="16"/>
          <w:b w:val="1"/>
          <w:bCs w:val="1"/>
          <w:i w:val="1"/>
          <w:iCs w:val="1"/>
          <w:color w:val="auto"/>
        </w:rPr>
        <w:t>Item 7A. Quantitative and Qualitative Disclosures about Market Risk</w:t>
      </w:r>
      <w:r>
        <w:rPr>
          <w:rFonts w:ascii="Arial" w:cs="Arial" w:eastAsia="Arial" w:hAnsi="Arial"/>
          <w:sz w:val="16"/>
          <w:szCs w:val="16"/>
          <w:i w:val="1"/>
          <w:iCs w:val="1"/>
          <w:color w:val="auto"/>
        </w:rPr>
        <w:t xml:space="preserve"> of this report) are risk factors that we have identified that may have a negative impact on our future financial performance or affect whether we achieve the goals or expectations expressed or implied in any forward-looking statements contained herein. References below to “we,” “us,” and “our” should be read to refer to Southwest Gas Holdings, Inc. and any combination of its subsidiaries, including Southwest Gas Corporation, MountainWest Pipelines Holding Company, and Centuri Group, Inc.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 relies on having access to interstate pipelines’ transportation capacity. If these pipelines and related transportation capacity were not available, it could impact Southwest’s ability to meet customers’ full requirements.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excessive customer usage, or other force majeure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an appropriately qualified employee workforce could adversely affect our collective operations.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implement our business strategy and serve our customers is dependent upon our continuing ability to attract and retain talented professionals and a technically skilled workforce, and impacts our ability to transfer the knowledge and expertise of our workforce to new employees as our aging employees retire. Failure to attract, hire, and adequately train replacement employees, including the transfer of significant internal historical knowledge and expertise to the new employees, or the future availability and cost of contract labor could adversely affect our ability to manage and operate our business.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particular, the productivity of Centuri’s labor force and its ongoing relationship with clients is largely dependent on those serving in foreman, general foreman, regional, and executive level management positions. The ability to retain these individuals, due in large part to the competitive nature of the utility infrastructure service business, is necessary for the ongoing</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success and growth of Centuri. Further, the competitive environment within which Centuri performs work creates pricing pressures, specifically when its unionized business segment is bidding against non-union competitors. This competition could adversely impact our business, financial condition, results of operations, and cash flows.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availability of resources for employees or professional contractors could impact our ability to efficiently and effectively integrate MountainWest and execute on the necessary administrative stand up.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one or more significant customers at Centuri or MountainWest could adversely affect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over half of utility infrastructure services revenues were generated from nine customers. This concentration of risk could impact operating results if construction work slowed or halted with one or more of these customers, if competition for work increased, or if existing contracts were not replaced or extended.</w:t>
      </w:r>
    </w:p>
    <w:p>
      <w:pPr>
        <w:spacing w:after="0" w:line="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MountainWest has fewer than 200 customers with nearly half of expected revenues from two customers. This concentration of risk could impact future operating results if demand for transmission and storage services diminished, if additional competition materialized, or if demand was otherwise reduced.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Fixed-price contracts at Centuri are subject to potential losses that could adversely affect results of operations.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enters into a variety of types of contracts customary in the underground utility construction industry. These contracts include unit-priced contracts (including unit-priced contracts with revenue caps), time and material (cost plus) contracts, and fixed-price (lump sum) contracts. Contracts with caps and fixed-price arrangements can be susceptible to constrained profits, or even losses, especially those contracts that cover an extended-duration performance period. This is due, in part, to the necessity of estimating costs far in advance of the completion date (at bid inception). Unforeseen inflation, or other costs unanticipated at inception, can detrimentally impact profitability for these types of contracts.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nature of our operations presents inherent risks of loss that could adversely affect our results of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natural gas distribution and pipeline and storage operations are subject to inherent hazards and risks such as gas leaks, fires, natural disasters, catastrophic accidents, explosions, pipeline ruptures, and other hazards and risks that may cause unforeseen interruptions, personal injury, or property damage. Our utility infrastructure services operations are reliant on skilled personnel who are trained and qualified to install utility infrastructure under established safety protocols and operator qualification programs, and in conformance with mandated engineering design specifications.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cause environmental pollution, personal injury or death claims, damage to our properties or the properties of others, or loss of revenue by us or others.</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liability insurance that covers both Southwest and MountainWest for some, but not all, risks associated with the operation of our natural gas pipelines and facilities, and the utility infrastructure services we provide. In connection with these liability insurance policies, each entity is responsible for an initial deductible or self-insured retention amount per incident, after which the insurance carriers would be responsible for amounts up to the policy limits. Liability insurance policies at Southwest and MountainWest require us to be responsible for the first $1 million (self-insured retention) of each incident plus the first $4 million in total claims above our self-insured retention in the policy year; while Centuri’s self-insured retention amount is $750,000 per occurrence. We cannot predict the likelihood that any future event will occur which will result in a claim exceeding these amounts; however, a large claim for which we were deemed liable would reduce our earnings up to and including these self-insurance maximums.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in our operating areas can adversely affect operations, financial position, and cash flows.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Centuri’s results of operations, financial position, and cash flows can be significantly impacted by changes in weather that affect the ability of Centuri to provide utility companies with contracted-for trenching, installation, and replacement of underground pipes, as well as maintenance services for energy distribution systems. Generally, Centuri’s revenues are lowest during the first quarter of the year due to less favorable winter weather conditions. These conditions also require certain areas to scale back their workforce at times during the winter season, presenting challenges associated with maintaining an adequately skilled labor force when it comes time to re-staff its work crews following the winter layoffs.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Southwest’s revenues are highest during the first and fourth quarters of the year during the winter months as customer consumption increases. While Southwest has decoupling mechanisms in place in all three states in which it operates, warmer than normal weather can reduce the amount of billed revenue, as well as amounts collected or returned related to regulatory tracking mechanisms under various programs, thereby impacting cash flows. Deviations from normal weather</w:t>
      </w: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conditions and the seasonal nature of these businesses can create fluctuations in short-term cash requirements of both Southwest and Centuri, and earnings, primarily related to Centuri.</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cybersecurity incident has the potential to disrupt normal business operations, expose sensitive information, and/or lead to physical damages, and may result in legal claims or damage to our reputation.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utility provider, midstream service provider, and infrastructure services provider, maintaining business operations is critical for our customers, business partners, suppliers, and our employees. A disruption in service could adversely impact our reputation, ability to provide services for our customers, and the media used to communicate and exchange information both internally and externally.</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process and store sensitive information, including personal identifiable information (“PII”), intellectual property, and business proprietary information as part of normal business operations. A cybersecurity breach of this information could expose us to monetary and other damages from customers, suppliers, business partners, government agencies, and others. The federal and state legislative and regulatory environment surrounding PII, information security, and data privacy is evolving and is likely to become increasingly demanding. For example, California recently enacted the California Consumer Privacy Act, which became effective on January 1, 2020 and requires covered businesses to, among other things, provide disclosures to California consumers regarding the collection, use, and disclosure of such consumers’ PII and afford such consumers new rights, including the right to opt out of certain sales of PII. Additional states are also considering new laws and regulations that further protect the confidentiality, privacy, and security of personal information. Should the Company experience a breach and/or become subject to additional regulation, it could face substantial compliance costs, reputational damage, and uncertain litigation risks.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Physical damage due to a cybersecurity incident or acts of cyber terrorism could impact utility, transmission, storage, and related services provided to customers and could lead to material liabilities. The Company has taken the initiative in fortifying the core infrastructure that supports the provision of these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third-party suppliers and subcontractors.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Centuri maintains oversight of those third-party suppliers and subcontractors it utilizes to assist with certain aspects of the work it performs for clients, any delay or failure by these parties in the completion of their portion of a given project may result in delays in the overall progress of the project or cause us to incur additional costs, thereby potentially impacting Centuri’s overall profitability. Furthermore, if Centuri’s relationship with its third-party suppliers and subcontractors were to be damaged, it may be difficult to replace them in a cost-effective manner.</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Reliance on similar services, and their availability, may also impact the ability of Southwest and MountainWest to execute on their objectives for projects undertaken.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labor relations with Centuri’s employees could adversely affect results of operations.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majority of Centuri’s labor force is covered by collective bargaining agreements with labor unions, which is typical of the utility infrastructure services industry. Labor disruptions, boycotts, strikes, or significant negotiated wage and benefit increases at Centuri, whether due to employee turnover or otherwise, could have a material adverse effect on Centuri’s business and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and uncertain work environment and conditions at Centuri.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Centuri performs work in a variety of geographic locations, each presenting unique environmental, surface, and subsurface conditions. As a consequence of work being performed under change orders when unexpected conditions are encountered, Centuri periodically experiences delays relating to billing and payment under these altered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Economic, and Market Risks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a substantial amount of indebtedness maturing in the near term, which may expose us to the risk of default, and could adversely affect our financial condition, restrict our operations and our ability to obtain additional capital to fund our operations and limit our ability to react to changes in the economy or our industry.</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Gas Holdings has approximately $2.125 billion of consolidated indebtedness maturing in 2022, consisting of $250 million outstanding under Southwest’s term loan that matures on March 25, 2022, $275 million of notes that mature in 2022, and $1.6 billion outstanding under that certain 364-day</w:t>
      </w:r>
    </w:p>
    <w:p>
      <w:pPr>
        <w:jc w:val="both"/>
        <w:spacing w:after="0" w:line="257" w:lineRule="auto"/>
        <w:rPr>
          <w:sz w:val="20"/>
          <w:szCs w:val="20"/>
          <w:color w:val="auto"/>
        </w:rPr>
      </w:pPr>
      <w:r>
        <w:rPr>
          <w:rFonts w:ascii="Arial" w:cs="Arial" w:eastAsia="Arial" w:hAnsi="Arial"/>
          <w:sz w:val="18"/>
          <w:szCs w:val="18"/>
          <w:color w:val="auto"/>
        </w:rPr>
        <w:t>term loan credit agreement entered into in connection with the acquisition of Questar Pipelines that matures on December 30, 2022</w:t>
      </w:r>
      <w:r>
        <w:rPr>
          <w:rFonts w:ascii="Arial" w:cs="Arial" w:eastAsia="Arial" w:hAnsi="Arial"/>
          <w:sz w:val="21"/>
          <w:szCs w:val="21"/>
          <w:color w:val="auto"/>
        </w:rPr>
        <w:t>.</w:t>
      </w:r>
      <w:r>
        <w:rPr>
          <w:rFonts w:ascii="Arial" w:cs="Arial" w:eastAsia="Arial" w:hAnsi="Arial"/>
          <w:sz w:val="18"/>
          <w:szCs w:val="18"/>
          <w:color w:val="auto"/>
        </w:rPr>
        <w:t xml:space="preserve"> These near-term maturities increase the risk of a potential default on our indebtedness, which could cause our lenders to accelerate our indebtedness and seek remedies against us, which</w:t>
      </w:r>
    </w:p>
    <w:p>
      <w:pPr>
        <w:spacing w:after="0" w:line="200" w:lineRule="exact"/>
        <w:rPr>
          <w:sz w:val="20"/>
          <w:szCs w:val="20"/>
          <w:color w:val="auto"/>
        </w:rPr>
      </w:pP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spacing w:after="0" w:line="296" w:lineRule="auto"/>
        <w:rPr>
          <w:sz w:val="20"/>
          <w:szCs w:val="20"/>
          <w:color w:val="auto"/>
        </w:rPr>
      </w:pPr>
      <w:r>
        <w:rPr>
          <w:rFonts w:ascii="Arial" w:cs="Arial" w:eastAsia="Arial" w:hAnsi="Arial"/>
          <w:sz w:val="16"/>
          <w:szCs w:val="16"/>
          <w:color w:val="auto"/>
        </w:rPr>
        <w:t>would have a material impact on our credit ratings, financial condition, and operations. Furthermore, these near-term maturities may limit our ability to quickly react to changing market conditions, distract management’s attention from day-to-day operations and limit our ability to obtain financing for our ordinary course capital requirements. For example, in February 2021, Southwest was required to execute a $250 million term loan in reaction to rising gas prices resulting from unexpected weather-related events. If something similar were to happen prior to the refinancing of some of our current indebtedness, we can provide no assurances that we would be able to secure this kind of short-term financing because of our existing 2022 maturities.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plan to satisfy our 2022 maturities by issuing a combination of equity and equity-linked instruments, entering into new long-term debt agreements, and the issuance of debt securities. While we believe that our plans to refinance this indebtedness are probable, as of the date of this Annual Report on Form 10-K, we can provide no assurances that we will be able to obtain the necessary financing on attractive terms or at all. Our plans to refinance are subject to the conditions in the capital and credit markets, which have been volatile to date in 2022 due to, among other things, expected increases in interest rates. As a result we may be forced to obtain capital on terms that are unattractive or that are dilutive to our stockholders. Furthermore, we may need to pursue other alternatives to satisfy these near-term maturities if we are unable to access the capital markets.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successfully integrate business acquisitions into our business and realize the anticipated benefits of the acquisitions.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Questar Pipelines and Riggs Distler acquisitions are expected to result in various benefits, including, among other things, being accretive to earnings in future periods. The achievement of the anticipated benefits of these acquisitions will be subject to a number of uncertainties, including whether the businesses are integrated efficiently and effectively. We entered into a transition services agreement with the Questar Pipelines’ previous owners covering a period of time post-acquisition. Upon the expiration of the transition services agreement, we may not be able to hire or retain sufficient staff to operate the Questar Pipelines businesses efficiently. Failure to achieve the anticipated benefits of acquisitions could result in increased costs, decreases in the amount of expected revenues generated, and the potential diversion of management’s time and energy, all of which could have an adverse effect on the consolidated financial position, results of operations, cash flows, credit ratings, or market price of our common stock. The acquisitions may also cause us to issue equity securities which would dilute our existing stockholders’ percentage of ownership.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holding company, Southwest Gas Holdings, Inc. depends on operating subsidiaries to meet financial obligations.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Gas Holdings, Inc. has no significant assets other than the stock of operating subsidiaries and is not expected to have significant operations on its own. Southwest Gas Holdings’ ability to pay dividends to stockholders is dependent on the ability of its subsidiaries to generate sufficient net income and cash flows to service debt and pay upstream dividends. Because of the relative size of subsidiary operations, and their relative impacts to net income and cash flows, substantial dependency on the utility operations of Southwest Gas Corporation and the infrastructure services of Centuri Group, Inc. exists. The ability of Southwest Gas Holdings’ subsidiaries to pay upstream dividends and make other distributions are subject to relevant debt covenant restrictions of subsidiaries and applicable state law.</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Utility infrastructure segment clients’ budgetary constraints, regulatory support or decisions, and financial condition could adversely impact work awarded.</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Centuri’s clients are regulated utilities, whose capital budgets are influenced significantly by the various public utility commissions. As a result, the timing and volume of work performed by Centuri is largely dependent on the regulatory environment in its operating areas and related client capital constraints. If budgets of Centuri’s clients are reduced, or regulatory support for capital projects and programs is diminished, it could have a material adverse effect on our business, results of operations, and cash flows. Additionally, the impact of new regulatory and compliance requirements could result in productivity inefficiencies and adversely impact Centuri’s results of operations and cash flows, or timing delays in their realization.</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Southwest’s and MountainWest’s liquidity, and in certain circumstances our earnings, may be reduced from historical amounts or expectations during periods in which natural gas prices are rising significantly or are more volatile.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schedules in each of Southwest’s service territories contain purchased gas adjustment clauses which permit Southwest to file for rate adjustments to recover increases in the cost of purchased gas. Increases in the cost of purchased gas have no direct impact on our profit margins, but do affect cash flows and can therefore impact the amount of our capital resources. Southwest has used short-term borrowings in the past to temporarily finance increases in purchased gas costs, and we expect to do so during 2022, if the need again arises.</w:t>
      </w: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Southwest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Southwest’s earnings may be materially impacted due to volatility in the cash surrender value of our company-owned life insurance policies during periods in which stock market changes are significant.</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life insurance policies on members of management and other key employees to indemnify ourselves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(mutual fund) investments. As a result, the cash surrender value (but not the net death benefits) moves up and down consistent with the movements in the broader stock and bond markets. Current tax regulations provide for tax-free treatment of life insurance (death benefit) proceeds. Therefore, changes in the cash surrender value components of company-owned life insurance policies, as they progress towards the ultimate death benefits, are also recorded without tax consequences. Currently, we intend to hold the company-owned life insurance policies for their duration. Changes in the cash surrender value of company-owned life insurance policies, except as related to the purchase of additional policies, affect our earnings but not our cash flows.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provides pension and postretirement benefits to eligible employees. The costs of providing such benefits are subject to changes in the market value of our pension fund assets,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economic conditions may affect Southwest’s ability to finance capital expenditures.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Southwest’s business is capital intensive.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We frequently use our at-the-market equity offering program to fund certain liquidity requirements, but we may not continue to do so if our stock is not trading at levels that we find attractive. If we were to decide not to use our equity offering program, we would need to find alternative sources of capital.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debt carries a rate of interest linked to the London Interbank Offered Rate (“LIBOR”) and has a maturity date after December 31, 2021. If a change in indices, including a discontinuation of LIBOR, which may occur after 2021, results in interest rate increases on our debt, debt service requirements will correspondingly increase, which could adversely affect our cash flow and financial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actions of activist shareholders.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2021, Carl Icahn and certain affiliated entities initiated a tender offer to purchase shares of our common stock and threatened a proxy contest with respect to the election of directors at our 2022 Annual Meeting of Stockholders. Responding to actions such as these and other actions by activist shareholders can be costly and time-consuming, disrupt our operations, and divert the attention of management and our employees. Perceived uncertainties among current and potential customers, employees, and other parties as to our future direction may result in the loss of potential business opportunities and may make it more difficult to attract and retain qualified personnel and business partners. These actions could also cause our stock price to experience periods of volatility, which could disrupt out plans to access the capital markets for financing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the impacts to our business, results of operations, cash flows, and financial condition remains uncertain.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novel coronavirus (“COVID-19”) pandemic has been ongoing since the first quarter of 2020 and management has remained focused on the impacts to local and U.S. economies.</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Our utility and pipeline and storage operations and, to a large extent, our utility infrastructure services segment have been deemed “essential services.” Our businesses, consistent with federal and state guidelines and protocols, have been ongoing during this time providing services to meet the demand of customers in all operating territories. Demand at Southwest and Centuri has not significantly decreased. The COVID-19 pandemic has impacted some of our customers’ ability to timely pay their bills. Southwest has implemented flexible payment plan options and continues to coordinate with certain governmental and nonprofit entities for customer payment assistance. To date, there has not been a material impact on our financial position overall. Although we may be able to seek recovery of some losses through the regulatory process, we can provide no assurances that we will be able to recover such losses in full or at all. In addition, there has not been a significant disruption in the Company’s supply chains, transportation network, or ability to serve customers.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at the onset of the COVID-19 pandemic, a limited number of construction projects in our utility infrastructure services segment were delayed. Crews were temporarily reduced; however, most work continued, while following governmental protocols. We can provide no assurances as to whether future delays will occur or as to the impact of such delays. Our ability to perform work for which we are contracted could also be impacted by the pandemic if our workforce experiences significant infection.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of the COVID-19 pandemic’s effect on our operational and financial performance will depend on future developments. We are not able at this time to estimate the effect of these factors on our business, but the adverse impact on our business, results of operations, financial condition and cash flows could be material.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Additionally, any future pandemics could result in similar conditions to those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Legislative, and Legal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is currently subject to, and may in the future be subject to, litigation or threatened litigation, which may result in liability exposure that could have a material adverse effect on its business and results of operations.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are currently subject to, and may be subject in the future, to litigation or threatened litigation, including claims brought by stockholders and otherwise in the ordinary course of business. In particular, we are subject to ongoing shareholder litigation stemming from the acquisition of Questar Pipelines and are subject to a risk of additional shareholder litigation in the future.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and potential further claims against us may result in significant additional defense costs and potentially significant judgments against us, some of which may not be, or cannot be, insured against. Additionally, whether or not any dispute actually proceeds to litigation, we may be required to pay damages or expenses, which may be significant, or involve our agreement with terms that restrict the operation of our business. Resolution of these types of matters against us may result in our having to pay significant fines, judgments, or settlements, which, if in excess of insured levels, could adversely impact our earnings and cash flows, thereby having an adverse effect on our financial condition, results of operations, cash flows and our ability to pay dividends on, and the per share trading price of, our common stock. As a consequence, liability exposure could materially and adversely affect our business and results of operations to the extent it is not fully mitigated by such insurance coverage. For more information about our ongoing legal proceedings, see </w:t>
      </w:r>
      <w:r>
        <w:rPr>
          <w:rFonts w:ascii="Arial" w:cs="Arial" w:eastAsia="Arial" w:hAnsi="Arial"/>
          <w:sz w:val="16"/>
          <w:szCs w:val="16"/>
          <w:b w:val="1"/>
          <w:bCs w:val="1"/>
          <w:color w:val="auto"/>
        </w:rPr>
        <w:t>Note 10 - Commitments and Contingencies</w:t>
      </w:r>
      <w:r>
        <w:rPr>
          <w:rFonts w:ascii="Arial" w:cs="Arial" w:eastAsia="Arial" w:hAnsi="Arial"/>
          <w:sz w:val="16"/>
          <w:szCs w:val="16"/>
          <w:color w:val="auto"/>
        </w:rPr>
        <w:t xml:space="preserve"> included in the consolidated financial statements of the 2021 Annual Report to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 and regulatory actions can reduce Southwest’s and/or MountainWest’s earnings or cash flows.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PUCN, and FERC relating to allowed rates of return, rate structure,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we are unable to predict what types of conditions might be imposed on Southwest or MountainWest or what types of determinations might be made in pending or future regulatory proceedings or investigations. We nevertheless believe that it is not uncommon for conditions to be imposed in regulatory proceedings, for our regulated operations to agree to conditions as part of a settlement of a regulatory proceeding, or for determinations to be made in regulatory investigations that reduce our</w:t>
      </w: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earnings and liquidity. For example, we may request recovery of a particular operating expense in a general rate case filing that a regulator disallows, negatively impacting our earnings if the expense continues to be incurred. Southwest and MountainWest record regulatory assets in the consolidated financial statements to reflect the ratemaking and regulatory decision-making authority of the regulators, or expected ratemaking treatment to be upheld,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may not be able to rely on rate decoupling to maintain stable financial position, results of operations, and cash flows.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worked with regulatory commissions in designing rate structures that strive to provide affordable and reliable service to our customers while mitigating the volatility in prices to customers and stabilizing returns to investors. Rate structures in all service territories allow Southwest to separate or “decouple” the recovery of operating margin from natural gas consumption, though decoupled structures vary by state. In California, authorized operating margin levels vary by month. In Nevada and Arizona, the decoupled rate structures apply to most customer classes on the basis of margin per customer, which varies by month. Collectively, these mechanisms provide stability in annual operating margin. Significantly warmer-than-normal weather conditions in our service territories and other factors, such as climate change and alternative energy sources, may result in decreased cash flows attributable to lower natural gas sales and delays in recovering regulatory asset balances. Furthermore, continuation of the decoupled rate designs currently in place is subject to regulatory discretion, and if unfavorably modified or discontinued, could adversely impact Southwest’s financial position and results of operations.</w:t>
      </w:r>
    </w:p>
    <w:p>
      <w:pPr>
        <w:spacing w:after="0" w:line="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Southwest and MountainWest may be subject to increased costs related to the operation of natural gas pipelines under recent regulations concerning natural gas pipeline safety, which could have an adverse effect on our results of operations, financial condition, and/or cash flows.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consistently monitoring and maintaining our distribution and transmission systems and storage operations to ensure that natural gas is acquired, stored, and/or delivered safely, reliably, and efficiently. Due to the combustible nature of our (or our customers’)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If these costs are not recoverable in our customer rates, or if there are delays in recoverability due to regulatory lag, they could have a negative impact on our operating costs and financial results, including against our expectations.</w:t>
      </w:r>
    </w:p>
    <w:p>
      <w:pPr>
        <w:spacing w:after="0" w:line="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Our delivery and related systems require numerous permits and other approvals from various federal, state, and local governmental agencies, and others to operate its business,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Southwest’s existing and planned development projects require multiple permits and approvals. The acquisition, ownership and operation of natural gas pipelines and storage facilities require numerous permits, rights-of-way, approvals and certificates from federal, state, and local governmental agencies or others. Various factors may prevent or delay us from completing such projects or may make completion more costly, including the inability to obtain approval, public opposition to the project,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If there is a delay in obtaining any required approvals, or if we fail to obtain or maintain any required approvals, easements or rights of way, or to comply with any applicable laws or regulations, we may not be able to construct or operate our facilities, may not be able to adequately service existing customers or support customer growth, or such conditions could cause us to incur additional costs. These circumstances could negatively impact our earnings.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complete a separation of Centuri from Southwest Gas Holdings on the expected timeline or at all.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2022, the Company announced that its Board of Directors determined to separate Centuri from Southwest Gas Holdings, Inc. and has authorized management to complete the separation within the next nine to twelve months. Management intends to evaluate various alternatives to determine the optimal structure to maximize stockholder value. Depending on the form the separation takes, it will likely be subject to a number of conditions. There can be no assurances that the Company will</w:t>
      </w: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be able to successfully separate Centuri on the anticipated timeline or at all. Furthermore, there can be no assurances that any separation of Centuri would lead to the benefits to stockholders that management currently anticipates.</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may pursue acquisitions and other strategic transactions, the success of which may impact our results of operations, cash flows, and financial condition.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integration of acquisitions, including the integration of MountainWest, requires significant time and resources. Investment of resources would be required to support any acquisition, which could result in significant ongoing operating expenses and may divert resources and management attention from other areas of our business. If we fail to successfully integrate companies we acquire, we may not realize the benefits expected from the transaction and goodwill recorded as a result of the acquisition could be impaired. We assess existing goodwill for impairment annually or more frequently if events or circumstances occur that would more likely than not reduce the fair value of an operating segment below its carrying value. We also assess long-lived assets, including intangible assets associated with acquisitions, for impairment whenever events or circumstances indicate that an asset’s carrying amount may not be recoverable. To the extent the value of goodwill or long-lived assets becomes impaired, the impairment charges could have a material impact on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may be adversely impacted by an economic downturn.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We cannot predict the timing, strength, or duration of any future economic slowdown. If the economy or the markets in which we operate decline from present levels, it may have an adverse effect on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may be adversely impacted by prolonged inflationary periods</w:t>
      </w:r>
      <w:r>
        <w:rPr>
          <w:rFonts w:ascii="Arial" w:cs="Arial" w:eastAsia="Arial" w:hAnsi="Arial"/>
          <w:sz w:val="18"/>
          <w:szCs w:val="18"/>
          <w:color w:val="auto"/>
        </w:rPr>
        <w: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inflation occurs and/or persists for extended periods, our financial condition, results of operations, and cash flows could be adversely affected. These fluctuations and uncertainties make it difficult for us to plan and may limit our ability to timely incorporate increases in costs in our customer rates and pricing. These conditions may adversely impact our results and cash flows.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reduction in Southwest Gas Holdings, Inc. and Southwest’s credit ratings could materially and adversely affect our business, financial condition, and results of operations.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any of our current credit ratings will remain in effect for any given period of time or that a rating will not be lowered or withdrawn entirely by a rating agency if, in its judgment, circumstances in the future so warrant. Our credit ratings are subject to change at any time in the discretion of the applicable ratings agencies. Numerous factors, including many which are not within our control, are considered by the ratings agencies in connection with assigning credit ratings.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otherwise adversely affect our business, financial condition, and results of operations.</w:t>
      </w:r>
    </w:p>
    <w:p>
      <w:pPr>
        <w:spacing w:after="0" w:line="11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plant investment of Southwest consists primarily of transmission and distribution mains, compressor stations, peak shaving/storage facilities, service lines, meters, and regulators, which comprise the pipeline systems and facilities located in and around the communities served. Southwest also includes other properties such as land, buildings, furnishings, work equipment, vehicles, and software systems in utility plant. The northern Nevada and northern California properties of Southwest are referred to as the northern system; the Arizona, southern Nevada, and southern California properties are referred to as the southern system. Total gas plant at December 31, 2021 was $9.1 billion at Southwest, including construction work in progress. It is the opinion of management that the properties of Southwest are suitable and adequate for its purposes.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anticipates no serious difficulties in obtaining future renewals.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respect to the right-of-way grants, Southwest generally has had continuous and uninterrupted possession and use of such rights-of-way, and the associated gas mains and service lines, commencing with the initial stages of construction of such</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facilities. Permits have been obtained from public authorities and other governmental entities in certain instances to cross or to lay facilities along roads and highways. These permits typically are revocable at the election of the grantor, and Southwest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Southwest, through two subsidiaries, operates two primary pipeline transmission systems:</w:t>
      </w:r>
    </w:p>
    <w:p>
      <w:pPr>
        <w:spacing w:after="0" w:line="23" w:lineRule="exact"/>
        <w:rPr>
          <w:sz w:val="20"/>
          <w:szCs w:val="20"/>
          <w:color w:val="auto"/>
        </w:rPr>
      </w:pPr>
    </w:p>
    <w:p>
      <w:pPr>
        <w:ind w:left="66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system (including an LNG storage facility) owned by Great Basin extending from the Idaho-Nevada border to the Reno, Sparks, and Carson City areas and communities in the Lake Tahoe area in both California and Nevada and other communities in northern and western Nevada;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system extending from the Colorado River at the southern tip of Nevada to the Las Vegas distribution area.</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provides natural gas service in parts of Arizona, Nevada, and California. Service areas in Arizona include most of the central and southern areas of the state, including Phoenix, Tucson, Yuma, and surrounding communities. Service areas in northern Nevada include Carson City, Yerington, Fallon, Lovelock, Winnemucca, and Elko. Service areas in southern Nevada include the Las Vegas valley (including Henderson and Boulder City), Laughlin, and Mesquite. Service areas in southern California include Barstow, Big Bear, Needles, and Victorville. Service areas in northern California include the Lake Tahoe area and Truckee.</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MountainWest provides over 2,000 miles of interstate natural gas pipelines and storage facilities in Utah, Wyoming, and Colorado. Plant investment primarily consists of transmission mains, storage facilities, and gas gathering and processing property. Substantially all property is constructed across property owned by others under right-of-way grants, similar to Southwest, with regular renewal, and no serious difficulty is currently expected in obtaining future renewals. MountainWest’s system is strategically located in the Rocky Mountains near large reserves of natural gas in six major producing areas, including the Greater Green River, Uinta, and Piceance basins. MountainWest transports gas from these areas to other major pipeline systems for delivery to markets in the west and midwest including the Dominion Energy local distribution system serving natural gas utility customers in Utah, southwest Wyoming, and southern Idaho. MountainWest owns and operates the Clay Basin storage facility located on the Wyoming-Utah border. Clay Basin is the largest underground storage reservoir in the Rocky Mountain Region. Through wholly-owned subsidiaries, MountainWest owns and operates Dominion Energy Overthrust Pipeline, LLC in southwestern Wyoming. MountainWest also operates and owns 50% of the White River Hub, LLC providing transportation and hub services through interconnections with six interstate pipeline systems and a major processing plant near Meeker, Colorado.</w:t>
      </w:r>
    </w:p>
    <w:p>
      <w:pPr>
        <w:spacing w:after="0" w:line="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properties of Centuri can be found in this Form 10-K under Utility Infrastructure Services under Part I, which by this reference is incorporated herein.</w:t>
      </w:r>
    </w:p>
    <w:p>
      <w:pPr>
        <w:spacing w:after="0" w:line="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maintains liability insurance for various risks associated with the operation of its natural gas pipelines and facilities. In August 2021, a Southwest natural gas pipe was involved in an explosion that injured four individuals and damaged property. The explosion was caused by a leak in the pipe, and is under investigation. Claims are expected to be filed against Southwest. As of December 31, 2021, Southwest recorded a total liability related to this incident equal to its maximum self-insured retention level for the policy year August 2021 to July 2022 of $5 million. An estimate of actual loss greater than this exposure (to be covered by insurance) cannot be estimated as of the date these financial statements are issued.</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addition, the Company and Southwest are named as a defendant in various other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 See </w:t>
      </w:r>
      <w:r>
        <w:rPr>
          <w:rFonts w:ascii="Arial" w:cs="Arial" w:eastAsia="Arial" w:hAnsi="Arial"/>
          <w:sz w:val="17"/>
          <w:szCs w:val="17"/>
          <w:b w:val="1"/>
          <w:bCs w:val="1"/>
          <w:color w:val="auto"/>
        </w:rPr>
        <w:t>Note 10 - Commitments and Contingencies</w:t>
      </w:r>
      <w:r>
        <w:rPr>
          <w:rFonts w:ascii="Arial" w:cs="Arial" w:eastAsia="Arial" w:hAnsi="Arial"/>
          <w:sz w:val="17"/>
          <w:szCs w:val="17"/>
          <w:color w:val="auto"/>
        </w:rPr>
        <w:t xml:space="preserve"> for a discussion on ongoing litigation, including litigation filed by certain stockholders and by funds managed by Carl Icahn.</w:t>
      </w:r>
    </w:p>
    <w:p>
      <w:pPr>
        <w:spacing w:after="0" w:line="10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listing of the executive officers of the Company are set forth under </w:t>
      </w:r>
      <w:r>
        <w:rPr>
          <w:rFonts w:ascii="Arial" w:cs="Arial" w:eastAsia="Arial" w:hAnsi="Arial"/>
          <w:sz w:val="18"/>
          <w:szCs w:val="18"/>
          <w:b w:val="1"/>
          <w:bCs w:val="1"/>
          <w:color w:val="auto"/>
        </w:rPr>
        <w:t>Part III Item 10. DIRECTORS, EXECUTIVE OFFICERS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GOVERNANCE</w:t>
      </w:r>
      <w:r>
        <w:rPr>
          <w:rFonts w:ascii="Arial" w:cs="Arial" w:eastAsia="Arial" w:hAnsi="Arial"/>
          <w:sz w:val="18"/>
          <w:szCs w:val="18"/>
          <w:color w:val="auto"/>
        </w:rPr>
        <w:t>, which by this reference is incorporated herein.</w:t>
      </w: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1260" w:right="6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market on which the common stock of the Company is traded is the New York Stock Exchange and the ticker symbol of the stock is “SWX.” At February 15, 2022, there were 11,159 holders of record of common stock, and the market price of the common stock was $65.22. The dividends on, and information relating to, the Company’s common stock required by this item are included in the 2021 Annual Report to Stockholders filed as an exhibit hereto and incorporated herein by reference.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2022, the Board elected to increase the quarterly dividend from $0.595 to $0.62 per share, representing a 4.2% increase, effective with the June 2022 payment.</w:t>
      </w:r>
    </w:p>
    <w:p>
      <w:pPr>
        <w:spacing w:after="0" w:line="11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is included in the 2021 Annual Report to Stockholders and is incorporated herein by reference.</w:t>
      </w:r>
    </w:p>
    <w:p>
      <w:pPr>
        <w:spacing w:after="0" w:line="15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various forms of market risk, including commodity price risk, rate design risk, interest rate risk, and foreign currency exchange rate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exposure to these risks.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managing its natural gas supply portfolios, Southwest has historically entered short duration (generally one year or less) fixed-price contracts for its California rate jurisdictions, as well as variable-price contracts (firm and spot) for all its rate jurisdictions. Southwest has experienced price volatility over the past several years and such volatility is expected to continue into 2022 and beyond.</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is protected financially from commodity price risk by deferred energy or purchased gas adjustment (collectively “PGA”) mechanisms in each of its jurisdictions. These mechanisms generally allow Southwest to defer over- or under-collections of gas costs to PGA balancing accounts. With regulatory approval, Southwest can either refund amounts over-collected, or recoup amounts under-collected in future periods. In addition to the PGA mechanism, Southwest has historically utilized a Volatility Mitigation Program in an attempt to further reduce price volatility for its California rate jurisdiction customers. During 2021, Southwest continued to fix the price on a portion of its California natural gas portfolios using fixed-price contracts. For periods beyond October 2020, Southwest does not currently plan to make fixed-price term or swap purchases broadly for the Arizona or Nevada jurisdictions; however, it will continue to make fixed-price purchases for the California jurisdictions.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Southwest’s natural gas purchasing practices are subject to prudence reviews by the various regulatory bodies in each jurisdiction. PGA changes affect cash flows and potentially short-term borrowing requirements, but do not directly impact profit margin.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Design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Rate design is the primary mechanism available to Southwest to mitigate weather risk. All of Southwest’s service territories have decoupled rate structures which mitigate weather risk. In California, CPUC regulations allow Southwest to decouple operating margin from usage and offset weather risk based on monthly margin levels. In Nevada and Arizona, a decoupled rate structure applies to most customer classes based on monthly margin per customer benchmarks. All such mechanisms provide stability in annual operating margin by insulating us from variations in customer usage associated with abnormal weather conditions (including margin protection during warm weather and limits on margin during cold weather). Southwest is not assured that decoupled rate structures will continue to be supported in future rate cases.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Similarly, Southwest has in place ongoing infrastructure replacement protocol for certain pipe replacement activity. These programs are designed to mitigate the financial attrition associated with pipe replacement activity between rate cases by</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providing for the recovery of and return on expenditures. The programs have included the replacement of Early Vintage Plastic Pipe, Vintage Steel Pipe, and Customer-Owned Yard Lines, in addition to the conversion of master-metered mobile home parks to individually metered mobile homes. Southwest is not assured that currently approved programs will continue to be supported in future regulatory proceedings.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MountainWest’s regulated rate design, under the jurisdiction of the FERC, provides for a substantial portion of its rate structures based on fixed reservations and storage charges and it is not assured that currently approved structures will continue to be supported in future filings or proceedings.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interest rates could adversely affect earnings or cash flows. The primary interest rate risks for the Company are the risk of increasing interest rates on variable-rate obligations and the risk of increasing interest rates between the time of an anticipated debt offering and the time of actual issuance. Interest rate risk sensitivity analysis is used to measure this risk by computing estimated changes in cash flows as a result of assumed changes in market interest rates. In Nevada, fluctuations in interest rates on $150 million of variable-rate tax-exempt Industrial Development Revenue Bonds (“IDRBs”) are tracked and recovered from customers through a variable interest expense recovery mechanism, which mitigates risk to earnings and cash flows from interest rate fluctuations on these IDRBs. The following table represents the variable rate debt as of December 31, 2021 and 2020 and interest rate sensitivity analysis for a hypothetical 1% change in interest rates, assuming a constant outstanding balance in such debt over the next twelve months: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Increase/Decrease</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Increase/Decrease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in Interest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1"/>
              </w:rPr>
              <w:t>in Interest</w:t>
            </w:r>
          </w:p>
        </w:tc>
        <w:tc>
          <w:tcPr>
            <w:tcW w:w="0" w:type="dxa"/>
            <w:vAlign w:val="bottom"/>
          </w:tcPr>
          <w:p>
            <w:pPr>
              <w:spacing w:after="0"/>
              <w:rPr>
                <w:sz w:val="1"/>
                <w:szCs w:val="1"/>
                <w:color w:val="auto"/>
              </w:rPr>
            </w:pPr>
          </w:p>
        </w:tc>
      </w:tr>
      <w:tr>
        <w:trPr>
          <w:trHeight w:val="162"/>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360" w:type="dxa"/>
            <w:vAlign w:val="bottom"/>
          </w:tcPr>
          <w:p>
            <w:pPr>
              <w:spacing w:after="0"/>
              <w:rPr>
                <w:sz w:val="14"/>
                <w:szCs w:val="14"/>
                <w:color w:val="auto"/>
              </w:rPr>
            </w:pPr>
          </w:p>
        </w:tc>
        <w:tc>
          <w:tcPr>
            <w:tcW w:w="14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2021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360" w:type="dxa"/>
            <w:vAlign w:val="bottom"/>
          </w:tcPr>
          <w:p>
            <w:pPr>
              <w:spacing w:after="0"/>
              <w:rPr>
                <w:sz w:val="14"/>
                <w:szCs w:val="14"/>
                <w:color w:val="auto"/>
              </w:rPr>
            </w:pPr>
          </w:p>
        </w:tc>
        <w:tc>
          <w:tcPr>
            <w:tcW w:w="13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2020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5"/>
              <w:spacing w:after="0" w:line="162" w:lineRule="exact"/>
              <w:rPr>
                <w:sz w:val="20"/>
                <w:szCs w:val="20"/>
                <w:color w:val="auto"/>
              </w:rPr>
            </w:pPr>
            <w:r>
              <w:rPr>
                <w:rFonts w:ascii="Arial" w:cs="Arial" w:eastAsia="Arial" w:hAnsi="Arial"/>
                <w:sz w:val="16"/>
                <w:szCs w:val="16"/>
                <w:b w:val="1"/>
                <w:bCs w:val="1"/>
                <w:color w:val="auto"/>
                <w:w w:val="92"/>
              </w:rPr>
              <w:t>Expense from 1%</w:t>
            </w:r>
          </w:p>
        </w:tc>
        <w:tc>
          <w:tcPr>
            <w:tcW w:w="0" w:type="dxa"/>
            <w:vAlign w:val="bottom"/>
          </w:tcPr>
          <w:p>
            <w:pPr>
              <w:spacing w:after="0"/>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Rate Change</w:t>
            </w:r>
          </w:p>
        </w:tc>
        <w:tc>
          <w:tcPr>
            <w:tcW w:w="3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Rate Change</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Variable Rate Debt:</w:t>
            </w:r>
          </w:p>
        </w:tc>
        <w:tc>
          <w:tcPr>
            <w:tcW w:w="3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Southwest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Centuri</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Arial" w:cs="Arial" w:eastAsia="Arial" w:hAnsi="Arial"/>
                <w:sz w:val="18"/>
                <w:szCs w:val="18"/>
                <w:color w:val="auto"/>
              </w:rPr>
              <w:t>Total Southwest Gas Holdings,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0" w:hanging="230"/>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Excludes the IDRBs noted above.</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owns infrastructure services businesses that operate in Canada. Due to these operations, the Company is exposed to market risk associated with currency exchange rate fluctuations between the Canadian dollar and the U.S. dollar. Foreign currency translation risk is the risk that exchange rate gains or losses arise from translating foreign entities’ statements of income and balance sheets from their functional currency (the Canadian Dollar) to our reporting currency (the U.S. Dollar) for consolidation purposes. During 2021, translation adjustments due to fluctuations in exchange rates were not significant. We do not have significant exposure to other foreign currency exchange rate fluctuations.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risk information is included in </w:t>
      </w:r>
      <w:r>
        <w:rPr>
          <w:rFonts w:ascii="Arial" w:cs="Arial" w:eastAsia="Arial" w:hAnsi="Arial"/>
          <w:sz w:val="18"/>
          <w:szCs w:val="18"/>
          <w:b w:val="1"/>
          <w:bCs w:val="1"/>
          <w:color w:val="auto"/>
        </w:rPr>
        <w:t>Item 1A. Risk Factors</w:t>
      </w:r>
      <w:r>
        <w:rPr>
          <w:rFonts w:ascii="Arial" w:cs="Arial" w:eastAsia="Arial" w:hAnsi="Arial"/>
          <w:sz w:val="18"/>
          <w:szCs w:val="18"/>
          <w:color w:val="auto"/>
        </w:rPr>
        <w:t xml:space="preserve"> of this report.</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of Southwest Gas Holdings and Subsidiaries, and of Southwest, including the notes thereto, together with the reports of PricewaterhouseCoopers LLP, are included in the 2021 Annual Report to Stockholders and are incorporated herein by reference.</w:t>
      </w:r>
    </w:p>
    <w:p>
      <w:pPr>
        <w:spacing w:after="0" w:line="7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w:t>
      </w: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7"/>
          <w:szCs w:val="17"/>
          <w:color w:val="auto"/>
        </w:rPr>
        <w:t>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2021,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December 31, 2021,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reports of management of Southwest Gas Holdings, Inc. and Southwest Gas Corporation required to be included herein are incorporated by reference to the information reported in the 2021 Annual Report to Stockholders under the caption “Management’s Reports on Internal Control Over Financial Reporting.”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of the independent registered public accounting firm required to be included herein by Southwest Gas Holdings, Inc. is incorporated by reference to the information reported in the 2021 Annual Report to Stockholders under the caption “Report of Independent Registered Public Accounting Firm.”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Southwest Gas Corporation’s registered public accounting firm regarding internal control over financial reporting pursuant to rules of the SEC that permit Southwest Gas Corporation to provide only management’s report in this annual report on Form 10-K.</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the Company, through its utility infrastructure services subsidiary, completed the acquisition of Drum Parent LLC, formerly Drum Parent, Inc. (“Drum”) and its U.S. operations consisting principally of the utility infrastructure services operations of Drum’s primary subsidiary, Riggs Distler, a privately held infrastructure services business. Existing assets of the acquired business represent 2% of consolidated total assets of the Company and 4% of its consolidated revenues for the period ended December 31, 2021 and is not significant to the Company’s consolidated financial statements. As permitted by SEC guidance for newly acquired businesses, the Company’s management elected to exclude Riggs Distler from its evaluation of disclosure controls and procedures and management’s report on internal control over financial reporting from the date of the acquisition through December 31, 2021. The Company’s management is in the process of reviewing the operations of Riggs Distler and implementing the Company’s internal control structure over the acquired operations. This review will be completed in 2022.</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2021, the Company completed the acquisition of Questar Pipelines. Existing assets of the acquired business represent 9% of consolidated total assets of the Company and none of its revenues for the period ended December 31, 2021 and is not significant to the Company’s consolidated financial statements. As permitted by SEC guidance for newly acquired businesses, the Company’s management elected to exclude Questar Pipelines from its evaluation of disclosure controls and procedures and management’s report on internal control over financial reporting for the period ended December 31, 2021. The Company’s management is in the process of reviewing the operations of Questar Pipelines and implementing the Company’s internal control structure over the acquired operations. This review will be completed in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the Company’s internal control over financial reporting (as defined in Rules 13a-15(f) and 15d-15(f) of the Exchange Act) during the fourth quarter of 2021 that have materially affected, or are likely to materially affect, the Company’s internal control over financial reporting.</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Southwest’s internal control over financial reporting (as defined in Rules 13a-15(f) and 15d-15(f) of the Exchange Act) during the fourth quarter of 2021 that have materially affected, or are likely to materially affect Southwest’s internal control over financial reporting.</w:t>
      </w:r>
    </w:p>
    <w:p>
      <w:pPr>
        <w:spacing w:after="0" w:line="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8"/>
        <w:spacing w:after="0" w:line="308"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Identification of Directors. </w:t>
      </w:r>
      <w:r>
        <w:rPr>
          <w:rFonts w:ascii="Arial" w:cs="Arial" w:eastAsia="Arial" w:hAnsi="Arial"/>
          <w:sz w:val="17"/>
          <w:szCs w:val="17"/>
          <w:color w:val="auto"/>
        </w:rPr>
        <w:t>Information with respect to Directors will be set forth under the heading “Election of Directors” in the definitive 2022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which will be filed with the SEC within 120 days after December 31, 2021 and by this reference is incorporated herein.</w:t>
      </w:r>
    </w:p>
    <w:p>
      <w:pPr>
        <w:spacing w:after="0" w:line="38" w:lineRule="exact"/>
        <w:rPr>
          <w:rFonts w:ascii="Arial" w:cs="Arial" w:eastAsia="Arial" w:hAnsi="Arial"/>
          <w:sz w:val="17"/>
          <w:szCs w:val="17"/>
          <w:color w:val="auto"/>
        </w:rPr>
      </w:pPr>
    </w:p>
    <w:p>
      <w:pPr>
        <w:ind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following sets forth the name, age, position, and period the position was held during the last five years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Executive Officers as of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620" w:type="dxa"/>
            <w:vAlign w:val="bottom"/>
            <w:gridSpan w:val="2"/>
            <w:vMerge w:val="restart"/>
          </w:tcPr>
          <w:p>
            <w:pPr>
              <w:ind w:left="1960"/>
              <w:spacing w:after="0"/>
              <w:rPr>
                <w:sz w:val="20"/>
                <w:szCs w:val="20"/>
                <w:color w:val="auto"/>
              </w:rPr>
            </w:pPr>
            <w:r>
              <w:rPr>
                <w:rFonts w:ascii="Arial" w:cs="Arial" w:eastAsia="Arial" w:hAnsi="Arial"/>
                <w:sz w:val="18"/>
                <w:szCs w:val="18"/>
                <w:b w:val="1"/>
                <w:bCs w:val="1"/>
                <w:color w:val="auto"/>
              </w:rPr>
              <w:t>Position</w:t>
            </w: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rPr>
              <w:t>Period Position</w:t>
            </w:r>
          </w:p>
        </w:tc>
        <w:tc>
          <w:tcPr>
            <w:tcW w:w="0" w:type="dxa"/>
            <w:vAlign w:val="bottom"/>
          </w:tcPr>
          <w:p>
            <w:pPr>
              <w:spacing w:after="0"/>
              <w:rPr>
                <w:sz w:val="1"/>
                <w:szCs w:val="1"/>
                <w:color w:val="auto"/>
              </w:rPr>
            </w:pPr>
          </w:p>
        </w:tc>
      </w:tr>
      <w:tr>
        <w:trPr>
          <w:trHeight w:val="229"/>
        </w:trPr>
        <w:tc>
          <w:tcPr>
            <w:tcW w:w="3080" w:type="dxa"/>
            <w:vAlign w:val="bottom"/>
            <w:gridSpan w:val="2"/>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720" w:type="dxa"/>
            <w:vAlign w:val="bottom"/>
          </w:tcPr>
          <w:p>
            <w:pPr>
              <w:ind w:left="680"/>
              <w:spacing w:after="0"/>
              <w:rPr>
                <w:sz w:val="20"/>
                <w:szCs w:val="20"/>
                <w:color w:val="auto"/>
              </w:rPr>
            </w:pPr>
            <w:r>
              <w:rPr>
                <w:rFonts w:ascii="Arial" w:cs="Arial" w:eastAsia="Arial" w:hAnsi="Arial"/>
                <w:sz w:val="18"/>
                <w:szCs w:val="18"/>
                <w:b w:val="1"/>
                <w:bCs w:val="1"/>
                <w:color w:val="auto"/>
              </w:rPr>
              <w:t>Held</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P. Hester</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2017-Present</w:t>
            </w:r>
          </w:p>
        </w:tc>
        <w:tc>
          <w:tcPr>
            <w:tcW w:w="0" w:type="dxa"/>
            <w:vAlign w:val="bottom"/>
          </w:tcPr>
          <w:p>
            <w:pPr>
              <w:spacing w:after="0"/>
              <w:rPr>
                <w:sz w:val="1"/>
                <w:szCs w:val="1"/>
                <w:color w:val="auto"/>
              </w:rPr>
            </w:pPr>
          </w:p>
        </w:tc>
      </w:tr>
      <w:tr>
        <w:trPr>
          <w:trHeight w:val="175"/>
        </w:trPr>
        <w:tc>
          <w:tcPr>
            <w:tcW w:w="3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Karen S. Haller</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5"/>
                <w:szCs w:val="15"/>
                <w:color w:val="auto"/>
              </w:rPr>
            </w:pPr>
          </w:p>
        </w:tc>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President/Chief Legal and Administrative</w:t>
            </w:r>
          </w:p>
        </w:tc>
        <w:tc>
          <w:tcPr>
            <w:tcW w:w="1720" w:type="dxa"/>
            <w:vAlign w:val="bottom"/>
            <w:vMerge w:val="restart"/>
          </w:tcPr>
          <w:p>
            <w:pPr>
              <w:ind w:left="20"/>
              <w:spacing w:after="0"/>
              <w:rPr>
                <w:sz w:val="20"/>
                <w:szCs w:val="20"/>
                <w:color w:val="auto"/>
              </w:rPr>
            </w:pPr>
            <w:r>
              <w:rPr>
                <w:rFonts w:ascii="Arial" w:cs="Arial" w:eastAsia="Arial" w:hAnsi="Arial"/>
                <w:sz w:val="18"/>
                <w:szCs w:val="18"/>
                <w:color w:val="auto"/>
              </w:rPr>
              <w:t>2019-Present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Officer *</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President/Chief Legal and Administrative</w:t>
            </w:r>
          </w:p>
        </w:tc>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2018-2019</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 and Corporate Secretary *</w:t>
            </w: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President/General Counsel and Corporate</w:t>
            </w:r>
          </w:p>
        </w:tc>
        <w:tc>
          <w:tcPr>
            <w:tcW w:w="1720" w:type="dxa"/>
            <w:vAlign w:val="bottom"/>
            <w:vMerge w:val="restart"/>
          </w:tcPr>
          <w:p>
            <w:pPr>
              <w:ind w:left="20"/>
              <w:spacing w:after="0"/>
              <w:rPr>
                <w:sz w:val="20"/>
                <w:szCs w:val="20"/>
                <w:color w:val="auto"/>
              </w:rPr>
            </w:pPr>
            <w:r>
              <w:rPr>
                <w:rFonts w:ascii="Arial" w:cs="Arial" w:eastAsia="Arial" w:hAnsi="Arial"/>
                <w:sz w:val="18"/>
                <w:szCs w:val="18"/>
                <w:color w:val="auto"/>
              </w:rPr>
              <w:t>2017-2018</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Secretary *</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J. Peterson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President/Chief Financial Officer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2018-Present</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Vice President/Controller/Chief Accounting Officer *</w:t>
            </w:r>
          </w:p>
        </w:tc>
        <w:tc>
          <w:tcPr>
            <w:tcW w:w="1720" w:type="dxa"/>
            <w:vAlign w:val="bottom"/>
          </w:tcPr>
          <w:p>
            <w:pPr>
              <w:ind w:left="20"/>
              <w:spacing w:after="0"/>
              <w:rPr>
                <w:sz w:val="20"/>
                <w:szCs w:val="20"/>
                <w:color w:val="auto"/>
              </w:rPr>
            </w:pPr>
            <w:r>
              <w:rPr>
                <w:rFonts w:ascii="Arial" w:cs="Arial" w:eastAsia="Arial" w:hAnsi="Arial"/>
                <w:sz w:val="18"/>
                <w:szCs w:val="18"/>
                <w:color w:val="auto"/>
              </w:rPr>
              <w:t>2017-2018</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DeBonis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President/Operations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2017-Present</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Justin L. Brown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Senior Vice President/General Counsel **</w:t>
            </w:r>
          </w:p>
        </w:tc>
        <w:tc>
          <w:tcPr>
            <w:tcW w:w="1720" w:type="dxa"/>
            <w:vAlign w:val="bottom"/>
          </w:tcPr>
          <w:p>
            <w:pPr>
              <w:ind w:left="20"/>
              <w:spacing w:after="0"/>
              <w:rPr>
                <w:sz w:val="20"/>
                <w:szCs w:val="20"/>
                <w:color w:val="auto"/>
              </w:rPr>
            </w:pPr>
            <w:r>
              <w:rPr>
                <w:rFonts w:ascii="Arial" w:cs="Arial" w:eastAsia="Arial" w:hAnsi="Arial"/>
                <w:sz w:val="18"/>
                <w:szCs w:val="18"/>
                <w:color w:val="auto"/>
              </w:rPr>
              <w:t>2018-Present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President/Regulation &amp; Public Affairs **</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2017-2018</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Paul M. Daily</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0"/>
                <w:szCs w:val="20"/>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w w:val="98"/>
              </w:rPr>
              <w:t>President and Chief Executive Officer - Centuri Group, Inc.</w:t>
            </w:r>
          </w:p>
        </w:tc>
        <w:tc>
          <w:tcPr>
            <w:tcW w:w="1720" w:type="dxa"/>
            <w:vAlign w:val="bottom"/>
          </w:tcPr>
          <w:p>
            <w:pPr>
              <w:ind w:left="20"/>
              <w:spacing w:after="0"/>
              <w:rPr>
                <w:sz w:val="20"/>
                <w:szCs w:val="20"/>
                <w:color w:val="auto"/>
              </w:rPr>
            </w:pPr>
            <w:r>
              <w:rPr>
                <w:rFonts w:ascii="Arial" w:cs="Arial" w:eastAsia="Arial" w:hAnsi="Arial"/>
                <w:sz w:val="18"/>
                <w:szCs w:val="18"/>
                <w:color w:val="auto"/>
              </w:rPr>
              <w:t>2017-Present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80" w:hanging="65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Position held at Southwest Gas Holdings, Inc. (formed January 2017) and Southwest Gas Corporation</w:t>
      </w:r>
    </w:p>
    <w:p>
      <w:pPr>
        <w:spacing w:after="0" w:line="144" w:lineRule="exact"/>
        <w:rPr>
          <w:sz w:val="20"/>
          <w:szCs w:val="20"/>
          <w:color w:val="auto"/>
        </w:rPr>
      </w:pPr>
    </w:p>
    <w:p>
      <w:pPr>
        <w:ind w:left="680" w:hanging="65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Position held at Southwest Gas Corporation only</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Identification of Certain Significant Employees.</w:t>
      </w:r>
      <w:r>
        <w:rPr>
          <w:rFonts w:ascii="Arial" w:cs="Arial" w:eastAsia="Arial" w:hAnsi="Arial"/>
          <w:sz w:val="18"/>
          <w:szCs w:val="18"/>
          <w:color w:val="auto"/>
        </w:rPr>
        <w:t xml:space="preserve"> None.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Family Relationships.</w:t>
      </w:r>
      <w:r>
        <w:rPr>
          <w:rFonts w:ascii="Arial" w:cs="Arial" w:eastAsia="Arial" w:hAnsi="Arial"/>
          <w:sz w:val="18"/>
          <w:szCs w:val="18"/>
          <w:color w:val="auto"/>
        </w:rPr>
        <w:t xml:space="preserve"> No Directors or Executive Officers are related either by blood, marriage, or adoption.</w:t>
      </w:r>
    </w:p>
    <w:p>
      <w:pPr>
        <w:spacing w:after="0" w:line="117" w:lineRule="exact"/>
        <w:rPr>
          <w:sz w:val="20"/>
          <w:szCs w:val="20"/>
          <w:color w:val="auto"/>
        </w:rPr>
      </w:pPr>
    </w:p>
    <w:p>
      <w:pPr>
        <w:jc w:val="both"/>
        <w:ind w:right="20" w:firstLine="8"/>
        <w:spacing w:after="0" w:line="263"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Business Experience</w:t>
      </w:r>
      <w:r>
        <w:rPr>
          <w:rFonts w:ascii="Arial" w:cs="Arial" w:eastAsia="Arial" w:hAnsi="Arial"/>
          <w:sz w:val="18"/>
          <w:szCs w:val="18"/>
          <w:color w:val="auto"/>
        </w:rPr>
        <w:t>. Information with respect to Directors will be set forth under the heading “Election of Directors” in the definitive 2022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which will be filed with the SEC within 120 days after December 31, 2021 and by this reference is incorporated herein. All executive officers have held responsible positions with the Company for at least five years as described in (b) above.</w:t>
      </w:r>
    </w:p>
    <w:p>
      <w:pPr>
        <w:spacing w:after="0" w:line="7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Involvement in Certain Legal Proceedings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Promoters and Control Persons</w:t>
      </w:r>
      <w:r>
        <w:rPr>
          <w:rFonts w:ascii="Arial" w:cs="Arial" w:eastAsia="Arial" w:hAnsi="Arial"/>
          <w:sz w:val="18"/>
          <w:szCs w:val="18"/>
          <w:color w:val="auto"/>
        </w:rPr>
        <w:t>. None.</w:t>
      </w:r>
    </w:p>
    <w:p>
      <w:pPr>
        <w:spacing w:after="0" w:line="117" w:lineRule="exact"/>
        <w:rPr>
          <w:rFonts w:ascii="Arial" w:cs="Arial" w:eastAsia="Arial" w:hAnsi="Arial"/>
          <w:sz w:val="18"/>
          <w:szCs w:val="18"/>
          <w:color w:val="auto"/>
        </w:rPr>
      </w:pPr>
    </w:p>
    <w:p>
      <w:pPr>
        <w:jc w:val="both"/>
        <w:ind w:firstLine="8"/>
        <w:spacing w:after="0" w:line="26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Information with respect to the designated financial experts of the Board of Directors’ audit committee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the heading “Committees of the Board” in the definitive 2022 Proxy Statement, which will be filed with the SEC within 120 days after December 31, 2021 and by this reference is incorporated herein.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i)</w:t>
      </w:r>
      <w:r>
        <w:rPr>
          <w:rFonts w:ascii="Arial" w:cs="Arial" w:eastAsia="Arial" w:hAnsi="Arial"/>
          <w:sz w:val="18"/>
          <w:szCs w:val="18"/>
          <w:i w:val="1"/>
          <w:iCs w:val="1"/>
          <w:color w:val="auto"/>
        </w:rPr>
        <w:t xml:space="preserve"> Identification of the Audit Committee</w:t>
      </w:r>
      <w:r>
        <w:rPr>
          <w:rFonts w:ascii="Arial" w:cs="Arial" w:eastAsia="Arial" w:hAnsi="Arial"/>
          <w:sz w:val="18"/>
          <w:szCs w:val="18"/>
          <w:color w:val="auto"/>
        </w:rPr>
        <w:t>. Information with respect to the composition of the Board of Directors’ audit committee will be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“Committees of the Board” in the definitive 2022 Proxy Statement, which will be filed with the SEC within 120 days after December 31, 2021 and by this reference is incorporated herein.</w:t>
      </w:r>
    </w:p>
    <w:p>
      <w:pPr>
        <w:spacing w:after="0" w:line="76"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Director Nomination Procedures for Security Holders. </w:t>
      </w:r>
      <w:r>
        <w:rPr>
          <w:rFonts w:ascii="Arial" w:cs="Arial" w:eastAsia="Arial" w:hAnsi="Arial"/>
          <w:sz w:val="18"/>
          <w:szCs w:val="18"/>
          <w:color w:val="auto"/>
        </w:rPr>
        <w:t>None.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Delinquent Section 16(a) Reports. </w:t>
      </w:r>
      <w:r>
        <w:rPr>
          <w:rFonts w:ascii="Arial" w:cs="Arial" w:eastAsia="Arial" w:hAnsi="Arial"/>
          <w:sz w:val="18"/>
          <w:szCs w:val="18"/>
          <w:color w:val="auto"/>
        </w:rPr>
        <w:t>Information with respect to delinquent Section 16(a) reports will be set forth under the heading “Delinquent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16(a) Reports” in the definitive 2022 Proxy Statement, which will be filed with the SEC within 120 days after December 31, 2021 and by this reference is incorporated herein.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Code of Business Conduct and Ethics. </w:t>
      </w:r>
      <w:r>
        <w:rPr>
          <w:rFonts w:ascii="Arial" w:cs="Arial" w:eastAsia="Arial" w:hAnsi="Arial"/>
          <w:sz w:val="18"/>
          <w:szCs w:val="18"/>
          <w:color w:val="auto"/>
        </w:rPr>
        <w:t>We have adopted a code of business conduct and ethics for employees, including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chief financial officer, chief accounting officer, and non-employee directors. A code of ethics is defined as written standards that are reasonably designed to deter wrongdoing and to promote: 1) honest and ethical</w:t>
      </w: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 xml:space="preserve">conduct; 2) full, fair, accurate, timely, and understandable disclosure in reports and documents that a registrant files; 3) compliance with applicable governmental laws, rules, and regulations; 4) the prompt internal reporting of violations of the code to an appropriate person or persons identified in the code; and 5) accountability for adherence to the code. The Code of Business Conduct and Ethics can be viewed on our website (www.swgasholdings.com). If any substantive amendments to the Code of Business Conduct and Ethics are made or any waivers are granted, including any implicit waiver, from a provision of the Code of Business Conduct and Ethics, to our president and chief executive officer, chief financial officer and chief accounting officer, the nature of such amendment or waiver will be disclosed on </w:t>
      </w:r>
      <w:r>
        <w:rPr>
          <w:rFonts w:ascii="Arial" w:cs="Arial" w:eastAsia="Arial" w:hAnsi="Arial"/>
          <w:sz w:val="17"/>
          <w:szCs w:val="17"/>
          <w:u w:val="single" w:color="auto"/>
          <w:color w:val="auto"/>
        </w:rPr>
        <w:t>www.swgasholdings.com</w:t>
      </w:r>
      <w:r>
        <w:rPr>
          <w:rFonts w:ascii="Arial" w:cs="Arial" w:eastAsia="Arial" w:hAnsi="Arial"/>
          <w:sz w:val="17"/>
          <w:szCs w:val="17"/>
          <w:color w:val="auto"/>
        </w:rPr>
        <w:t>.</w:t>
      </w:r>
    </w:p>
    <w:p>
      <w:pPr>
        <w:spacing w:after="0" w:line="1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with respect to executive compensation will be set forth under the heading “Executive Compensation” in the definitive 2022 Proxy Statement, which will be filed with the SEC within 120 days after December 31, 2021 and by this reference is incorporated herein.</w:t>
      </w:r>
    </w:p>
    <w:p>
      <w:pPr>
        <w:spacing w:after="0" w:line="62" w:lineRule="exact"/>
        <w:rPr>
          <w:sz w:val="20"/>
          <w:szCs w:val="20"/>
          <w:color w:val="auto"/>
        </w:rPr>
      </w:pPr>
    </w:p>
    <w:p>
      <w:pPr>
        <w:jc w:val="both"/>
        <w:ind w:firstLine="8"/>
        <w:spacing w:after="0" w:line="263" w:lineRule="auto"/>
        <w:tabs>
          <w:tab w:leader="none" w:pos="29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Interlocks and Insider Participation. </w:t>
      </w:r>
      <w:r>
        <w:rPr>
          <w:rFonts w:ascii="Arial" w:cs="Arial" w:eastAsia="Arial" w:hAnsi="Arial"/>
          <w:sz w:val="18"/>
          <w:szCs w:val="18"/>
          <w:color w:val="auto"/>
        </w:rPr>
        <w:t>Information with respect to Compensation Committee interlocks and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is set forth under the heading “Governance of the Company” in the definitive 2022 Proxy Statement, which will be filed with the SEC within 120 days after December 31, 2021 and by this reference is incorporated herein.</w:t>
      </w:r>
    </w:p>
    <w:p>
      <w:pPr>
        <w:spacing w:after="0" w:line="75" w:lineRule="exact"/>
        <w:rPr>
          <w:rFonts w:ascii="Arial" w:cs="Arial" w:eastAsia="Arial" w:hAnsi="Arial"/>
          <w:sz w:val="18"/>
          <w:szCs w:val="18"/>
          <w:color w:val="auto"/>
        </w:rPr>
      </w:pPr>
    </w:p>
    <w:p>
      <w:pPr>
        <w:jc w:val="both"/>
        <w:ind w:firstLine="8"/>
        <w:spacing w:after="0" w:line="263" w:lineRule="auto"/>
        <w:tabs>
          <w:tab w:leader="none" w:pos="28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Report. </w:t>
      </w:r>
      <w:r>
        <w:rPr>
          <w:rFonts w:ascii="Arial" w:cs="Arial" w:eastAsia="Arial" w:hAnsi="Arial"/>
          <w:sz w:val="18"/>
          <w:szCs w:val="18"/>
          <w:color w:val="auto"/>
        </w:rPr>
        <w:t>Information with respect to the Compensation Committee Report is set forth under the heading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 in the definitive 2022 Proxy Statement, which will be filed with the SEC within 120 days after December 31, 2021 and by this reference is incorporated herein.</w:t>
      </w:r>
    </w:p>
    <w:p>
      <w:pPr>
        <w:spacing w:after="0" w:line="112" w:lineRule="exact"/>
        <w:rPr>
          <w:sz w:val="20"/>
          <w:szCs w:val="20"/>
          <w:color w:val="auto"/>
        </w:rPr>
      </w:pPr>
    </w:p>
    <w:p>
      <w:pPr>
        <w:ind w:left="1260" w:right="10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95" w:lineRule="exact"/>
        <w:rPr>
          <w:sz w:val="20"/>
          <w:szCs w:val="20"/>
          <w:color w:val="auto"/>
        </w:rPr>
      </w:pPr>
    </w:p>
    <w:p>
      <w:pPr>
        <w:jc w:val="both"/>
        <w:ind w:firstLine="8"/>
        <w:spacing w:after="0" w:line="286"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Security Ownership of Certain Beneficial Owners. </w:t>
      </w:r>
      <w:r>
        <w:rPr>
          <w:rFonts w:ascii="Arial" w:cs="Arial" w:eastAsia="Arial" w:hAnsi="Arial"/>
          <w:sz w:val="17"/>
          <w:szCs w:val="17"/>
          <w:color w:val="auto"/>
        </w:rPr>
        <w:t>Information with respect to security ownership of certain beneficial owners is set forth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heading “Securities Ownership by Directors, Director Nominees, Executive Officers, and Certain Beneficial Owners” in the definitive 2022 Proxy Statement, which will be filed with the SEC within 120 days after December 31, 2021 and by this reference is incorporated herein.</w:t>
      </w:r>
    </w:p>
    <w:p>
      <w:pPr>
        <w:spacing w:after="0" w:line="57" w:lineRule="exact"/>
        <w:rPr>
          <w:rFonts w:ascii="Arial" w:cs="Arial" w:eastAsia="Arial" w:hAnsi="Arial"/>
          <w:sz w:val="17"/>
          <w:szCs w:val="17"/>
          <w:color w:val="auto"/>
        </w:rPr>
      </w:pPr>
    </w:p>
    <w:p>
      <w:pPr>
        <w:jc w:val="both"/>
        <w:ind w:firstLine="8"/>
        <w:spacing w:after="0" w:line="263"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Security Ownership of Management. </w:t>
      </w:r>
      <w:r>
        <w:rPr>
          <w:rFonts w:ascii="Arial" w:cs="Arial" w:eastAsia="Arial" w:hAnsi="Arial"/>
          <w:sz w:val="18"/>
          <w:szCs w:val="18"/>
          <w:color w:val="auto"/>
        </w:rPr>
        <w:t>Information with respect to security ownership of management is set forth under the heading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by Directors, Director Nominees, Executive Officers, and Certain Beneficial Owners” in the definitive 2022 Proxy Statement, which will be filed with the SEC within 120 days after December 31, 2021 and by this reference is incorporated herein.</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Control. </w:t>
      </w: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securities authorized for issuance under the Company’s equity compensation plans at December 31, 2021.</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54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(Thousands of shares)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Equity compensation plans approved by security holders (1)</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Equity compensation plans not approved by security holders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Weighted-average</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Number of securities</w:t>
            </w:r>
          </w:p>
        </w:tc>
      </w:tr>
      <w:tr>
        <w:trPr>
          <w:trHeight w:val="135"/>
        </w:trPr>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securities</w:t>
            </w:r>
          </w:p>
        </w:tc>
        <w:tc>
          <w:tcPr>
            <w:tcW w:w="18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grant</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4"/>
              </w:rPr>
              <w:t>remaining available</w:t>
            </w:r>
          </w:p>
        </w:tc>
      </w:tr>
      <w:tr>
        <w:trPr>
          <w:trHeight w:val="135"/>
        </w:trPr>
        <w:tc>
          <w:tcPr>
            <w:tcW w:w="204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0"/>
              </w:rPr>
              <w:t>to be issued</w:t>
            </w: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4"/>
              </w:rPr>
              <w:t>date fair</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3"/>
              </w:rPr>
              <w:t>for future issuance</w:t>
            </w:r>
          </w:p>
        </w:tc>
      </w:tr>
      <w:tr>
        <w:trPr>
          <w:trHeight w:val="135"/>
        </w:trPr>
        <w:tc>
          <w:tcPr>
            <w:tcW w:w="2040" w:type="dxa"/>
            <w:vAlign w:val="bottom"/>
            <w:gridSpan w:val="2"/>
          </w:tcPr>
          <w:p>
            <w:pPr>
              <w:ind w:left="840"/>
              <w:spacing w:after="0" w:line="135" w:lineRule="exact"/>
              <w:rPr>
                <w:sz w:val="20"/>
                <w:szCs w:val="20"/>
                <w:color w:val="auto"/>
              </w:rPr>
            </w:pPr>
            <w:r>
              <w:rPr>
                <w:rFonts w:ascii="Arial" w:cs="Arial" w:eastAsia="Arial" w:hAnsi="Arial"/>
                <w:sz w:val="14"/>
                <w:szCs w:val="14"/>
                <w:color w:val="auto"/>
              </w:rPr>
              <w:t>upon</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89"/>
              </w:rPr>
              <w:t>value</w:t>
            </w:r>
          </w:p>
        </w:tc>
        <w:tc>
          <w:tcPr>
            <w:tcW w:w="200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w:t>
            </w:r>
          </w:p>
        </w:tc>
      </w:tr>
      <w:tr>
        <w:trPr>
          <w:trHeight w:val="186"/>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vesting of award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3"/>
              </w:rPr>
              <w:t>of award</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reflected in column a)</w:t>
            </w:r>
          </w:p>
        </w:tc>
      </w:tr>
      <w:tr>
        <w:trPr>
          <w:trHeight w:val="201"/>
        </w:trPr>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(b)</w:t>
            </w:r>
          </w:p>
        </w:tc>
        <w:tc>
          <w:tcPr>
            <w:tcW w:w="2000" w:type="dxa"/>
            <w:vAlign w:val="bottom"/>
          </w:tcPr>
          <w:p>
            <w:pPr>
              <w:jc w:val="center"/>
              <w:spacing w:after="0"/>
              <w:rPr>
                <w:sz w:val="20"/>
                <w:szCs w:val="20"/>
                <w:color w:val="auto"/>
              </w:rPr>
            </w:pPr>
            <w:r>
              <w:rPr>
                <w:rFonts w:ascii="Arial" w:cs="Arial" w:eastAsia="Arial" w:hAnsi="Arial"/>
                <w:sz w:val="14"/>
                <w:szCs w:val="14"/>
                <w:color w:val="auto"/>
                <w:w w:val="97"/>
              </w:rPr>
              <w:t>(c)</w:t>
            </w:r>
          </w:p>
        </w:tc>
      </w:tr>
      <w:tr>
        <w:trPr>
          <w:trHeight w:val="241"/>
        </w:trPr>
        <w:tc>
          <w:tcPr>
            <w:tcW w:w="1940" w:type="dxa"/>
            <w:vAlign w:val="bottom"/>
          </w:tcPr>
          <w:p>
            <w:pPr>
              <w:jc w:val="right"/>
              <w:ind w:right="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0"/>
                <w:szCs w:val="20"/>
                <w:color w:val="auto"/>
              </w:rPr>
            </w:pPr>
          </w:p>
        </w:tc>
        <w:tc>
          <w:tcPr>
            <w:tcW w:w="2000" w:type="dxa"/>
            <w:vAlign w:val="bottom"/>
          </w:tcPr>
          <w:p>
            <w:pPr>
              <w:jc w:val="right"/>
              <w:ind w:right="2"/>
              <w:spacing w:after="0"/>
              <w:rPr>
                <w:sz w:val="20"/>
                <w:szCs w:val="20"/>
                <w:color w:val="auto"/>
              </w:rPr>
            </w:pPr>
            <w:r>
              <w:rPr>
                <w:rFonts w:ascii="Arial" w:cs="Arial" w:eastAsia="Arial" w:hAnsi="Arial"/>
                <w:sz w:val="18"/>
                <w:szCs w:val="18"/>
                <w:color w:val="auto"/>
              </w:rPr>
              <w:t>1,686</w:t>
            </w:r>
          </w:p>
        </w:tc>
      </w:tr>
      <w:tr>
        <w:trPr>
          <w:trHeight w:val="230"/>
        </w:trPr>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3"/>
        </w:trPr>
        <w:tc>
          <w:tcPr>
            <w:tcW w:w="1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1,686</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-479425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-187960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4840" w:space="720"/>
            <w:col w:w="5680"/>
          </w:cols>
          <w:pgMar w:left="320" w:top="1003" w:right="339" w:bottom="1440" w:gutter="0" w:footer="0" w:header="0"/>
          <w:type w:val="continuous"/>
        </w:sectPr>
      </w:pPr>
    </w:p>
    <w:p>
      <w:pPr>
        <w:jc w:val="both"/>
        <w:ind w:left="180" w:right="20" w:hanging="10"/>
        <w:spacing w:after="0" w:line="261"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securities to be issued upon vesting of awards includes 236,000 performance shares, which was derived by assuming that target performance will be achieved during the relevant performance period. The number of securities remaining available for future issuance includes shares relating to the Omnibus Incentive Plan and Management Incentive Plan. Actual securities issued will be net of tax.</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Additional information regarding the equity compensation plans is included in </w:t>
      </w:r>
      <w:r>
        <w:rPr>
          <w:rFonts w:ascii="Arial" w:cs="Arial" w:eastAsia="Arial" w:hAnsi="Arial"/>
          <w:sz w:val="18"/>
          <w:szCs w:val="18"/>
          <w:b w:val="1"/>
          <w:bCs w:val="1"/>
          <w:color w:val="auto"/>
        </w:rPr>
        <w:t>Note 9 - Share-Based Compensation</w:t>
      </w:r>
      <w:r>
        <w:rPr>
          <w:rFonts w:ascii="Arial" w:cs="Arial" w:eastAsia="Arial" w:hAnsi="Arial"/>
          <w:sz w:val="18"/>
          <w:szCs w:val="18"/>
          <w:color w:val="auto"/>
        </w:rPr>
        <w:t xml:space="preserve"> of the notes to consolidated financial statements in the 2021 Annual Report to Stockholders.</w:t>
      </w:r>
    </w:p>
    <w:p>
      <w:pPr>
        <w:spacing w:after="0" w:line="9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set forth under the heading “Governance of the Company” in the definitive 2022 Proxy Statement, which will be filed with the SEC within 120 days after December 31, 2021 and by this reference is incorporated herein.</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6" w:name="page27"/>
    <w:bookmarkEnd w:id="26"/>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accounting fees and services associated with PricewaterhouseCoopers LLP is set forth under the heading “Selection of Independent Registered Public Accounting Firm” in the definitive 2022 Proxy Statement, which will be filed with the SEC within 120 days after December 31, 2021 and by this reference is incorporated herein.</w:t>
      </w:r>
    </w:p>
    <w:p>
      <w:pPr>
        <w:spacing w:after="0" w:line="7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on Form 10-K:</w:t>
      </w:r>
    </w:p>
    <w:p>
      <w:pPr>
        <w:spacing w:after="0" w:line="117" w:lineRule="exact"/>
        <w:rPr>
          <w:rFonts w:ascii="Arial" w:cs="Arial" w:eastAsia="Arial" w:hAnsi="Arial"/>
          <w:sz w:val="18"/>
          <w:szCs w:val="18"/>
          <w:color w:val="auto"/>
        </w:rPr>
      </w:pPr>
    </w:p>
    <w:p>
      <w:pPr>
        <w:jc w:val="both"/>
        <w:ind w:left="180" w:hanging="10"/>
        <w:spacing w:after="0" w:line="263" w:lineRule="auto"/>
        <w:tabs>
          <w:tab w:leader="none" w:pos="4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Southwest (including the Report of Independent Registered Public Accounting Firm) required to be reported herein are incorporated by reference to the information reported in the 2021 Annual Report to Stockholders under the following captions: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Holdings, Inc.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Comprehensive Income</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Southwest Gas Corporation Consolidated Statements of Equity</w:t>
            </w:r>
          </w:p>
        </w:tc>
        <w:tc>
          <w:tcPr>
            <w:tcW w:w="2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Management’s Reports on Internal Control Over Financial Reporting</w:t>
            </w:r>
          </w:p>
        </w:tc>
        <w:tc>
          <w:tcPr>
            <w:tcW w:w="2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68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94" w:lineRule="exact"/>
        <w:rPr>
          <w:sz w:val="20"/>
          <w:szCs w:val="20"/>
          <w:color w:val="auto"/>
        </w:rPr>
      </w:pPr>
    </w:p>
    <w:p>
      <w:pPr>
        <w:ind w:left="420" w:hanging="250"/>
        <w:spacing w:after="0"/>
        <w:tabs>
          <w:tab w:leader="none" w:pos="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schedules have been omitted because the required information is either inapplicable or included in the notes to consolidated financial statements.</w:t>
      </w:r>
    </w:p>
    <w:p>
      <w:pPr>
        <w:spacing w:after="0" w:line="136" w:lineRule="exact"/>
        <w:rPr>
          <w:rFonts w:ascii="Arial" w:cs="Arial" w:eastAsia="Arial" w:hAnsi="Arial"/>
          <w:sz w:val="16"/>
          <w:szCs w:val="16"/>
          <w:color w:val="auto"/>
        </w:rPr>
      </w:pPr>
    </w:p>
    <w:p>
      <w:pPr>
        <w:ind w:left="420" w:hanging="250"/>
        <w:spacing w:after="0"/>
        <w:tabs>
          <w:tab w:leader="none" w:pos="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LIST OF EXHIBITS</w:t>
      </w:r>
      <w:r>
        <w:rPr>
          <w:rFonts w:ascii="Arial" w:cs="Arial" w:eastAsia="Arial" w:hAnsi="Arial"/>
          <w:sz w:val="18"/>
          <w:szCs w:val="18"/>
          <w:color w:val="auto"/>
        </w:rPr>
        <w:t>.</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60" w:type="dxa"/>
            <w:vAlign w:val="bottom"/>
            <w:gridSpan w:val="29"/>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Merger Agreement, dated as of June 28, 2021, by and among Centuri Group, Inc., Electric T&amp;D Holdings LLC, ETDH</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Merger Sub, Inc., Drum Parent, Inc. and OCM Drum Investors, L.P. Incorporated herein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760" w:type="dxa"/>
            <w:vAlign w:val="bottom"/>
            <w:tcBorders>
              <w:bottom w:val="single" w:sz="8" w:color="0000FF"/>
            </w:tcBorders>
            <w:gridSpan w:val="10"/>
          </w:tcPr>
          <w:p>
            <w:pPr>
              <w:spacing w:after="0" w:line="15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Form 8-K dated June 28, 2021, File No. 001-37976.</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2.02***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Purchase and Sale Agreement, dated as of October 5, 2021, by and between Dominion Energy Questar Corporation and</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Southwest Gas Holdings, Inc.. Incorporated herein by reference to Exhibit 2.1 to Form 8-K October 5, 2021, File No.</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001-37976.</w:t>
              </w:r>
            </w:hyperlink>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3(i)</w:t>
            </w:r>
          </w:p>
        </w:tc>
        <w:tc>
          <w:tcPr>
            <w:tcW w:w="9060" w:type="dxa"/>
            <w:vAlign w:val="bottom"/>
            <w:gridSpan w:val="38"/>
          </w:tcPr>
          <w:p>
            <w:pPr>
              <w:spacing w:after="0"/>
              <w:rPr>
                <w:rFonts w:ascii="Arial" w:cs="Arial" w:eastAsia="Arial" w:hAnsi="Arial"/>
                <w:sz w:val="18"/>
                <w:szCs w:val="18"/>
                <w:color w:val="0000FF"/>
                <w:w w:val="96"/>
              </w:rPr>
            </w:pPr>
            <w:hyperlink r:id="rId42">
              <w:r>
                <w:rPr>
                  <w:rFonts w:ascii="Arial" w:cs="Arial" w:eastAsia="Arial" w:hAnsi="Arial"/>
                  <w:sz w:val="18"/>
                  <w:szCs w:val="18"/>
                  <w:color w:val="0000FF"/>
                  <w:w w:val="96"/>
                </w:rPr>
                <w:t>Certificate of Incorporation of Southwest Gas Holdings, Inc., a Delaware corporation. Incorporated herein by reference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to Exhibit 3.1 to Form 8-K12B dated September 20, 2019, File No. 001-37976.</w:t>
              </w:r>
            </w:hyperlink>
          </w:p>
        </w:tc>
        <w:tc>
          <w:tcPr>
            <w:tcW w:w="31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3(ii)</w:t>
            </w:r>
          </w:p>
        </w:tc>
        <w:tc>
          <w:tcPr>
            <w:tcW w:w="8840" w:type="dxa"/>
            <w:vAlign w:val="bottom"/>
            <w:tcBorders>
              <w:bottom w:val="single" w:sz="8" w:color="0000FF"/>
            </w:tcBorders>
            <w:gridSpan w:val="27"/>
          </w:tcPr>
          <w:p>
            <w:pPr>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Amended and Restated Bylaws of Southwest Gas Holdings, Inc., effective October 18, 2021. Incorporated herein by</w:t>
              </w:r>
            </w:hyperlink>
          </w:p>
        </w:tc>
        <w:tc>
          <w:tcPr>
            <w:tcW w:w="2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940" w:type="dxa"/>
            <w:vAlign w:val="bottom"/>
            <w:tcBorders>
              <w:bottom w:val="single" w:sz="8" w:color="0000FF"/>
            </w:tcBorders>
            <w:gridSpan w:val="16"/>
          </w:tcPr>
          <w:p>
            <w:pPr>
              <w:spacing w:after="0" w:line="15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reference to Exhibit 3.1 to Form 8-K dated October 18, 2021, File No. 001-37976.</w:t>
              </w:r>
            </w:hyperlink>
          </w:p>
        </w:tc>
        <w:tc>
          <w:tcPr>
            <w:tcW w:w="31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3(iii)</w:t>
            </w:r>
          </w:p>
        </w:tc>
        <w:tc>
          <w:tcPr>
            <w:tcW w:w="9060" w:type="dxa"/>
            <w:vAlign w:val="bottom"/>
            <w:gridSpan w:val="38"/>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Certificate of Designations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Exhibit 3.1 to Form 8-K dated October 10, 2021, File No. 001-37976.</w:t>
              </w:r>
            </w:hyperlink>
          </w:p>
        </w:tc>
        <w:tc>
          <w:tcPr>
            <w:tcW w:w="38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Indenture between City of Big Bear Lake, California, and Harris Trust and Savings Bank as Trustee, dated December 1,</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 xml:space="preserve">1993, with respect to the issuance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50,000,000 Industrial Development Revenue Bonds (Southwest Gas Corporation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gridSpan w:val="37"/>
          </w:tcPr>
          <w:p>
            <w:pPr>
              <w:spacing w:after="0" w:line="15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Project), 1993 Series A, due 2028. Incorporated herein by reference to Exhibit 4.11 to Form 10-K for the year 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December 31, 1993, File No. 001-07850.</w:t>
              </w:r>
            </w:hyperlink>
          </w:p>
        </w:tc>
        <w:tc>
          <w:tcPr>
            <w:tcW w:w="1860" w:type="dxa"/>
            <w:vAlign w:val="bottom"/>
            <w:tcBorders>
              <w:top w:val="single" w:sz="8" w:color="0000FF"/>
            </w:tcBorders>
            <w:gridSpan w:val="5"/>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Indenture between Southwest Gas Corporation and Harris Trust and Savings Bank dated July 15, 1996, with respect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Debt Securities. Incorporated herein by reference to Exhibit 4.04 to Form 8-K dated July 26, 1996, File No. 001–07850.</w:t>
              </w:r>
            </w:hyperlink>
          </w:p>
        </w:tc>
        <w:tc>
          <w:tcPr>
            <w:tcW w:w="3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First Supplemental Indenture of Southwest Gas Corporation to Harris Trust and Savings Bank dated August 1, 1996,</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0" w:type="dxa"/>
            <w:vAlign w:val="bottom"/>
            <w:tcBorders>
              <w:top w:val="single" w:sz="8" w:color="0000FF"/>
            </w:tcBorders>
            <w:gridSpan w:val="35"/>
          </w:tcPr>
          <w:p>
            <w:pPr>
              <w:spacing w:after="0" w:line="15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supplementing and amending the Indenture dated as of July 15, 1996, with respect to 7 1/2% and 8% Debentures, due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2006 and 2026, respectively. Incorporated herein by reference to Exhibit 4.11 to Form 8-K dated July 31, 1996, File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gridSpan w:val="11"/>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No. 001-07850.</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Second Supplemental Indenture of Southwest Gas Corporation to Harris Trust and Savings Bank dated December 30,</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1996, supplementing and amending the Indenture dated as of July 15, 1996, with respect to Medium-Term Notes.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900" w:type="dxa"/>
            <w:vAlign w:val="bottom"/>
            <w:tcBorders>
              <w:bottom w:val="single" w:sz="8" w:color="0000FF"/>
            </w:tcBorders>
            <w:gridSpan w:val="17"/>
          </w:tcPr>
          <w:p>
            <w:pPr>
              <w:spacing w:after="0" w:line="15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herein by reference to Exhibit 4.04 to Form 8-K dated December 30, 1996, File No. 001–07850.</w:t>
              </w:r>
            </w:hyperlink>
          </w:p>
        </w:tc>
        <w:tc>
          <w:tcPr>
            <w:tcW w:w="8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rPr>
            </w:pPr>
            <w:hyperlink r:id="rId48">
              <w:r>
                <w:rPr>
                  <w:rFonts w:ascii="Arial" w:cs="Arial" w:eastAsia="Arial" w:hAnsi="Arial"/>
                  <w:sz w:val="18"/>
                  <w:szCs w:val="18"/>
                  <w:color w:val="0000FF"/>
                </w:rPr>
                <w:t>Indenture of Trust between Clark County, Nevada, and the BNY Midwest Trust Company, as Trustee, dated as of</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March 1, 2003, relating to Clark County, Nevada Industrial Development Revenue Bonds Series 2003. Incorporated</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0" w:type="dxa"/>
            <w:vAlign w:val="bottom"/>
            <w:gridSpan w:val="25"/>
          </w:tcPr>
          <w:p>
            <w:pPr>
              <w:spacing w:after="0" w:line="156" w:lineRule="exact"/>
              <w:rPr>
                <w:rFonts w:ascii="Arial" w:cs="Arial" w:eastAsia="Arial" w:hAnsi="Arial"/>
                <w:sz w:val="18"/>
                <w:szCs w:val="18"/>
                <w:color w:val="0000FF"/>
                <w:w w:val="96"/>
              </w:rPr>
            </w:pPr>
            <w:hyperlink r:id="rId48">
              <w:r>
                <w:rPr>
                  <w:rFonts w:ascii="Arial" w:cs="Arial" w:eastAsia="Arial" w:hAnsi="Arial"/>
                  <w:sz w:val="18"/>
                  <w:szCs w:val="18"/>
                  <w:color w:val="0000FF"/>
                  <w:w w:val="96"/>
                </w:rPr>
                <w:t>herein by reference to Exhibit 10.01 to Form 10-Q for the quarter ended September 30, 2008, File No. 001-07850.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40" w:type="dxa"/>
            <w:vAlign w:val="bottom"/>
            <w:gridSpan w:val="10"/>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7"/>
          </w:tcPr>
          <w:p>
            <w:pPr>
              <w:spacing w:after="0" w:line="15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dated as of September 1, 2008, relating to Clark County, Nevada Industrial Development Revenue Bonds Series 2008A.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Incorporated herein by reference to Exhibit 10.02 to Form 10-Q for the quarter ended September 30, 2008, File No. 001-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49">
              <w:r>
                <w:rPr>
                  <w:rFonts w:ascii="Arial" w:cs="Arial" w:eastAsia="Arial" w:hAnsi="Arial"/>
                  <w:sz w:val="18"/>
                  <w:szCs w:val="18"/>
                  <w:color w:val="0000FF"/>
                  <w:w w:val="87"/>
                </w:rPr>
                <w:t>07850.</w:t>
              </w:r>
            </w:hyperlink>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4.07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7"/>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dated December 1, 2009, relating to Clark County, Nevada Industrial Development Revenue Bonds Series 2009A.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6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Incorporated herein by reference to Exhibit 4.27 to Form 10-K for the year ended December 31, 2009,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50">
              <w:r>
                <w:rPr>
                  <w:rFonts w:ascii="Arial" w:cs="Arial" w:eastAsia="Arial" w:hAnsi="Arial"/>
                  <w:sz w:val="18"/>
                  <w:szCs w:val="18"/>
                  <w:color w:val="0000FF"/>
                  <w:w w:val="87"/>
                </w:rPr>
                <w:t>07850.</w:t>
              </w:r>
            </w:hyperlink>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Note Purchase Agreement, dated November 18, 2010, by and between Southwest Gas Corporation and Metropolitan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Life Insurance Company, John Hancock Life Insurance Company (U.S.A.), certain of their respective affiliates, and</w:t>
              </w:r>
            </w:hyperlink>
          </w:p>
        </w:tc>
        <w:tc>
          <w:tcPr>
            <w:tcW w:w="200" w:type="dxa"/>
            <w:vAlign w:val="bottom"/>
            <w:tcBorders>
              <w:bottom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gridSpan w:val="30"/>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Union Fidelity Life Insurance Company. Incorporated herein by reference to Exhibit 4.1 to Form 8-K dated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November 18, 2010, File No. 001-07850.</w:t>
              </w:r>
            </w:hyperlink>
          </w:p>
        </w:tc>
        <w:tc>
          <w:tcPr>
            <w:tcW w:w="184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4.09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Amendment No. 1 to Note Purchase Agreement, dated March 28, 2014, by and among Southwest Gas Corporation and</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40" w:type="dxa"/>
            <w:vAlign w:val="bottom"/>
            <w:tcBorders>
              <w:top w:val="single" w:sz="8" w:color="0000FF"/>
            </w:tcBorders>
            <w:gridSpan w:val="11"/>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the holders of the Notes. Incorporated herein by reference to</w:t>
              </w:r>
            </w:hyperlink>
          </w:p>
        </w:tc>
        <w:tc>
          <w:tcPr>
            <w:tcW w:w="41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Exhibit 4.1 to Form 8-K dated March  31, 2014,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File No. 001–07850.</w:t>
              </w:r>
            </w:hyperlink>
          </w:p>
        </w:tc>
        <w:tc>
          <w:tcPr>
            <w:tcW w:w="3340" w:type="dxa"/>
            <w:vAlign w:val="bottom"/>
            <w:tcBorders>
              <w:top w:val="single" w:sz="8" w:color="0000FF"/>
            </w:tcBorders>
            <w:gridSpan w:val="7"/>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40" w:type="dxa"/>
            <w:vAlign w:val="bottom"/>
            <w:gridSpan w:val="11"/>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2 to Note Purchase Agreement, dated September</w:t>
              </w:r>
            </w:hyperlink>
          </w:p>
        </w:tc>
        <w:tc>
          <w:tcPr>
            <w:tcW w:w="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FF"/>
                <w:w w:val="98"/>
              </w:rPr>
            </w:pPr>
            <w:hyperlink r:id="rId53">
              <w:r>
                <w:rPr>
                  <w:rFonts w:ascii="Arial" w:cs="Arial" w:eastAsia="Arial" w:hAnsi="Arial"/>
                  <w:sz w:val="18"/>
                  <w:szCs w:val="18"/>
                  <w:color w:val="0000FF"/>
                  <w:w w:val="98"/>
                </w:rPr>
                <w:t>30, 2016, by and among Southwest Gas Corporation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40" w:type="dxa"/>
            <w:vAlign w:val="bottom"/>
            <w:tcBorders>
              <w:top w:val="single" w:sz="8" w:color="0000FF"/>
            </w:tcBorders>
            <w:gridSpan w:val="32"/>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and the holders of the Notes. Incorporated herein by reference to Exhibit 4.02 to Form 10-Q for the quarter ended</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September 30, 2016, File No. 001–07850.</w:t>
              </w:r>
            </w:hyperlink>
          </w:p>
        </w:tc>
        <w:tc>
          <w:tcPr>
            <w:tcW w:w="1760" w:type="dxa"/>
            <w:vAlign w:val="bottom"/>
            <w:tcBorders>
              <w:top w:val="single" w:sz="8" w:color="0000FF"/>
            </w:tcBorders>
            <w:gridSpan w:val="3"/>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60" w:type="dxa"/>
            <w:vAlign w:val="bottom"/>
            <w:gridSpan w:val="38"/>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Form of 6.1% Senior Note due 2041. Incorporated herein by reference to Exhibit 4.2 to Form 8-K dated November 18,</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2010, File No. 001-07850.</w:t>
              </w:r>
            </w:hyperlink>
          </w:p>
        </w:tc>
        <w:tc>
          <w:tcPr>
            <w:tcW w:w="2920" w:type="dxa"/>
            <w:vAlign w:val="bottom"/>
            <w:tcBorders>
              <w:top w:val="single" w:sz="8" w:color="0000FF"/>
            </w:tcBorders>
            <w:gridSpan w:val="6"/>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9"/>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gridSpan w:val="9"/>
          </w:tcPr>
          <w:p>
            <w:pPr>
              <w:ind w:left="30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60" w:type="dxa"/>
            <w:vAlign w:val="bottom"/>
            <w:gridSpan w:val="33"/>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gridSpan w:val="3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80" w:type="dxa"/>
            <w:vAlign w:val="bottom"/>
            <w:gridSpan w:val="42"/>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Indenture, dated March 23, 2012, by and between Southwest Gas Corporation and The Bank of New York Mellon Trust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60" w:type="dxa"/>
            <w:vAlign w:val="bottom"/>
            <w:tcBorders>
              <w:top w:val="single" w:sz="8" w:color="0000FF"/>
            </w:tcBorders>
            <w:gridSpan w:val="41"/>
          </w:tcPr>
          <w:p>
            <w:pPr>
              <w:spacing w:after="0" w:line="15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Company, N.A., as Trustee. 3.875% Notes due 2022. Incorporated herein by reference to Exhibit 4.1 to Form 8-K dated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4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March 20, 2012, File No. 001-07850.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Indenture, dated as of October 4, 2013, by and between Southwest Gas Corporation and the Bank of New York Mellon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Trust Company, N.A., as Trustee. 4.875% Notes due 2043. Incorporated herein by reference to Exhibit 4.1 to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16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dated October 1, 2013. File No. 001-07850.</w:t>
              </w:r>
            </w:hyperlink>
          </w:p>
        </w:tc>
        <w:tc>
          <w:tcPr>
            <w:tcW w:w="584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Southwest Gas Holdings, Inc. Dividend Reinvestment and Direct Stock Purchase Plan. Incorporated by reference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 xml:space="preserve">prospectus 424(b)(5) </w:t>
              </w:r>
            </w:hyperlink>
            <w:hyperlink r:id="rId59">
              <w:r>
                <w:rPr>
                  <w:rFonts w:ascii="Arial" w:cs="Arial" w:eastAsia="Arial" w:hAnsi="Arial"/>
                  <w:sz w:val="18"/>
                  <w:szCs w:val="18"/>
                  <w:color w:val="0000FF"/>
                  <w:w w:val="90"/>
                </w:rPr>
                <w:t xml:space="preserve">dated </w:t>
              </w:r>
            </w:hyperlink>
            <w:hyperlink r:id="rId58">
              <w:r>
                <w:rPr>
                  <w:rFonts w:ascii="Arial" w:cs="Arial" w:eastAsia="Arial" w:hAnsi="Arial"/>
                  <w:sz w:val="18"/>
                  <w:szCs w:val="18"/>
                  <w:color w:val="0000FF"/>
                  <w:w w:val="90"/>
                </w:rPr>
                <w:t>December 2, 2020, File No. 333-251074.</w:t>
              </w:r>
            </w:hyperlink>
          </w:p>
        </w:tc>
        <w:tc>
          <w:tcPr>
            <w:tcW w:w="388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Indenture, dated September 29, 2016, by and between Southwest Gas Corporation and The Bank of New York Mellon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Trust Company, N.A., as Trustee. 3.80% Senior Notes due 2046. Incorporated herein by reference to Exhibit 4.01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0" w:type="dxa"/>
            <w:vAlign w:val="bottom"/>
            <w:tcBorders>
              <w:bottom w:val="single" w:sz="8" w:color="0000FF"/>
            </w:tcBorders>
            <w:gridSpan w:val="12"/>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Form 8-K dated September 26, 2016, File No. 001-07850.</w:t>
              </w:r>
            </w:hyperlink>
          </w:p>
        </w:tc>
        <w:tc>
          <w:tcPr>
            <w:tcW w:w="47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4.16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Indenture, dated March 15, 2018, by and between Southwest Gas Corporation and The Bank of New York Mellon Trust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Company, N.A., as Trustee. Incorporated herein by reference to Exhibit 4.1 to Form 8-K dated March 15, 2018, File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gridSpan w:val="3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Nos. 001-37976 and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First Supplemental Indenture, dated March 15, 2018, by and between Southwest Gas Corporation and The Bank of New</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5"/>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York Mellon Trust Company, N.A., as Trustee. Incorporated herein by reference to Exhibit 4.2 to Form 8-K dated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15, 2018, File Nos. 001-37976 and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3.70% Senior Note due 2028 (included in Exhibit 4.23). Incorporated herein by reference to Exhibit 4.24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Form 10-K for the year ended December 31, 2018, File Nos. 001-37976 and 001-07850.</w:t>
              </w:r>
            </w:hyperlink>
          </w:p>
        </w:tc>
        <w:tc>
          <w:tcPr>
            <w:tcW w:w="24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4.19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8"/>
              </w:rPr>
            </w:pPr>
            <w:hyperlink r:id="rId63">
              <w:r>
                <w:rPr>
                  <w:rFonts w:ascii="Arial" w:cs="Arial" w:eastAsia="Arial" w:hAnsi="Arial"/>
                  <w:sz w:val="18"/>
                  <w:szCs w:val="18"/>
                  <w:color w:val="0000FF"/>
                  <w:w w:val="98"/>
                </w:rPr>
                <w:t>Indenture, dated as of May 31, 2019, by and between Southwest Gas Corporation and The Bank of New York Mellon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Trust Company, N.A., as Trustee. Incorporated herein by reference to Exhibit 4.1 to Form 8-K dated May 28, 2019.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20" w:type="dxa"/>
            <w:vAlign w:val="bottom"/>
            <w:gridSpan w:val="24"/>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No. 001-07850.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First Supplemental Indenture, dated May 31, 2019, by and between Southwest Gas Corporation and The Bank of New</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4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York Mellon Trust Company, N.A., as Trustee. Incorporated herein by reference to Exhibit 4.2 to Form 8-K dated May</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28, 2019.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Form of 4.150% Senior Note due 2049. Incorporated by reference to Exhibit 4.3 to Form 8-K dated May 28, 2019. File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No. 001-07850.</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8"/>
              </w:rPr>
            </w:pPr>
            <w:hyperlink r:id="rId65">
              <w:r>
                <w:rPr>
                  <w:rFonts w:ascii="Arial" w:cs="Arial" w:eastAsia="Arial" w:hAnsi="Arial"/>
                  <w:sz w:val="18"/>
                  <w:szCs w:val="18"/>
                  <w:color w:val="0000FF"/>
                  <w:w w:val="98"/>
                </w:rPr>
                <w:t>Indenture, dated June 4, 2020, by and between Southwest Gas Corporation and The Bank of New York Mellon Trust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Company, N.A., as Trustee. Incorporated herein by reference to Exhibit 4.1 to Form 8-K dated June 1, 2020. File Nos.</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80" w:type="dxa"/>
            <w:vAlign w:val="bottom"/>
            <w:gridSpan w:val="37"/>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001-07850 and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First Supplemental Indenture, dated June 4, 2020, by and between Southwest Gas Corporation and The Bank of New</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York Mellon Trust Company, N.A., as Trustee. Incorporated herein by reference to Exhibit 4.2 to Form 8-K dated June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1, 2020. File Nos. 001-07850 and 001-37976.</w:t>
              </w:r>
            </w:hyperlink>
          </w:p>
        </w:tc>
        <w:tc>
          <w:tcPr>
            <w:tcW w:w="54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Form of 2.200% Senior Note due 2030. Incorporated by reference to Exhibit 4.3 to Form 8-K dated June 1, 2020. File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Nos. 001-07850 and 001-37976.</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Description of Securities of Southwest Gas Holdings, Inc.</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Second Supplemental Indenture, dated August 20, 2021, by and between Southwest Gas Corporation and The Bank of</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6"/>
              </w:rPr>
            </w:pPr>
            <w:hyperlink r:id="rId67">
              <w:r>
                <w:rPr>
                  <w:rFonts w:ascii="Arial" w:cs="Arial" w:eastAsia="Arial" w:hAnsi="Arial"/>
                  <w:sz w:val="18"/>
                  <w:szCs w:val="18"/>
                  <w:color w:val="0000FF"/>
                  <w:w w:val="96"/>
                </w:rPr>
                <w:t>New York Mellon Trust Company, N.A., as Trustee. Incorporated herein by reference to Exhibit 4.1 to Form 8-K dated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960" w:type="dxa"/>
            <w:vAlign w:val="bottom"/>
            <w:tcBorders>
              <w:bottom w:val="single" w:sz="8" w:color="0000FF"/>
            </w:tcBorders>
            <w:gridSpan w:val="10"/>
          </w:tcPr>
          <w:p>
            <w:pPr>
              <w:spacing w:after="0" w:line="15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August 18, 2021, File Nos. 001-37976 and 001-07850.</w:t>
              </w:r>
            </w:hyperlink>
          </w:p>
        </w:tc>
        <w:tc>
          <w:tcPr>
            <w:tcW w:w="5160" w:type="dxa"/>
            <w:vAlign w:val="bottom"/>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Form of 3.18% Senior Note due 2051 (included in Exhibit 4.01). Incorporated herein by reference to Exhibit 4.2 to Form</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8-K dated August 18, 2021, File Nos. 001-37976 and 001-07850.</w:t>
              </w:r>
            </w:hyperlink>
          </w:p>
        </w:tc>
        <w:tc>
          <w:tcPr>
            <w:tcW w:w="438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Southwest Gas Corporation 3.18% Senior Notes due 2051. Incorporated herein by reference to prospectus 424(b)(5)</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dated August 18, 2021, File No. 333-251074-01.</w:t>
              </w:r>
            </w:hyperlink>
          </w:p>
        </w:tc>
        <w:tc>
          <w:tcPr>
            <w:tcW w:w="5260" w:type="dxa"/>
            <w:vAlign w:val="bottom"/>
            <w:tcBorders>
              <w:top w:val="single" w:sz="8" w:color="0000FF"/>
            </w:tcBorders>
            <w:gridSpan w:val="13"/>
          </w:tcPr>
          <w:p>
            <w:pPr>
              <w:spacing w:after="0"/>
              <w:rPr>
                <w:sz w:val="13"/>
                <w:szCs w:val="13"/>
                <w:color w:val="auto"/>
              </w:rPr>
            </w:pPr>
          </w:p>
        </w:tc>
        <w:tc>
          <w:tcPr>
            <w:tcW w:w="4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4.29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80" w:type="dxa"/>
            <w:vAlign w:val="bottom"/>
            <w:gridSpan w:val="42"/>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Rights Agreement, dated October 10, 2021, between Southwest Gas Holdings, Inc. and Equiniti Trust Company, as</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40" w:type="dxa"/>
            <w:vAlign w:val="bottom"/>
            <w:tcBorders>
              <w:top w:val="single" w:sz="8" w:color="0000FF"/>
            </w:tcBorders>
            <w:gridSpan w:val="40"/>
          </w:tcPr>
          <w:p>
            <w:pPr>
              <w:spacing w:after="0" w:line="15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Rights Agent. Incorporated herein by reference to Exhibit 4.1 to Form 8-K dated October 10, 2021, File No. 001-37976.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60" w:type="dxa"/>
            <w:vAlign w:val="bottom"/>
            <w:gridSpan w:val="17"/>
            <w:shd w:val="clear" w:color="auto" w:fill="0000FF"/>
          </w:tcPr>
          <w:p>
            <w:pPr>
              <w:spacing w:after="0" w:line="20" w:lineRule="exact"/>
              <w:rPr>
                <w:sz w:val="1"/>
                <w:szCs w:val="1"/>
                <w:color w:val="auto"/>
              </w:rPr>
            </w:pPr>
          </w:p>
        </w:tc>
        <w:tc>
          <w:tcPr>
            <w:tcW w:w="52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ind w:left="20"/>
              <w:spacing w:after="0" w:line="196" w:lineRule="exact"/>
              <w:rPr>
                <w:sz w:val="20"/>
                <w:szCs w:val="20"/>
                <w:color w:val="auto"/>
              </w:rPr>
            </w:pPr>
            <w:r>
              <w:rPr>
                <w:rFonts w:ascii="Arial" w:cs="Arial" w:eastAsia="Arial" w:hAnsi="Arial"/>
                <w:sz w:val="18"/>
                <w:szCs w:val="18"/>
                <w:color w:val="auto"/>
              </w:rPr>
              <w:t>4.30</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180" w:type="dxa"/>
            <w:vAlign w:val="bottom"/>
            <w:gridSpan w:val="42"/>
          </w:tcPr>
          <w:p>
            <w:pPr>
              <w:spacing w:after="0" w:line="196" w:lineRule="exact"/>
              <w:rPr>
                <w:sz w:val="20"/>
                <w:szCs w:val="20"/>
                <w:color w:val="auto"/>
              </w:rPr>
            </w:pPr>
            <w:r>
              <w:rPr>
                <w:rFonts w:ascii="Arial" w:cs="Arial" w:eastAsia="Arial" w:hAnsi="Arial"/>
                <w:sz w:val="18"/>
                <w:szCs w:val="18"/>
                <w:color w:val="auto"/>
                <w:w w:val="96"/>
              </w:rPr>
              <w:t>The Company and Southwest hereby agree to furnish to the SEC, upon request, a copy of any instruments defining the</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180" w:type="dxa"/>
            <w:vAlign w:val="bottom"/>
            <w:gridSpan w:val="42"/>
          </w:tcPr>
          <w:p>
            <w:pPr>
              <w:spacing w:after="0" w:line="176" w:lineRule="exact"/>
              <w:rPr>
                <w:sz w:val="20"/>
                <w:szCs w:val="20"/>
                <w:color w:val="auto"/>
              </w:rPr>
            </w:pPr>
            <w:r>
              <w:rPr>
                <w:rFonts w:ascii="Arial" w:cs="Arial" w:eastAsia="Arial" w:hAnsi="Arial"/>
                <w:sz w:val="18"/>
                <w:szCs w:val="18"/>
                <w:color w:val="auto"/>
                <w:w w:val="97"/>
              </w:rPr>
              <w:t>rights of holders of long-term debt issued by Southwest Gas Holdings or its subsidiaries; the total amount of securities</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180" w:type="dxa"/>
            <w:vAlign w:val="bottom"/>
            <w:gridSpan w:val="42"/>
          </w:tcPr>
          <w:p>
            <w:pPr>
              <w:spacing w:after="0" w:line="176" w:lineRule="exact"/>
              <w:rPr>
                <w:sz w:val="20"/>
                <w:szCs w:val="20"/>
                <w:color w:val="auto"/>
              </w:rPr>
            </w:pPr>
            <w:r>
              <w:rPr>
                <w:rFonts w:ascii="Arial" w:cs="Arial" w:eastAsia="Arial" w:hAnsi="Arial"/>
                <w:sz w:val="18"/>
                <w:szCs w:val="18"/>
                <w:color w:val="auto"/>
              </w:rPr>
              <w:t>authorized thereunder does not exceed 10% of the consolidated total assets of Southwest Gas Holdings and its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180" w:type="dxa"/>
            <w:vAlign w:val="bottom"/>
            <w:gridSpan w:val="42"/>
          </w:tcPr>
          <w:p>
            <w:pPr>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917"/>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00" w:type="dxa"/>
            <w:vAlign w:val="bottom"/>
            <w:gridSpan w:val="7"/>
          </w:tcPr>
          <w:p>
            <w:pPr>
              <w:ind w:left="3080"/>
              <w:spacing w:after="0"/>
              <w:rPr>
                <w:sz w:val="20"/>
                <w:szCs w:val="20"/>
                <w:color w:val="auto"/>
              </w:rPr>
            </w:pPr>
            <w:r>
              <w:rPr>
                <w:rFonts w:ascii="Arial" w:cs="Arial" w:eastAsia="Arial" w:hAnsi="Arial"/>
                <w:sz w:val="18"/>
                <w:szCs w:val="18"/>
                <w:color w:val="auto"/>
                <w:w w:val="99"/>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40" w:type="dxa"/>
            <w:vAlign w:val="bottom"/>
            <w:gridSpan w:val="31"/>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40" w:type="dxa"/>
            <w:vAlign w:val="bottom"/>
            <w:gridSpan w:val="38"/>
          </w:tcPr>
          <w:p>
            <w:pPr>
              <w:spacing w:after="0"/>
              <w:rPr>
                <w:rFonts w:ascii="Arial" w:cs="Arial" w:eastAsia="Arial" w:hAnsi="Arial"/>
                <w:sz w:val="18"/>
                <w:szCs w:val="18"/>
                <w:color w:val="0000FF"/>
              </w:rPr>
            </w:pPr>
            <w:hyperlink r:id="rId45">
              <w:r>
                <w:rPr>
                  <w:rFonts w:ascii="Arial" w:cs="Arial" w:eastAsia="Arial" w:hAnsi="Arial"/>
                  <w:sz w:val="18"/>
                  <w:szCs w:val="18"/>
                  <w:color w:val="0000FF"/>
                </w:rPr>
                <w:t>Project Agreement between Southwest Gas Corporation and City of Big Bear Lake, California, dated as of</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December 1, 1993. Incorporated herein by reference to Exhibit 10.05 to Form 10-K for the year ended December 31,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2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1993, File No. 001-07850.</w:t>
              </w:r>
            </w:hyperlink>
          </w:p>
        </w:tc>
        <w:tc>
          <w:tcPr>
            <w:tcW w:w="7140" w:type="dxa"/>
            <w:vAlign w:val="bottom"/>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7"/>
              </w:rPr>
            </w:pPr>
            <w:hyperlink r:id="rId73">
              <w:r>
                <w:rPr>
                  <w:rFonts w:ascii="Arial" w:cs="Arial" w:eastAsia="Arial" w:hAnsi="Arial"/>
                  <w:sz w:val="18"/>
                  <w:szCs w:val="18"/>
                  <w:color w:val="0000FF"/>
                  <w:w w:val="97"/>
                </w:rPr>
                <w:t>Southwest  Gas  Corporation  Supplemental  Executive  Retirement  Plan,  amended  and  restated  August  3,  2020.</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Incorporated herein by reference to Exhibit 10.03 to Form 10-Q for the quarter ended September 30, 2020, File Nos.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40" w:type="dxa"/>
            <w:vAlign w:val="bottom"/>
            <w:gridSpan w:val="28"/>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001-37976 and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Southwest Gas Holdings, Inc. Management Incentive Plan, amended and restated August 3, 2020. Incorporated herein</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20" w:type="dxa"/>
            <w:vAlign w:val="bottom"/>
            <w:tcBorders>
              <w:top w:val="single" w:sz="8" w:color="0000FF"/>
            </w:tcBorders>
            <w:gridSpan w:val="37"/>
          </w:tcPr>
          <w:p>
            <w:pPr>
              <w:spacing w:after="0" w:line="15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by reference to Exhibit 10.04 to Form 10-Q for the quarter ended September 30, 2020, File Nos. 001-37976 and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74">
              <w:r>
                <w:rPr>
                  <w:rFonts w:ascii="Arial" w:cs="Arial" w:eastAsia="Arial" w:hAnsi="Arial"/>
                  <w:sz w:val="18"/>
                  <w:szCs w:val="18"/>
                  <w:color w:val="0000FF"/>
                  <w:w w:val="87"/>
                </w:rPr>
                <w:t>07850.</w:t>
              </w:r>
            </w:hyperlink>
          </w:p>
        </w:tc>
        <w:tc>
          <w:tcPr>
            <w:tcW w:w="1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Southwest Gas Corporation Directors Deferral Plan, amended and restated December 28, 2016. Incorporated herein by</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reference to Exhibit 10.05 to Form 10-K for the year ended December 31, 2018, File Nos. 001-37976 and 001-07850.</w:t>
              </w:r>
            </w:hyperlink>
          </w:p>
        </w:tc>
        <w:tc>
          <w:tcPr>
            <w:tcW w:w="6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10.05*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Southwest Gas Corporation 1986 Executive Deferral Plan, amended and restated August 3, 2020. Incorporated herein by</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reference to Exhibit 10.01 to Form 10-Q for the quarter ended September 30, 2020, File Nos. 001-37976 and 001-07850.</w:t>
              </w:r>
            </w:hyperlink>
          </w:p>
        </w:tc>
        <w:tc>
          <w:tcPr>
            <w:tcW w:w="2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10.06*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Southwest Gas Corporation 2005 Executive Deferral Plan, amended and restated August 3, 2020. Incorporated here by</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reference to Exhibit 10.02 to Form 10-Q for the quarter ended September 30, 2020, File Nos. 001-37976 and 001-07850.</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Financing agreement dated as of March 1, 2003 by and between Clark County, Nevada, and Southwest Gas Corporation</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relating to Clark County, Nevada Industrial Development Revenue Bonds Series 2003A, Series 2003B, Series 2003C,</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Series 2003D and Series 2003E. Incorporated herein by reference to Exhibit 10 to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September 30, 2003, File No. 001-07850.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10.08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First Amendment to Financing Agreement by and between Clark County, Nevada, and Southwest Gas Corporation dated</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0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as of July 1, 2005, amending the Financing Agreement dated as of March 1, 2003, with respect to Clark County, Nevada</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6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Industrial Development Revenue Bonds Series 2003A, Series 2003B, Series 2003C, Series 2003D, and Series 2003E.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Incorporated herein by reference to Exhibit 10.2 to Form 10-Q for the quarter ended June 30, 2005, File No.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10.09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Financing Agreement between Clark County, Nevada, and Southwest Gas Corporation, dated as of September 1, 2008,</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8"/>
              </w:rPr>
            </w:pPr>
            <w:hyperlink r:id="rId80">
              <w:r>
                <w:rPr>
                  <w:rFonts w:ascii="Arial" w:cs="Arial" w:eastAsia="Arial" w:hAnsi="Arial"/>
                  <w:sz w:val="18"/>
                  <w:szCs w:val="18"/>
                  <w:color w:val="0000FF"/>
                  <w:w w:val="98"/>
                </w:rPr>
                <w:t>relating to Clark County, Nevada Industrial Development Revenue Bonds Series 2008A. Incorporated herein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gridSpan w:val="26"/>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reference to Exhibit 10.03 to Form 10-Q for the quarter ended September 30, 2008, File No. 001-07850.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Financing Agreement between Clark County, Nevada and Southwest Gas Corporation, dated December 1, 2009, relating</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80" w:type="dxa"/>
            <w:vAlign w:val="bottom"/>
            <w:tcBorders>
              <w:top w:val="single" w:sz="8" w:color="0000FF"/>
            </w:tcBorders>
            <w:gridSpan w:val="30"/>
          </w:tcPr>
          <w:p>
            <w:pPr>
              <w:spacing w:after="0" w:line="156" w:lineRule="exact"/>
              <w:rPr>
                <w:rFonts w:ascii="Arial" w:cs="Arial" w:eastAsia="Arial" w:hAnsi="Arial"/>
                <w:sz w:val="18"/>
                <w:szCs w:val="18"/>
                <w:color w:val="0000FF"/>
                <w:w w:val="97"/>
              </w:rPr>
            </w:pPr>
            <w:hyperlink r:id="rId81">
              <w:r>
                <w:rPr>
                  <w:rFonts w:ascii="Arial" w:cs="Arial" w:eastAsia="Arial" w:hAnsi="Arial"/>
                  <w:sz w:val="18"/>
                  <w:szCs w:val="18"/>
                  <w:color w:val="0000FF"/>
                  <w:w w:val="97"/>
                </w:rPr>
                <w:t>to Clark County, Nevada Industrial Development Revenue Bonds Series 2009A.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Exhibit 10.21 to Form 10-K for the year ended December 31, 2009, File No. 001-07850.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8"/>
              </w:rPr>
            </w:pPr>
            <w:hyperlink r:id="rId82">
              <w:r>
                <w:rPr>
                  <w:rFonts w:ascii="Arial" w:cs="Arial" w:eastAsia="Arial" w:hAnsi="Arial"/>
                  <w:sz w:val="18"/>
                  <w:szCs w:val="18"/>
                  <w:color w:val="0000FF"/>
                  <w:w w:val="98"/>
                </w:rPr>
                <w:t xml:space="preserve">Southwest Gas Corporation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400 million Credit Facility. Incorporated herein by reference to Exhibit 10.2 to Form 8-K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date April 10, 2020, File Nos. 001-07850 and 001-37976.</w:t>
              </w:r>
            </w:hyperlink>
          </w:p>
        </w:tc>
        <w:tc>
          <w:tcPr>
            <w:tcW w:w="4720" w:type="dxa"/>
            <w:vAlign w:val="bottom"/>
            <w:tcBorders>
              <w:top w:val="single" w:sz="8" w:color="0000FF"/>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rPr>
            </w:pPr>
            <w:hyperlink r:id="rId83">
              <w:r>
                <w:rPr>
                  <w:rFonts w:ascii="Arial" w:cs="Arial" w:eastAsia="Arial" w:hAnsi="Arial"/>
                  <w:sz w:val="18"/>
                  <w:szCs w:val="18"/>
                  <w:color w:val="0000FF"/>
                </w:rPr>
                <w:t>Southwest Gas Holdings, Inc. 2006 Restricted Stock/Unit Plan, amended and restated as of December 28, 2016.</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Incorporated herein by reference to Exhibit 10.14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37976 and 001-07850.</w:t>
              </w:r>
            </w:hyperlink>
          </w:p>
        </w:tc>
        <w:tc>
          <w:tcPr>
            <w:tcW w:w="7200" w:type="dxa"/>
            <w:vAlign w:val="bottom"/>
            <w:gridSpan w:val="21"/>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Form of Performance Share Award Agreement with Named Executive Officers. Incorporated herein by reference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Exhibit 10.19 to Form 10-K for the year ended December 31, 2016, File No. 001-07850.</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8"/>
              </w:rPr>
            </w:pPr>
            <w:hyperlink r:id="rId85">
              <w:r>
                <w:rPr>
                  <w:rFonts w:ascii="Arial" w:cs="Arial" w:eastAsia="Arial" w:hAnsi="Arial"/>
                  <w:sz w:val="18"/>
                  <w:szCs w:val="18"/>
                  <w:color w:val="0000FF"/>
                  <w:w w:val="98"/>
                </w:rPr>
                <w:t>Form of Restricted Stock Unit Award Agreement with Named Executive Officers. Incorporated herein by reference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Exhibit 10.20 to Form 10-K for the year ended December 31, 2016, File No. 001-07850.</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 xml:space="preserve">Southwest Gas Holdings, Inc. </w:t>
              </w:r>
              <w:r>
                <w:rPr>
                  <w:rFonts w:ascii="Arial" w:cs="Arial" w:eastAsia="Arial" w:hAnsi="Arial"/>
                  <w:sz w:val="18"/>
                  <w:szCs w:val="18"/>
                  <w:u w:val="single" w:color="auto"/>
                  <w:color w:val="0000FF"/>
                  <w:w w:val="96"/>
                </w:rPr>
                <w:t>$</w:t>
              </w:r>
              <w:r>
                <w:rPr>
                  <w:rFonts w:ascii="Arial" w:cs="Arial" w:eastAsia="Arial" w:hAnsi="Arial"/>
                  <w:sz w:val="18"/>
                  <w:szCs w:val="18"/>
                  <w:color w:val="0000FF"/>
                  <w:w w:val="96"/>
                </w:rPr>
                <w:t>100 million Credit Facility. Incorporated herein by reference to Exhibit 10.1 to Form 8-K</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dated April 10, 2020, File No. 001-37976.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8"/>
              </w:rPr>
            </w:pPr>
            <w:hyperlink r:id="rId87">
              <w:r>
                <w:rPr>
                  <w:rFonts w:ascii="Arial" w:cs="Arial" w:eastAsia="Arial" w:hAnsi="Arial"/>
                  <w:sz w:val="18"/>
                  <w:szCs w:val="18"/>
                  <w:color w:val="0000FF"/>
                  <w:w w:val="98"/>
                </w:rPr>
                <w:t>Centuri Employment Agreement with Paul Daily, Chief Executive Officer. Incorporated herein by reference to Exhibit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June, 30 2017, File No. 001-07850.</w:t>
              </w:r>
            </w:hyperlink>
          </w:p>
        </w:tc>
        <w:tc>
          <w:tcPr>
            <w:tcW w:w="3220" w:type="dxa"/>
            <w:vAlign w:val="bottom"/>
            <w:tcBorders>
              <w:top w:val="single" w:sz="8" w:color="0000FF"/>
            </w:tcBorders>
            <w:gridSpan w:val="11"/>
          </w:tcPr>
          <w:p>
            <w:pPr>
              <w:spacing w:after="0"/>
              <w:rPr>
                <w:sz w:val="13"/>
                <w:szCs w:val="13"/>
                <w:color w:val="auto"/>
              </w:rPr>
            </w:pPr>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40" w:type="dxa"/>
            <w:vAlign w:val="bottom"/>
            <w:gridSpan w:val="38"/>
          </w:tcPr>
          <w:p>
            <w:pPr>
              <w:spacing w:after="0"/>
              <w:rPr>
                <w:rFonts w:ascii="Arial" w:cs="Arial" w:eastAsia="Arial" w:hAnsi="Arial"/>
                <w:sz w:val="18"/>
                <w:szCs w:val="18"/>
                <w:color w:val="0000FF"/>
                <w:w w:val="98"/>
              </w:rPr>
            </w:pPr>
            <w:hyperlink r:id="rId88">
              <w:r>
                <w:rPr>
                  <w:rFonts w:ascii="Arial" w:cs="Arial" w:eastAsia="Arial" w:hAnsi="Arial"/>
                  <w:sz w:val="18"/>
                  <w:szCs w:val="18"/>
                  <w:color w:val="0000FF"/>
                  <w:w w:val="98"/>
                </w:rPr>
                <w:t>Centuri/NPL Executive Deferred Compensation Plan. Incorporated herein by reference to Exhibit 10.02 to Form 10-Q</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for the quarter ended June, 30 2017, File No. 001-07850.</w:t>
              </w:r>
            </w:hyperlink>
          </w:p>
        </w:tc>
        <w:tc>
          <w:tcPr>
            <w:tcW w:w="3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939"/>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tcBorders>
              <w:top w:val="single" w:sz="8" w:color="0000FF"/>
            </w:tcBorders>
            <w:gridSpan w:val="7"/>
          </w:tcPr>
          <w:p>
            <w:pPr>
              <w:ind w:left="3080"/>
              <w:spacing w:after="0"/>
              <w:rPr>
                <w:sz w:val="20"/>
                <w:szCs w:val="20"/>
                <w:color w:val="auto"/>
              </w:rPr>
            </w:pPr>
            <w:r>
              <w:rPr>
                <w:rFonts w:ascii="Arial" w:cs="Arial" w:eastAsia="Arial" w:hAnsi="Arial"/>
                <w:sz w:val="18"/>
                <w:szCs w:val="18"/>
                <w:color w:val="auto"/>
              </w:rPr>
              <w:t>27</w:t>
            </w:r>
          </w:p>
        </w:tc>
        <w:tc>
          <w:tcPr>
            <w:tcW w:w="6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60" w:type="dxa"/>
            <w:vAlign w:val="bottom"/>
            <w:gridSpan w:val="39"/>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60" w:type="dxa"/>
            <w:vAlign w:val="bottom"/>
            <w:gridSpan w:val="3"/>
          </w:tcPr>
          <w:p>
            <w:pPr>
              <w:jc w:val="center"/>
              <w:ind w:right="660"/>
              <w:spacing w:after="0" w:line="175" w:lineRule="exact"/>
              <w:rPr>
                <w:sz w:val="20"/>
                <w:szCs w:val="20"/>
                <w:color w:val="auto"/>
              </w:rPr>
            </w:pPr>
            <w:r>
              <w:rPr>
                <w:rFonts w:ascii="Arial" w:cs="Arial" w:eastAsia="Arial" w:hAnsi="Arial"/>
                <w:sz w:val="16"/>
                <w:szCs w:val="16"/>
                <w:b w:val="1"/>
                <w:bCs w:val="1"/>
                <w:color w:val="auto"/>
                <w:w w:val="92"/>
              </w:rPr>
              <w:t>Number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60" w:type="dxa"/>
            <w:vAlign w:val="bottom"/>
            <w:gridSpan w:val="3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160" w:type="dxa"/>
            <w:vAlign w:val="bottom"/>
            <w:gridSpan w:val="44"/>
          </w:tcPr>
          <w:p>
            <w:pPr>
              <w:spacing w:after="0"/>
              <w:rPr>
                <w:rFonts w:ascii="Arial" w:cs="Arial" w:eastAsia="Arial" w:hAnsi="Arial"/>
                <w:sz w:val="18"/>
                <w:szCs w:val="18"/>
                <w:color w:val="0000FF"/>
                <w:w w:val="97"/>
              </w:rPr>
            </w:pPr>
            <w:hyperlink r:id="rId91">
              <w:r>
                <w:rPr>
                  <w:rFonts w:ascii="Arial" w:cs="Arial" w:eastAsia="Arial" w:hAnsi="Arial"/>
                  <w:sz w:val="18"/>
                  <w:szCs w:val="18"/>
                  <w:color w:val="0000FF"/>
                  <w:w w:val="97"/>
                </w:rPr>
                <w:t>Centuri Long-term Capital Investment Program. Incorporated herein by reference to Exhibit 10.03 to Form 10-Q for the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quarter ended June, 30 2017, File No. 001-07850.</w:t>
              </w:r>
            </w:hyperlink>
          </w:p>
        </w:tc>
        <w:tc>
          <w:tcPr>
            <w:tcW w:w="52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8"/>
              </w:rPr>
            </w:pPr>
            <w:hyperlink r:id="rId92">
              <w:r>
                <w:rPr>
                  <w:rFonts w:ascii="Arial" w:cs="Arial" w:eastAsia="Arial" w:hAnsi="Arial"/>
                  <w:sz w:val="18"/>
                  <w:szCs w:val="18"/>
                  <w:color w:val="0000FF"/>
                  <w:w w:val="98"/>
                </w:rPr>
                <w:t>Centuri Short-term Incentive Program. Incorporated herein by reference to Exhibit 10.01 to Form 10-Q for the quarter</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ended March 31, 2018, File Nos. 001-37976 and 001-07850.</w:t>
              </w:r>
            </w:hyperlink>
          </w:p>
        </w:tc>
        <w:tc>
          <w:tcPr>
            <w:tcW w:w="46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Southwest Gas Holdings, Inc. Omnibus Incentive Plan. Incorporated herein by reference to Appendix B to the Proxy</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Statement dated March 27, 2017,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Form of Change in Control Agreement with Officers. Incorporated herein by reference to Exhibit 10.24 to Form 10-K</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for the year ended December 31, 2017,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8"/>
              </w:rPr>
            </w:pPr>
            <w:hyperlink r:id="rId95">
              <w:r>
                <w:rPr>
                  <w:rFonts w:ascii="Arial" w:cs="Arial" w:eastAsia="Arial" w:hAnsi="Arial"/>
                  <w:sz w:val="18"/>
                  <w:szCs w:val="18"/>
                  <w:color w:val="0000FF"/>
                  <w:w w:val="98"/>
                </w:rPr>
                <w:t xml:space="preserve">Centuri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450 million Credit Facility Agreement. Incorporated herein by reference to Exhibit 10.25 to Form 10-K for the</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year ended December 31, 2017,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Form of Centuri Construction Group, Inc. Short-term Incentive Program. Incorporated herein by reference to Exhibit</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March, 31 2018, File Nos. 001-37976 and 001-07850.</w:t>
              </w:r>
            </w:hyperlink>
          </w:p>
        </w:tc>
        <w:tc>
          <w:tcPr>
            <w:tcW w:w="19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Centuri Construction Group, Inc. Executive Long-Term Incentive Plan. Incorporated herein by reference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Exhibit 10.02 to Form 10-Q for the quarter ended March, 31 2018, File Nos. 001-37976 and 001-07850.</w:t>
              </w:r>
            </w:hyperlink>
          </w:p>
        </w:tc>
        <w:tc>
          <w:tcPr>
            <w:tcW w:w="15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7"/>
              </w:rPr>
            </w:pPr>
            <w:hyperlink r:id="rId97">
              <w:r>
                <w:rPr>
                  <w:rFonts w:ascii="Arial" w:cs="Arial" w:eastAsia="Arial" w:hAnsi="Arial"/>
                  <w:sz w:val="18"/>
                  <w:szCs w:val="18"/>
                  <w:color w:val="0000FF"/>
                  <w:w w:val="97"/>
                </w:rPr>
                <w:t>Southwest Gas Corporation Board of Directors Retirement Plan, amended and restated effective December 28, 2016.</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Incorporated herein by reference to Exhibit 10.28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37976 and 001-07850.</w:t>
              </w:r>
            </w:hyperlink>
          </w:p>
        </w:tc>
        <w:tc>
          <w:tcPr>
            <w:tcW w:w="730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6"/>
              </w:rPr>
            </w:pPr>
            <w:hyperlink r:id="rId98">
              <w:r>
                <w:rPr>
                  <w:rFonts w:ascii="Arial" w:cs="Arial" w:eastAsia="Arial" w:hAnsi="Arial"/>
                  <w:sz w:val="18"/>
                  <w:szCs w:val="18"/>
                  <w:color w:val="0000FF"/>
                  <w:w w:val="96"/>
                </w:rPr>
                <w:t>Southwest Gas Corporation Directors Deferral Plan, amended and restated November 14, 2018. Incorporated herein by</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reference to Exhibit 10.29 to Form 10-K for the year ended December 31, 2018, File Nos. 001-37976 and 001-07850.</w:t>
              </w:r>
            </w:hyperlink>
          </w:p>
        </w:tc>
        <w:tc>
          <w:tcPr>
            <w:tcW w:w="4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7"/>
              </w:rPr>
            </w:pPr>
            <w:hyperlink r:id="rId99">
              <w:r>
                <w:rPr>
                  <w:rFonts w:ascii="Arial" w:cs="Arial" w:eastAsia="Arial" w:hAnsi="Arial"/>
                  <w:sz w:val="18"/>
                  <w:szCs w:val="18"/>
                  <w:color w:val="0000FF"/>
                  <w:w w:val="97"/>
                </w:rPr>
                <w:t>First Amendment to Centuri and subsidiaries Credit Facility Agreement, the other credit parties referred to therein, and</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4"/>
              </w:rPr>
            </w:pPr>
            <w:hyperlink r:id="rId99">
              <w:r>
                <w:rPr>
                  <w:rFonts w:ascii="Arial" w:cs="Arial" w:eastAsia="Arial" w:hAnsi="Arial"/>
                  <w:sz w:val="18"/>
                  <w:szCs w:val="18"/>
                  <w:color w:val="0000FF"/>
                  <w:w w:val="94"/>
                </w:rPr>
                <w:t>Wells Fargo Bank. Incorporated herein by reference to Exhibit 10.30 to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12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2018, File Nos. 001-37976 and 001-07850.</w:t>
              </w:r>
            </w:hyperlink>
          </w:p>
        </w:tc>
        <w:tc>
          <w:tcPr>
            <w:tcW w:w="584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6"/>
              </w:rPr>
            </w:pPr>
            <w:hyperlink r:id="rId100">
              <w:r>
                <w:rPr>
                  <w:rFonts w:ascii="Arial" w:cs="Arial" w:eastAsia="Arial" w:hAnsi="Arial"/>
                  <w:sz w:val="18"/>
                  <w:szCs w:val="18"/>
                  <w:color w:val="0000FF"/>
                  <w:w w:val="96"/>
                </w:rPr>
                <w:t>Amendment to the Centuri Group, Inc. Executive Long-Term Incentive Plan. Incorporated herein by reference to Exhibit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01</w:t>
              </w:r>
              <w:r>
                <w:rPr>
                  <w:rFonts w:ascii="Arial" w:cs="Arial" w:eastAsia="Arial" w:hAnsi="Arial"/>
                  <w:sz w:val="18"/>
                  <w:szCs w:val="18"/>
                  <w:color w:val="0000FF"/>
                  <w:w w:val="90"/>
                </w:rPr>
                <w:t xml:space="preserve"> to form 10-Q for the quarter ended March 31, 2019, File Nos. 001-37976 and 001-07850.</w:t>
              </w:r>
            </w:hyperlink>
          </w:p>
        </w:tc>
        <w:tc>
          <w:tcPr>
            <w:tcW w:w="190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6"/>
              </w:rPr>
            </w:pPr>
            <w:hyperlink r:id="rId101">
              <w:r>
                <w:rPr>
                  <w:rFonts w:ascii="Arial" w:cs="Arial" w:eastAsia="Arial" w:hAnsi="Arial"/>
                  <w:sz w:val="18"/>
                  <w:szCs w:val="18"/>
                  <w:color w:val="0000FF"/>
                  <w:w w:val="96"/>
                </w:rPr>
                <w:t>Amendment to the Centuri Group, Inc. Long-Term Capital Investment Plan. Incorporated herein by reference to Exhibit</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10.</w:t>
              </w:r>
              <w:r>
                <w:rPr>
                  <w:rFonts w:ascii="Arial" w:cs="Arial" w:eastAsia="Arial" w:hAnsi="Arial"/>
                  <w:sz w:val="18"/>
                  <w:szCs w:val="18"/>
                  <w:u w:val="single" w:color="auto"/>
                  <w:color w:val="0000FF"/>
                </w:rPr>
                <w:t>02</w:t>
              </w:r>
              <w:r>
                <w:rPr>
                  <w:rFonts w:ascii="Arial" w:cs="Arial" w:eastAsia="Arial" w:hAnsi="Arial"/>
                  <w:sz w:val="18"/>
                  <w:szCs w:val="18"/>
                  <w:color w:val="0000FF"/>
                </w:rPr>
                <w:t xml:space="preserve"> to form 10-Q for the quarter ended March 31, 2019, File Nos. 001-37976 and 1-7850.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7"/>
              </w:rPr>
            </w:pPr>
            <w:hyperlink r:id="rId102">
              <w:r>
                <w:rPr>
                  <w:rFonts w:ascii="Arial" w:cs="Arial" w:eastAsia="Arial" w:hAnsi="Arial"/>
                  <w:sz w:val="18"/>
                  <w:szCs w:val="18"/>
                  <w:color w:val="0000FF"/>
                  <w:w w:val="97"/>
                </w:rPr>
                <w:t>Form of Paul Daily Award Agreement under the Centuri Group, Inc. Executive Long-Term Incentive Plan. Incorporated</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40" w:type="dxa"/>
            <w:vAlign w:val="bottom"/>
            <w:tcBorders>
              <w:top w:val="single" w:sz="8" w:color="0000FF"/>
            </w:tcBorders>
            <w:gridSpan w:val="43"/>
          </w:tcPr>
          <w:p>
            <w:pPr>
              <w:spacing w:after="0" w:line="156"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herein by reference to Exhibit 10.03 to form 10-Q for the quarter ended March 31, 2019, File Nos. 001-37976 and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02">
              <w:r>
                <w:rPr>
                  <w:rFonts w:ascii="Arial" w:cs="Arial" w:eastAsia="Arial" w:hAnsi="Arial"/>
                  <w:sz w:val="18"/>
                  <w:szCs w:val="18"/>
                  <w:color w:val="0000FF"/>
                  <w:w w:val="87"/>
                </w:rPr>
                <w:t>07850.</w:t>
              </w:r>
            </w:hyperlink>
          </w:p>
        </w:tc>
        <w:tc>
          <w:tcPr>
            <w:tcW w:w="3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Amendment to the Centuri Group, Inc. Executive Deferred Compensation Plan. Incorporated herein by reference to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Exhibit 10.01 to Form 10-Q for the quarter ended March 31, 2020, File Nos. 001-37976 and 001-07850.</w:t>
              </w:r>
            </w:hyperlink>
          </w:p>
        </w:tc>
        <w:tc>
          <w:tcPr>
            <w:tcW w:w="15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7"/>
              </w:rPr>
            </w:pPr>
            <w:hyperlink r:id="rId104">
              <w:r>
                <w:rPr>
                  <w:rFonts w:ascii="Arial" w:cs="Arial" w:eastAsia="Arial" w:hAnsi="Arial"/>
                  <w:sz w:val="18"/>
                  <w:szCs w:val="18"/>
                  <w:color w:val="0000FF"/>
                  <w:w w:val="97"/>
                </w:rPr>
                <w:t>Southwest Gas Corporation Employees’ Investment Plan. Incorporated herein by reference to Exhibit 4.1 to Form S-8</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dated December 16, 2016, File No. 333-215145.</w:t>
              </w:r>
            </w:hyperlink>
          </w:p>
        </w:tc>
        <w:tc>
          <w:tcPr>
            <w:tcW w:w="548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10.33</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6"/>
              </w:rPr>
            </w:pPr>
            <w:hyperlink r:id="rId105">
              <w:r>
                <w:rPr>
                  <w:rFonts w:ascii="Arial" w:cs="Arial" w:eastAsia="Arial" w:hAnsi="Arial"/>
                  <w:sz w:val="18"/>
                  <w:szCs w:val="18"/>
                  <w:color w:val="0000FF"/>
                  <w:w w:val="96"/>
                </w:rPr>
                <w:t>Term Loan Agreement, dated as of March 23, 2021, by and among Southwest Gas Corporation, The Bank of New York</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Mellon, as Administrative Agent, and the lenders party, book runners and syndication agents thereto. Incorporated</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4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herein by reference to Exhibit 10.1 to Form 8-K dated March 23, 2021, File Nos. 001-37976 and 001-07850.</w:t>
              </w:r>
            </w:hyperlink>
          </w:p>
        </w:tc>
        <w:tc>
          <w:tcPr>
            <w:tcW w:w="11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10.34*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rPr>
            </w:pPr>
            <w:hyperlink r:id="rId106">
              <w:r>
                <w:rPr>
                  <w:rFonts w:ascii="Arial" w:cs="Arial" w:eastAsia="Arial" w:hAnsi="Arial"/>
                  <w:sz w:val="18"/>
                  <w:szCs w:val="18"/>
                  <w:color w:val="0000FF"/>
                </w:rPr>
                <w:t>Credit Agreement with Wells Fargo Securities, LLC and BofA Securities, Inc., as joint lead arrangers, Wells Fargo</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Bank, National Association, as administrative agent, Bank of America, N.A., as syndication agent, and the other lenders</w:t>
              </w:r>
            </w:hyperlink>
          </w:p>
        </w:tc>
        <w:tc>
          <w:tcPr>
            <w:tcW w:w="260" w:type="dxa"/>
            <w:vAlign w:val="bottom"/>
            <w:tcBorders>
              <w:bottom w:val="single" w:sz="8" w:color="0000FF"/>
            </w:tcBorders>
            <w:gridSpan w:val="1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120" w:type="dxa"/>
            <w:vAlign w:val="bottom"/>
            <w:gridSpan w:val="42"/>
          </w:tcPr>
          <w:p>
            <w:pPr>
              <w:spacing w:after="0" w:line="156"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and agents party thereto. Incorporated herein by reference to Exhibit 10.1 to Form 8-K dated August 27, 2021, File No.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001-37976.</w:t>
              </w:r>
            </w:hyperlink>
          </w:p>
        </w:tc>
        <w:tc>
          <w:tcPr>
            <w:tcW w:w="8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20" w:type="dxa"/>
            <w:vAlign w:val="bottom"/>
          </w:tcPr>
          <w:p>
            <w:pPr>
              <w:ind w:left="20"/>
              <w:spacing w:after="0"/>
              <w:rPr>
                <w:sz w:val="20"/>
                <w:szCs w:val="20"/>
                <w:color w:val="auto"/>
              </w:rPr>
            </w:pPr>
            <w:r>
              <w:rPr>
                <w:rFonts w:ascii="Arial" w:cs="Arial" w:eastAsia="Arial" w:hAnsi="Arial"/>
                <w:sz w:val="18"/>
                <w:szCs w:val="18"/>
                <w:color w:val="auto"/>
              </w:rPr>
              <w:t>10.35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8"/>
              </w:rPr>
            </w:pPr>
            <w:hyperlink r:id="rId107">
              <w:r>
                <w:rPr>
                  <w:rFonts w:ascii="Arial" w:cs="Arial" w:eastAsia="Arial" w:hAnsi="Arial"/>
                  <w:sz w:val="18"/>
                  <w:szCs w:val="18"/>
                  <w:color w:val="0000FF"/>
                  <w:w w:val="98"/>
                </w:rPr>
                <w:t>364-Day Term Loan Credit Agreement dated November 1, 2021 with JPMorgan Chase Bank, N.A., as Administrative</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6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r:id="rId107">
              <w:r>
                <w:rPr>
                  <w:rFonts w:ascii="Arial" w:cs="Arial" w:eastAsia="Arial" w:hAnsi="Arial"/>
                  <w:sz w:val="18"/>
                  <w:szCs w:val="18"/>
                  <w:color w:val="0000FF"/>
                  <w:w w:val="96"/>
                </w:rPr>
                <w:t>Agent, the lenders party thereto, Bank of America, N.A., as Syndication Agent, and JPMorgan Chase Bank, N.A. and</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BofA Securities, Inc. as Joint Lead Arranger and Joint Bookrunner. Incorporated herein by reference to Exhibit 10.1 to</w:t>
              </w:r>
            </w:hyperlink>
          </w:p>
        </w:tc>
        <w:tc>
          <w:tcPr>
            <w:tcW w:w="280" w:type="dxa"/>
            <w:vAlign w:val="bottom"/>
            <w:tcBorders>
              <w:bottom w:val="single" w:sz="8" w:color="0000FF"/>
            </w:tcBorders>
            <w:gridSpan w:val="1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10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Form 8-K dated November 1, 2021, File No. 001-37976.</w:t>
              </w:r>
            </w:hyperlink>
          </w:p>
        </w:tc>
        <w:tc>
          <w:tcPr>
            <w:tcW w:w="5000" w:type="dxa"/>
            <w:vAlign w:val="bottom"/>
            <w:gridSpan w:val="3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20"/>
              <w:spacing w:after="0"/>
              <w:rPr>
                <w:sz w:val="20"/>
                <w:szCs w:val="20"/>
                <w:color w:val="auto"/>
              </w:rPr>
            </w:pPr>
            <w:r>
              <w:rPr>
                <w:rFonts w:ascii="Arial" w:cs="Arial" w:eastAsia="Arial" w:hAnsi="Arial"/>
                <w:sz w:val="18"/>
                <w:szCs w:val="18"/>
                <w:color w:val="auto"/>
              </w:rPr>
              <w:t>10.36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160" w:type="dxa"/>
            <w:vAlign w:val="bottom"/>
            <w:gridSpan w:val="44"/>
          </w:tcPr>
          <w:p>
            <w:pPr>
              <w:spacing w:after="0"/>
              <w:rPr>
                <w:rFonts w:ascii="Arial" w:cs="Arial" w:eastAsia="Arial" w:hAnsi="Arial"/>
                <w:sz w:val="18"/>
                <w:szCs w:val="18"/>
                <w:color w:val="0000FF"/>
                <w:w w:val="98"/>
              </w:rPr>
            </w:pPr>
            <w:hyperlink r:id="rId108">
              <w:r>
                <w:rPr>
                  <w:rFonts w:ascii="Arial" w:cs="Arial" w:eastAsia="Arial" w:hAnsi="Arial"/>
                  <w:sz w:val="18"/>
                  <w:szCs w:val="18"/>
                  <w:color w:val="0000FF"/>
                  <w:w w:val="98"/>
                </w:rPr>
                <w:t xml:space="preserve">Amendment No. 1 to the Southwest Gas Corporation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400 million Credit Facility. Incorporated herein by reference to</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Exhibit 10.2 to Form 8-K dated December 28, 2021, File Nos. 001-37976 and 001-07850.</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tcBorders>
              <w:top w:val="single" w:sz="8" w:color="0000FF"/>
            </w:tcBorders>
            <w:gridSpan w:val="5"/>
          </w:tcPr>
          <w:p>
            <w:pPr>
              <w:ind w:left="308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84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Exhibit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76"/>
        </w:trPr>
        <w:tc>
          <w:tcPr>
            <w:tcW w:w="2440" w:type="dxa"/>
            <w:vAlign w:val="bottom"/>
            <w:gridSpan w:val="3"/>
          </w:tcPr>
          <w:p>
            <w:pPr>
              <w:jc w:val="center"/>
              <w:ind w:right="680"/>
              <w:spacing w:after="0" w:line="175" w:lineRule="exact"/>
              <w:rPr>
                <w:sz w:val="20"/>
                <w:szCs w:val="20"/>
                <w:color w:val="auto"/>
              </w:rPr>
            </w:pPr>
            <w:r>
              <w:rPr>
                <w:rFonts w:ascii="Arial" w:cs="Arial" w:eastAsia="Arial" w:hAnsi="Arial"/>
                <w:sz w:val="16"/>
                <w:szCs w:val="16"/>
                <w:b w:val="1"/>
                <w:bCs w:val="1"/>
                <w:color w:val="auto"/>
                <w:w w:val="92"/>
              </w:rPr>
              <w:t>Number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3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10.37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 xml:space="preserve">Amendment No. 1 to the Southwest Gas Holdings, Inc.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200 million Credit Facility. Incorporated herein by reference to</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Exhibit 10.1 to Form 8-K dated December 28, 2021, File Nos. 001-37976 and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13.01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Portions of Southwest Gas Holdings, Inc. 2021 Annual Report to Stockholders incorporated by reference to the Form</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10-K.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w w:val="98"/>
              </w:rPr>
              <w:t>21.01**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List of subsidiaries - Southwest Gas Holdings, Inc.</w:t>
              </w:r>
            </w:hyperlink>
          </w:p>
        </w:tc>
        <w:tc>
          <w:tcPr>
            <w:tcW w:w="51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w w:val="98"/>
              </w:rPr>
              <w:t>23.01**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w w:val="92"/>
              </w:rPr>
            </w:pPr>
            <w:hyperlink w:anchor="page130">
              <w:r>
                <w:rPr>
                  <w:rFonts w:ascii="Arial" w:cs="Arial" w:eastAsia="Arial" w:hAnsi="Arial"/>
                  <w:sz w:val="18"/>
                  <w:szCs w:val="18"/>
                  <w:color w:val="0000FF"/>
                  <w:w w:val="92"/>
                </w:rPr>
                <w:t>Consent of PricewaterhouseCoopers LLP, an independent registered public accounting firm - Southwest Gas Holdings,</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30">
              <w:r>
                <w:rPr>
                  <w:rFonts w:ascii="Arial" w:cs="Arial" w:eastAsia="Arial" w:hAnsi="Arial"/>
                  <w:sz w:val="18"/>
                  <w:szCs w:val="18"/>
                  <w:color w:val="0000FF"/>
                </w:rPr>
                <w:t>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w w:val="98"/>
              </w:rPr>
              <w:t>23.02**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w w:val="94"/>
              </w:rPr>
            </w:pPr>
            <w:hyperlink w:anchor="page131">
              <w:r>
                <w:rPr>
                  <w:rFonts w:ascii="Arial" w:cs="Arial" w:eastAsia="Arial" w:hAnsi="Arial"/>
                  <w:sz w:val="18"/>
                  <w:szCs w:val="18"/>
                  <w:color w:val="0000FF"/>
                  <w:w w:val="94"/>
                </w:rPr>
                <w:t>Consent  of  PricewaterhouseCoopers  LLP,  an  independent  registered  public  accounting  firm  -  Southwest  Gas</w:t>
              </w:r>
            </w:hyperlink>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31">
              <w:r>
                <w:rPr>
                  <w:rFonts w:ascii="Arial" w:cs="Arial" w:eastAsia="Arial" w:hAnsi="Arial"/>
                  <w:sz w:val="18"/>
                  <w:szCs w:val="18"/>
                  <w:color w:val="0000FF"/>
                </w:rPr>
                <w:t>Corporation.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0"/>
                <w:szCs w:val="20"/>
                <w:color w:val="auto"/>
              </w:rPr>
            </w:pPr>
            <w:r>
              <w:rPr>
                <w:rFonts w:ascii="Arial" w:cs="Arial" w:eastAsia="Arial" w:hAnsi="Arial"/>
                <w:sz w:val="18"/>
                <w:szCs w:val="18"/>
                <w:color w:val="auto"/>
                <w:w w:val="98"/>
              </w:rPr>
              <w:t>31.01**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Section 302 Certifications–Southwest Gas Holdings, Inc.</w:t>
              </w:r>
            </w:hyperlink>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w w:val="98"/>
              </w:rPr>
              <w:t>31.02**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134">
              <w:r>
                <w:rPr>
                  <w:rFonts w:ascii="Arial" w:cs="Arial" w:eastAsia="Arial" w:hAnsi="Arial"/>
                  <w:sz w:val="18"/>
                  <w:szCs w:val="18"/>
                  <w:color w:val="0000FF"/>
                  <w:w w:val="90"/>
                </w:rPr>
                <w:t>Section 302 Certifications–Southwest Gas Corporation.</w:t>
              </w:r>
            </w:hyperlink>
          </w:p>
        </w:tc>
        <w:tc>
          <w:tcPr>
            <w:tcW w:w="100" w:type="dxa"/>
            <w:vAlign w:val="bottom"/>
            <w:tcBorders>
              <w:top w:val="single" w:sz="8" w:color="0000FF"/>
            </w:tcBorders>
          </w:tcPr>
          <w:p>
            <w:pPr>
              <w:spacing w:after="0"/>
              <w:rPr>
                <w:sz w:val="22"/>
                <w:szCs w:val="22"/>
                <w:color w:val="auto"/>
              </w:rPr>
            </w:pPr>
          </w:p>
        </w:tc>
        <w:tc>
          <w:tcPr>
            <w:tcW w:w="46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w w:val="98"/>
              </w:rPr>
              <w:t>32.01**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0" w:type="dxa"/>
            <w:vAlign w:val="bottom"/>
            <w:gridSpan w:val="14"/>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Section 906 Certifications–Southwest Gas Holdings, Inc.</w:t>
              </w:r>
            </w:hyperlink>
          </w:p>
        </w:tc>
        <w:tc>
          <w:tcPr>
            <w:tcW w:w="0" w:type="dxa"/>
            <w:vAlign w:val="bottom"/>
          </w:tcPr>
          <w:p>
            <w:pPr>
              <w:spacing w:after="0"/>
              <w:rPr>
                <w:sz w:val="1"/>
                <w:szCs w:val="1"/>
                <w:color w:val="auto"/>
              </w:rPr>
            </w:pPr>
          </w:p>
        </w:tc>
      </w:tr>
      <w:tr>
        <w:trPr>
          <w:trHeight w:val="264"/>
        </w:trPr>
        <w:tc>
          <w:tcPr>
            <w:tcW w:w="600" w:type="dxa"/>
            <w:vAlign w:val="bottom"/>
          </w:tcPr>
          <w:p>
            <w:pPr>
              <w:spacing w:after="0"/>
              <w:rPr>
                <w:sz w:val="20"/>
                <w:szCs w:val="20"/>
                <w:color w:val="auto"/>
              </w:rPr>
            </w:pPr>
            <w:r>
              <w:rPr>
                <w:rFonts w:ascii="Arial" w:cs="Arial" w:eastAsia="Arial" w:hAnsi="Arial"/>
                <w:sz w:val="18"/>
                <w:szCs w:val="18"/>
                <w:color w:val="auto"/>
                <w:w w:val="98"/>
              </w:rPr>
              <w:t>32.02**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137">
              <w:r>
                <w:rPr>
                  <w:rFonts w:ascii="Arial" w:cs="Arial" w:eastAsia="Arial" w:hAnsi="Arial"/>
                  <w:sz w:val="18"/>
                  <w:szCs w:val="18"/>
                  <w:color w:val="0000FF"/>
                  <w:w w:val="90"/>
                </w:rPr>
                <w:t>Section 906 Certifications–Southwest Gas Corporation.</w:t>
              </w:r>
            </w:hyperlink>
          </w:p>
        </w:tc>
        <w:tc>
          <w:tcPr>
            <w:tcW w:w="100" w:type="dxa"/>
            <w:vAlign w:val="bottom"/>
            <w:tcBorders>
              <w:top w:val="single" w:sz="8" w:color="0000FF"/>
            </w:tcBorders>
          </w:tcPr>
          <w:p>
            <w:pPr>
              <w:spacing w:after="0"/>
              <w:rPr>
                <w:sz w:val="22"/>
                <w:szCs w:val="22"/>
                <w:color w:val="auto"/>
              </w:rPr>
            </w:pPr>
          </w:p>
        </w:tc>
        <w:tc>
          <w:tcPr>
            <w:tcW w:w="46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0" w:type="dxa"/>
            <w:vAlign w:val="bottom"/>
            <w:gridSpan w:val="14"/>
          </w:tcPr>
          <w:p>
            <w:pPr>
              <w:spacing w:after="0"/>
              <w:rPr>
                <w:sz w:val="20"/>
                <w:szCs w:val="20"/>
                <w:color w:val="auto"/>
              </w:rPr>
            </w:pPr>
            <w:r>
              <w:rPr>
                <w:rFonts w:ascii="Arial" w:cs="Arial" w:eastAsia="Arial" w:hAnsi="Arial"/>
                <w:sz w:val="18"/>
                <w:szCs w:val="18"/>
                <w:color w:val="auto"/>
                <w:w w:val="96"/>
              </w:rPr>
              <w:t>The following materials from the Annual Report on Form 10-K of Southwest Gas Holdings, Inc. and Southwest Gas</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6"/>
              </w:rPr>
              <w:t>Corporation for the year ended December 31, 2021, were formatted in Inline XBRL (Extensible Business Reporting</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rPr>
              <w:t>Language): (1) Southwest Gas Holdings, Inc. Consolidated Balance Sheets, (ii) Southwest Gas Holdings, Inc.</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5"/>
              </w:rPr>
              <w:t>Consolidated Statements of Income, (iii) Southwest Gas Holdings, Inc. Consolidated Statements of Comprehensive</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4"/>
              </w:rPr>
              <w:t>Income, (iv) Southwest Gas Holdings, Inc. Consolidated Statements of Cash Flows, (v) Southwest Gas Holdings, Inc.</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2"/>
              </w:rPr>
              <w:t>Consolidated Statements of Equity, (vi) Southwest Gas Corporation Consolidated Balance Sheets, (vii) Southwest Gas</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9"/>
              </w:rPr>
              <w:t>Corporation Consolidated Statements of Income, (viii) Southwest Gas Corporation Consolidated Statements of</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3"/>
              </w:rPr>
              <w:t>Comprehensive Income, (ix) Southwest Gas Corporation Consolidated Statements of Cash Flows, (x) Southwest Gas</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0" w:type="dxa"/>
            <w:vAlign w:val="bottom"/>
            <w:gridSpan w:val="14"/>
          </w:tcPr>
          <w:p>
            <w:pPr>
              <w:spacing w:after="0" w:line="176" w:lineRule="exact"/>
              <w:rPr>
                <w:sz w:val="20"/>
                <w:szCs w:val="20"/>
                <w:color w:val="auto"/>
              </w:rPr>
            </w:pPr>
            <w:r>
              <w:rPr>
                <w:rFonts w:ascii="Arial" w:cs="Arial" w:eastAsia="Arial" w:hAnsi="Arial"/>
                <w:sz w:val="18"/>
                <w:szCs w:val="18"/>
                <w:color w:val="auto"/>
                <w:w w:val="95"/>
              </w:rPr>
              <w:t>Corporation Consolidated Statements of Equity. The instance document does not appear in the Interactive Data File</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7640" w:firstLine="6"/>
        <w:spacing w:after="0" w:line="328"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Contracts or Compensation Plans ** Filed herewith</w:t>
      </w:r>
    </w:p>
    <w:p>
      <w:pPr>
        <w:spacing w:after="0" w:line="1" w:lineRule="exact"/>
        <w:rPr>
          <w:sz w:val="20"/>
          <w:szCs w:val="20"/>
          <w:color w:val="auto"/>
        </w:rPr>
      </w:pPr>
    </w:p>
    <w:p>
      <w:pPr>
        <w:ind w:right="60" w:firstLine="6"/>
        <w:spacing w:after="0" w:line="246"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Southwest Gas Holdings, Inc. has omitted schedules and other similar attachments to such agreement pursuant to Item 601(b) of Regulation S-K. The Company will furnish a copy of such omitted document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14"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020" w:type="dxa"/>
            <w:vAlign w:val="bottom"/>
          </w:tcPr>
          <w:p>
            <w:pPr>
              <w:spacing w:after="0"/>
              <w:rPr>
                <w:sz w:val="20"/>
                <w:szCs w:val="20"/>
                <w:color w:val="auto"/>
              </w:rPr>
            </w:pPr>
            <w:r>
              <w:rPr>
                <w:rFonts w:ascii="Arial" w:cs="Arial" w:eastAsia="Arial" w:hAnsi="Arial"/>
                <w:sz w:val="18"/>
                <w:szCs w:val="18"/>
                <w:color w:val="auto"/>
              </w:rPr>
              <w:t>Date: March 1, 2022</w:t>
            </w:r>
          </w:p>
        </w:tc>
        <w:tc>
          <w:tcPr>
            <w:tcW w:w="3140" w:type="dxa"/>
            <w:vAlign w:val="bottom"/>
          </w:tcPr>
          <w:p>
            <w:pPr>
              <w:ind w:left="25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r>
      <w:tr>
        <w:trPr>
          <w:trHeight w:val="224"/>
        </w:trPr>
        <w:tc>
          <w:tcPr>
            <w:tcW w:w="4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John P. Hester</w:t>
            </w:r>
          </w:p>
        </w:tc>
      </w:tr>
    </w:tbl>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 BOUGHNER</w:t>
            </w:r>
          </w:p>
        </w:tc>
        <w:tc>
          <w:tcPr>
            <w:tcW w:w="340" w:type="dxa"/>
            <w:vAlign w:val="bottom"/>
          </w:tcPr>
          <w:p>
            <w:pPr>
              <w:spacing w:after="0"/>
              <w:rPr>
                <w:sz w:val="23"/>
                <w:szCs w:val="23"/>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(Robert L. Boughner)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JOSÉ A. CÁRDENAS</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7"/>
              </w:rPr>
              <w:t>(José A. Cárdenas)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C. COMER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9"/>
              </w:rPr>
              <w:t>(Stephen C. Comer)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 RENAE CONLEY</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(E. Renae Conley)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Director, President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LEWIS-RAYMOND</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ANNE L. MARIUCCI</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5"/>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MELARKEY</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Chairman of the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40" w:type="dxa"/>
            <w:vAlign w:val="bottom"/>
          </w:tcPr>
          <w:p>
            <w:pPr>
              <w:spacing w:after="0"/>
              <w:rPr>
                <w:sz w:val="19"/>
                <w:szCs w:val="19"/>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of Directors</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A. RUISANCHEZ</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0"/>
              </w:rPr>
              <w:t>(Carlos A. Ruisanchez)</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RANDALL THOMAN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(A. Randall Thoman)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A. THOMAS</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1"/>
              </w:rPr>
              <w:t>(Thomas A. Thomas)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T. THORNTON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PETERSON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4220" w:type="dxa"/>
            <w:vAlign w:val="bottom"/>
          </w:tcPr>
          <w:p>
            <w:pPr>
              <w:spacing w:after="0"/>
              <w:rPr>
                <w:sz w:val="20"/>
                <w:szCs w:val="20"/>
                <w:color w:val="auto"/>
              </w:rPr>
            </w:pPr>
            <w:r>
              <w:rPr>
                <w:rFonts w:ascii="Arial" w:cs="Arial" w:eastAsia="Arial" w:hAnsi="Arial"/>
                <w:sz w:val="18"/>
                <w:szCs w:val="18"/>
                <w:color w:val="auto"/>
              </w:rPr>
              <w:t>Date: March 1, 2022</w:t>
            </w:r>
          </w:p>
        </w:tc>
        <w:tc>
          <w:tcPr>
            <w:tcW w:w="3320" w:type="dxa"/>
            <w:vAlign w:val="bottom"/>
          </w:tcPr>
          <w:p>
            <w:pPr>
              <w:ind w:left="27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r>
      <w:tr>
        <w:trPr>
          <w:trHeight w:val="224"/>
        </w:trPr>
        <w:tc>
          <w:tcPr>
            <w:tcW w:w="4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John P. Hester</w:t>
            </w:r>
          </w:p>
        </w:tc>
      </w:tr>
    </w:tbl>
    <w:p>
      <w:pPr>
        <w:ind w:left="69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Southwest Gas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6"/>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HESTER</w:t>
            </w:r>
          </w:p>
        </w:tc>
        <w:tc>
          <w:tcPr>
            <w:tcW w:w="340" w:type="dxa"/>
            <w:vAlign w:val="bottom"/>
          </w:tcPr>
          <w:p>
            <w:pPr>
              <w:spacing w:after="0"/>
              <w:rPr>
                <w:sz w:val="24"/>
                <w:szCs w:val="24"/>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Director, President and Chief Executive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6"/>
              </w:rPr>
              <w:t>(John P. Hester)</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J. MELARKEY</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3"/>
              </w:rPr>
              <w:t>(Michael J. Melarkey)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S. HALLER</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Director, Executive Vice President/Chief Legal</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2"/>
              </w:rPr>
              <w:t>(Karen S. Haller)</w:t>
            </w:r>
          </w:p>
        </w:tc>
        <w:tc>
          <w:tcPr>
            <w:tcW w:w="340" w:type="dxa"/>
            <w:vAlign w:val="bottom"/>
          </w:tcPr>
          <w:p>
            <w:pPr>
              <w:spacing w:after="0"/>
              <w:rPr>
                <w:sz w:val="19"/>
                <w:szCs w:val="19"/>
                <w:color w:val="auto"/>
              </w:rPr>
            </w:pPr>
          </w:p>
        </w:tc>
        <w:tc>
          <w:tcPr>
            <w:tcW w:w="50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and Administrative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PETERSON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Director, Senior Vice President/</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8"/>
              </w:rPr>
              <w:t>(Gregory J. Peterson)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tcPr>
          <w:p>
            <w:pPr>
              <w:spacing w:after="0"/>
              <w:rPr>
                <w:sz w:val="19"/>
                <w:szCs w:val="19"/>
                <w:color w:val="auto"/>
              </w:rPr>
            </w:pPr>
          </w:p>
        </w:tc>
      </w:tr>
      <w:tr>
        <w:trPr>
          <w:trHeight w:val="28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LORI L. COLVIN</w:t>
            </w:r>
          </w:p>
        </w:tc>
        <w:tc>
          <w:tcPr>
            <w:tcW w:w="340" w:type="dxa"/>
            <w:vAlign w:val="bottom"/>
          </w:tcPr>
          <w:p>
            <w:pPr>
              <w:spacing w:after="0"/>
              <w:rPr>
                <w:sz w:val="24"/>
                <w:szCs w:val="24"/>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Vice President/Controller/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1, 2022</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99"/>
              </w:rPr>
              <w:t>(Lori L. Colvin)</w:t>
            </w:r>
          </w:p>
        </w:tc>
        <w:tc>
          <w:tcPr>
            <w:tcW w:w="340" w:type="dxa"/>
            <w:vAlign w:val="bottom"/>
          </w:tcPr>
          <w:p>
            <w:pPr>
              <w:spacing w:after="0"/>
              <w:rPr>
                <w:sz w:val="19"/>
                <w:szCs w:val="19"/>
                <w:color w:val="auto"/>
              </w:rPr>
            </w:pPr>
          </w:p>
        </w:tc>
        <w:tc>
          <w:tcPr>
            <w:tcW w:w="5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Chief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891" w:right="35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22"/>
          <w:szCs w:val="22"/>
          <w:b w:val="1"/>
          <w:bCs w:val="1"/>
          <w:color w:val="auto"/>
        </w:rPr>
        <w:t>DESCRIPTION OF COMMON STOCK</w:t>
      </w:r>
    </w:p>
    <w:p>
      <w:pPr>
        <w:spacing w:after="0" w:line="266" w:lineRule="exact"/>
        <w:rPr>
          <w:sz w:val="20"/>
          <w:szCs w:val="20"/>
          <w:color w:val="auto"/>
        </w:rPr>
      </w:pPr>
    </w:p>
    <w:p>
      <w:pPr>
        <w:ind w:firstLine="769"/>
        <w:spacing w:after="0" w:line="273" w:lineRule="auto"/>
        <w:rPr>
          <w:sz w:val="20"/>
          <w:szCs w:val="20"/>
          <w:color w:val="auto"/>
        </w:rPr>
      </w:pPr>
      <w:r>
        <w:rPr>
          <w:rFonts w:ascii="Arial" w:cs="Arial" w:eastAsia="Arial" w:hAnsi="Arial"/>
          <w:sz w:val="21"/>
          <w:szCs w:val="21"/>
          <w:color w:val="auto"/>
        </w:rPr>
        <w:t>The following description of Southwest Gas Holdings, Inc.’s (“Southwest Gas Holdings”) common stock (the “Common Stock”) is only a summary and is qualified in its entirety by reference to our articles of incorporation and amended and restated bylaws. Therefore, you should read carefully the more detailed provisions of our articles of incorporation, a copy of which was filed with the Securities and Exchange Commission (the “SEC”) as an exhibit to Southwest Gas Holdings’ Form 8-K12B dated September 20, 2019 and our amended and restated bylaws, a copy of which was filed with the SEC as an exhibit to Southwest Gas Holdings’ Form 8-K dated October 18, 2021. References to “we,” “us,” “our” and “Southwest Gas Holdings” are to Southwest Gas Holdings, Inc., a Delaware corporation.</w:t>
      </w:r>
    </w:p>
    <w:p>
      <w:pPr>
        <w:spacing w:after="0" w:line="210" w:lineRule="exact"/>
        <w:rPr>
          <w:sz w:val="20"/>
          <w:szCs w:val="20"/>
          <w:color w:val="auto"/>
        </w:rPr>
      </w:pPr>
    </w:p>
    <w:p>
      <w:pPr>
        <w:jc w:val="both"/>
        <w:ind w:right="200" w:firstLine="769"/>
        <w:spacing w:after="0" w:line="327" w:lineRule="auto"/>
        <w:rPr>
          <w:sz w:val="20"/>
          <w:szCs w:val="20"/>
          <w:color w:val="auto"/>
        </w:rPr>
      </w:pPr>
      <w:r>
        <w:rPr>
          <w:rFonts w:ascii="Arial" w:cs="Arial" w:eastAsia="Arial" w:hAnsi="Arial"/>
          <w:sz w:val="19"/>
          <w:szCs w:val="19"/>
          <w:color w:val="auto"/>
        </w:rPr>
        <w:t>The authorized capital stock of Southwest Gas Holdings consists of (1) 120,000,000 shares of Common Stock, with a $1.00 par value, (2) 5,000,000 shares of preferred stock, without par value, and (3) 2,000,000 shares of preference stock, with a $20.00 par value. No other classes of capital stock are authorized under our articles of incorporation.</w:t>
      </w:r>
    </w:p>
    <w:p>
      <w:pPr>
        <w:spacing w:after="0" w:line="160" w:lineRule="exact"/>
        <w:rPr>
          <w:sz w:val="20"/>
          <w:szCs w:val="20"/>
          <w:color w:val="auto"/>
        </w:rPr>
      </w:pPr>
    </w:p>
    <w:p>
      <w:pPr>
        <w:ind w:right="180" w:firstLine="769"/>
        <w:spacing w:after="0" w:line="261" w:lineRule="auto"/>
        <w:rPr>
          <w:sz w:val="20"/>
          <w:szCs w:val="20"/>
          <w:color w:val="auto"/>
        </w:rPr>
      </w:pPr>
      <w:r>
        <w:rPr>
          <w:rFonts w:ascii="Arial" w:cs="Arial" w:eastAsia="Arial" w:hAnsi="Arial"/>
          <w:sz w:val="22"/>
          <w:szCs w:val="22"/>
          <w:color w:val="auto"/>
        </w:rPr>
        <w:t>The holders of Common Stock are entitled to receive such dividends as the Southwest Gas Holdings board of directors (the “Board”) may from time to time declare, subject to any rights of holders of outstanding shares of Southwest Gas Holdings preferred or preference stock. Except as otherwise provided by law, each holder of Common Stock is entitled to one vote per share on each matter submitted to a vote of a meeting of stockholders, subject to series voting rights of holders of preferred or preference stock.</w:t>
      </w:r>
    </w:p>
    <w:p>
      <w:pPr>
        <w:spacing w:after="0" w:line="218" w:lineRule="exact"/>
        <w:rPr>
          <w:sz w:val="20"/>
          <w:szCs w:val="20"/>
          <w:color w:val="auto"/>
        </w:rPr>
      </w:pPr>
    </w:p>
    <w:p>
      <w:pPr>
        <w:ind w:right="80" w:firstLine="769"/>
        <w:spacing w:after="0" w:line="262" w:lineRule="auto"/>
        <w:rPr>
          <w:sz w:val="20"/>
          <w:szCs w:val="20"/>
          <w:color w:val="auto"/>
        </w:rPr>
      </w:pPr>
      <w:r>
        <w:rPr>
          <w:rFonts w:ascii="Arial" w:cs="Arial" w:eastAsia="Arial" w:hAnsi="Arial"/>
          <w:sz w:val="22"/>
          <w:szCs w:val="22"/>
          <w:color w:val="auto"/>
        </w:rPr>
        <w:t>In the event of any liquidation, dissolution or winding up of Southwest Gas Holdings, whether voluntary or involuntary, the holders of shares of Common Stock, subject to any rights of the holders of outstanding shares of Southwest Gas Holdings preferred or preference stock, are entitled to receive any remaining assets of Southwest Gas Holdings after the discharge of its liabilities.</w:t>
      </w:r>
    </w:p>
    <w:p>
      <w:pPr>
        <w:spacing w:after="0" w:line="218" w:lineRule="exact"/>
        <w:rPr>
          <w:sz w:val="20"/>
          <w:szCs w:val="20"/>
          <w:color w:val="auto"/>
        </w:rPr>
      </w:pPr>
    </w:p>
    <w:p>
      <w:pPr>
        <w:jc w:val="both"/>
        <w:ind w:right="520" w:firstLine="769"/>
        <w:spacing w:after="0" w:line="266" w:lineRule="auto"/>
        <w:rPr>
          <w:sz w:val="20"/>
          <w:szCs w:val="20"/>
          <w:color w:val="auto"/>
        </w:rPr>
      </w:pPr>
      <w:r>
        <w:rPr>
          <w:rFonts w:ascii="Arial" w:cs="Arial" w:eastAsia="Arial" w:hAnsi="Arial"/>
          <w:sz w:val="22"/>
          <w:szCs w:val="22"/>
          <w:color w:val="auto"/>
        </w:rPr>
        <w:t>Holders of Common Stock are not entitled to preemptive rights to subscribe for or purchase any part of any new or additional issue of stock or securities convertible into stock. Common Stock does not contain any redemption provisions or conversion rights and is not liable to assessment or further call.</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22"/>
          <w:szCs w:val="22"/>
          <w:color w:val="auto"/>
        </w:rPr>
        <w:t>EQ Shareowner Services is the registrar and transfer agent for our Common Stock.</w:t>
      </w:r>
    </w:p>
    <w:p>
      <w:pPr>
        <w:sectPr>
          <w:pgSz w:w="11900" w:h="16838" w:orient="portrait"/>
          <w:cols w:equalWidth="0" w:num="1">
            <w:col w:w="11220"/>
          </w:cols>
          <w:pgMar w:left="320" w:top="1422"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b w:val="1"/>
          <w:bCs w:val="1"/>
          <w:color w:val="auto"/>
        </w:rPr>
        <w:t>DESCRIPTION OF PREFERRED STOCK PURCHASE RIGHTS</w:t>
      </w:r>
    </w:p>
    <w:p>
      <w:pPr>
        <w:spacing w:after="0" w:line="239"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The following description of Southwest Gas Holdings’ preferred stock purchase rights (the “Rights”) is only a summary and is qualified in its entirety by reference to our articles of incorporation, our amended and restated bylaws and the Rights Agreement, dated as of October 10, 2021 (the “Rights Agreement”), between us and Equiniti Trust Company, as rights agent. Therefore, you should read carefully the more detailed provisions of our articles of incorporation, a copy of which was filed with the SEC as an exhibit to our Form 8-K12B dated September 20, 2019 and our amended and restated bylaws and the Rights Agreement, copies of which were filed with the SEC as exhibits to our Form 8-K dated October 18, 2021.</w:t>
      </w:r>
    </w:p>
    <w:p>
      <w:pPr>
        <w:spacing w:after="0" w:line="179" w:lineRule="exact"/>
        <w:rPr>
          <w:sz w:val="20"/>
          <w:szCs w:val="20"/>
          <w:color w:val="auto"/>
        </w:rPr>
      </w:pPr>
    </w:p>
    <w:p>
      <w:pPr>
        <w:ind w:right="180" w:firstLine="216"/>
        <w:spacing w:after="0" w:line="216" w:lineRule="auto"/>
        <w:rPr>
          <w:sz w:val="20"/>
          <w:szCs w:val="20"/>
          <w:color w:val="auto"/>
        </w:rPr>
      </w:pPr>
      <w:r>
        <w:rPr>
          <w:rFonts w:ascii="Arial" w:cs="Arial" w:eastAsia="Arial" w:hAnsi="Arial"/>
          <w:sz w:val="22"/>
          <w:szCs w:val="22"/>
          <w:color w:val="auto"/>
        </w:rPr>
        <w:t>On October 10, 2021, the Board authorized a dividend of one Right for each outstanding share of Common Stock, which was paid to the holders of record of Common Stock as of 5:00 p.m., New York City time, on October 21, 2021 (the “Record Date”). Each Right entitles the registered holder to purchase from us one ten-thousandth (a “Unit”) of a share of Series A Junior Participating Preferred Stock, no par value (the “Preferred Stock”), at a purchase price (the “Purchase Price”) of $321.70 per Unit, subject to adjustment.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Date</w:t>
      </w:r>
    </w:p>
    <w:p>
      <w:pPr>
        <w:spacing w:after="0" w:line="212" w:lineRule="exact"/>
        <w:rPr>
          <w:sz w:val="20"/>
          <w:szCs w:val="20"/>
          <w:color w:val="auto"/>
        </w:rPr>
      </w:pPr>
    </w:p>
    <w:p>
      <w:pPr>
        <w:ind w:firstLine="648"/>
        <w:spacing w:after="0" w:line="211" w:lineRule="auto"/>
        <w:rPr>
          <w:sz w:val="20"/>
          <w:szCs w:val="20"/>
          <w:color w:val="auto"/>
        </w:rPr>
      </w:pPr>
      <w:r>
        <w:rPr>
          <w:rFonts w:ascii="Arial" w:cs="Arial" w:eastAsia="Arial" w:hAnsi="Arial"/>
          <w:sz w:val="22"/>
          <w:szCs w:val="22"/>
          <w:color w:val="auto"/>
        </w:rPr>
        <w:t>The Rights are attached to all shares of Common Stock and no separate certificate evidencing the Rights have been issued. Subject to certain exceptions, until the Distribution Date (as defined below), we will issue one Right with each new share of Common Stock issued after the Record Date so that all shares of Common Stock will have Rights attached, the Rights will be transferred with and only with the Common Stock and any transfer of Common Stock will constitute a transfer of the associated Rights. After the Distribution Date, the Rights will separate from the Common Stock and, as soon as practicable after the Distribution Date, separate certificates evidencing the Rights (“Rights Certificates”) and will be mailed to holders of record of the Common Stock as of the close of business on the Distribution Date and such separate Rights Certificates alone will evidence the Rights.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“Distribution Date” means the earlier of:</w:t>
      </w:r>
    </w:p>
    <w:p>
      <w:pPr>
        <w:spacing w:after="0" w:line="179" w:lineRule="exact"/>
        <w:rPr>
          <w:sz w:val="20"/>
          <w:szCs w:val="20"/>
          <w:color w:val="auto"/>
        </w:rPr>
      </w:pPr>
    </w:p>
    <w:p>
      <w:pPr>
        <w:ind w:left="1620" w:right="100" w:hanging="316"/>
        <w:spacing w:after="0" w:line="210" w:lineRule="auto"/>
        <w:tabs>
          <w:tab w:leader="none" w:pos="161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ten business days after the public announcement that a person or group of affiliated or associated persons has become an Acquiring Person (as defined below) or such earlier date, as determined by the Board, on which an Acquiring Person has become such; and</w:t>
      </w:r>
    </w:p>
    <w:p>
      <w:pPr>
        <w:spacing w:after="0" w:line="1" w:lineRule="exact"/>
        <w:rPr>
          <w:rFonts w:ascii="Arial" w:cs="Arial" w:eastAsia="Arial" w:hAnsi="Arial"/>
          <w:sz w:val="22"/>
          <w:szCs w:val="22"/>
          <w:color w:val="auto"/>
        </w:rPr>
      </w:pPr>
    </w:p>
    <w:p>
      <w:pPr>
        <w:ind w:left="1620" w:right="180" w:hanging="316"/>
        <w:spacing w:after="0" w:line="251" w:lineRule="auto"/>
        <w:tabs>
          <w:tab w:leader="none" w:pos="1615"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such date (prior to such time as any person or group of affiliated or associated persons becomes an Acquiring Person), if any, as may be determined by the Board following the commencement of, or the first public announcement of an intention to commence, a tender offer or exchange offer the consummation of which would result in any person or group of affiliated or associated persons becoming an Acquiring Person.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Exercisability</w:t>
      </w:r>
    </w:p>
    <w:p>
      <w:pPr>
        <w:spacing w:after="0" w:line="212" w:lineRule="exact"/>
        <w:rPr>
          <w:sz w:val="20"/>
          <w:szCs w:val="20"/>
          <w:color w:val="auto"/>
        </w:rPr>
      </w:pPr>
    </w:p>
    <w:p>
      <w:pPr>
        <w:ind w:right="80" w:firstLine="216"/>
        <w:spacing w:after="0" w:line="234" w:lineRule="auto"/>
        <w:rPr>
          <w:sz w:val="20"/>
          <w:szCs w:val="20"/>
          <w:color w:val="auto"/>
        </w:rPr>
      </w:pPr>
      <w:r>
        <w:rPr>
          <w:rFonts w:ascii="Arial" w:cs="Arial" w:eastAsia="Arial" w:hAnsi="Arial"/>
          <w:sz w:val="21"/>
          <w:szCs w:val="21"/>
          <w:color w:val="auto"/>
        </w:rPr>
        <w:t>The Rights will not be exercisable until the Distribution Date. After the Distribution Date, each Right will be exercisable to purchase from us one Unit of a share of Preferred Stock for the Purchase Price. Prior to exercising their Rights, holders of Rights in that capacity have no rights as a stockholder of us, including the right to vote or receive dividends.</w:t>
      </w:r>
    </w:p>
    <w:p>
      <w:pPr>
        <w:sectPr>
          <w:pgSz w:w="11900" w:h="16838" w:orient="portrait"/>
          <w:cols w:equalWidth="0" w:num="1">
            <w:col w:w="11240"/>
          </w:cols>
          <w:pgMar w:left="320" w:top="1422"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Consequences of Any Person or Entity Becoming an Acquiring Person</w:t>
      </w:r>
    </w:p>
    <w:p>
      <w:pPr>
        <w:spacing w:after="0" w:line="212" w:lineRule="exact"/>
        <w:rPr>
          <w:sz w:val="20"/>
          <w:szCs w:val="20"/>
          <w:color w:val="auto"/>
        </w:rPr>
      </w:pPr>
    </w:p>
    <w:p>
      <w:pPr>
        <w:ind w:left="660" w:right="80" w:hanging="328"/>
        <w:spacing w:after="0" w:line="242" w:lineRule="auto"/>
        <w:tabs>
          <w:tab w:leader="none" w:pos="655"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Flip-In Trigger. </w:t>
      </w:r>
      <w:r>
        <w:rPr>
          <w:rFonts w:ascii="Arial" w:cs="Arial" w:eastAsia="Arial" w:hAnsi="Arial"/>
          <w:sz w:val="19"/>
          <w:szCs w:val="19"/>
          <w:color w:val="auto"/>
        </w:rPr>
        <w:t>If any person or group of affiliated or associated persons becomes an Acquiring Person, each holder of a</w:t>
      </w:r>
      <w:r>
        <w:rPr>
          <w:rFonts w:ascii="Arial" w:cs="Arial" w:eastAsia="Arial" w:hAnsi="Arial"/>
          <w:sz w:val="19"/>
          <w:szCs w:val="19"/>
          <w:i w:val="1"/>
          <w:iCs w:val="1"/>
          <w:color w:val="auto"/>
        </w:rPr>
        <w:t xml:space="preserve"> </w:t>
      </w:r>
      <w:r>
        <w:rPr>
          <w:rFonts w:ascii="Arial" w:cs="Arial" w:eastAsia="Arial" w:hAnsi="Arial"/>
          <w:sz w:val="19"/>
          <w:szCs w:val="19"/>
          <w:color w:val="auto"/>
        </w:rPr>
        <w:t>Right (other than Rights beneficially owned by an Acquiring Person, affiliates and associates of an Acquiring Person and certain transferees thereof, which Rights will thereupon become null and void) will thereafter have the right to receive upon exercise of a Right that number of shares of Common Stock having a market value of two times the Purchase Price.</w:t>
      </w:r>
    </w:p>
    <w:p>
      <w:pPr>
        <w:ind w:left="660" w:hanging="328"/>
        <w:spacing w:after="0" w:line="214" w:lineRule="auto"/>
        <w:tabs>
          <w:tab w:leader="none" w:pos="655"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Flip-Over Trigger</w:t>
      </w:r>
      <w:r>
        <w:rPr>
          <w:rFonts w:ascii="Arial" w:cs="Arial" w:eastAsia="Arial" w:hAnsi="Arial"/>
          <w:sz w:val="21"/>
          <w:szCs w:val="21"/>
          <w:color w:val="auto"/>
        </w:rPr>
        <w:t>. If, after any person or group of affiliated or associated persons has become an Acquiring Person, we</w:t>
      </w:r>
      <w:r>
        <w:rPr>
          <w:rFonts w:ascii="Arial" w:cs="Arial" w:eastAsia="Arial" w:hAnsi="Arial"/>
          <w:sz w:val="21"/>
          <w:szCs w:val="21"/>
          <w:i w:val="1"/>
          <w:iCs w:val="1"/>
          <w:color w:val="auto"/>
        </w:rPr>
        <w:t xml:space="preserve"> </w:t>
      </w:r>
      <w:r>
        <w:rPr>
          <w:rFonts w:ascii="Arial" w:cs="Arial" w:eastAsia="Arial" w:hAnsi="Arial"/>
          <w:sz w:val="21"/>
          <w:szCs w:val="21"/>
          <w:color w:val="auto"/>
        </w:rPr>
        <w:t>are acquired in a merger, consolidation or combination or 50% or more of our consolidated assets, cash flow or earning power are transferred, proper provisions will be made so that each holder of a Right (other than Rights beneficially owned by an Acquiring Person, affiliates and associates of an Acquiring Person and certain transferees thereof, which Rights will have become null and void) will thereafter have the right to receive upon the exercise of a Right that number of shares of Common Stock of the person (or its parent) with whom we have engaged in the foregoing transaction having a market value of two times the Purchase Price.</w:t>
      </w:r>
    </w:p>
    <w:p>
      <w:pPr>
        <w:spacing w:after="0" w:line="4" w:lineRule="exact"/>
        <w:rPr>
          <w:rFonts w:ascii="Arial" w:cs="Arial" w:eastAsia="Arial" w:hAnsi="Arial"/>
          <w:sz w:val="21"/>
          <w:szCs w:val="21"/>
          <w:color w:val="auto"/>
        </w:rPr>
      </w:pPr>
    </w:p>
    <w:p>
      <w:pPr>
        <w:ind w:left="660" w:right="40" w:hanging="328"/>
        <w:spacing w:after="0" w:line="211"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Exchange Feature</w:t>
      </w:r>
      <w:r>
        <w:rPr>
          <w:rFonts w:ascii="Arial" w:cs="Arial" w:eastAsia="Arial" w:hAnsi="Arial"/>
          <w:sz w:val="22"/>
          <w:szCs w:val="22"/>
          <w:color w:val="auto"/>
        </w:rPr>
        <w:t>. At any time after any person or group of affiliated or associated persons becomes an Acquiring Person</w:t>
      </w:r>
      <w:r>
        <w:rPr>
          <w:rFonts w:ascii="Arial" w:cs="Arial" w:eastAsia="Arial" w:hAnsi="Arial"/>
          <w:sz w:val="22"/>
          <w:szCs w:val="22"/>
          <w:i w:val="1"/>
          <w:iCs w:val="1"/>
          <w:color w:val="auto"/>
        </w:rPr>
        <w:t xml:space="preserve"> </w:t>
      </w:r>
      <w:r>
        <w:rPr>
          <w:rFonts w:ascii="Arial" w:cs="Arial" w:eastAsia="Arial" w:hAnsi="Arial"/>
          <w:sz w:val="22"/>
          <w:szCs w:val="22"/>
          <w:color w:val="auto"/>
        </w:rPr>
        <w:t>and prior to the earlier of one of the events described in the previous paragraph or the acquisition by an Acquiring Person of 50% or more of the outstanding Common Stock, the Board may exchange the Rights (other than Rights owned by an Acquiring Person, affiliates and associates of an Acquiring Person and certain transferees thereof, which Rights will have become null and void), in whole or in part, for Common Stock at an exchange ratio of one share of Common Stock per Right.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Expiration</w:t>
      </w:r>
    </w:p>
    <w:p>
      <w:pPr>
        <w:spacing w:after="0" w:line="212" w:lineRule="exact"/>
        <w:rPr>
          <w:sz w:val="20"/>
          <w:szCs w:val="20"/>
          <w:color w:val="auto"/>
        </w:rPr>
      </w:pPr>
    </w:p>
    <w:p>
      <w:pPr>
        <w:ind w:right="120" w:firstLine="648"/>
        <w:spacing w:after="0" w:line="229" w:lineRule="auto"/>
        <w:rPr>
          <w:sz w:val="20"/>
          <w:szCs w:val="20"/>
          <w:color w:val="auto"/>
        </w:rPr>
      </w:pPr>
      <w:r>
        <w:rPr>
          <w:rFonts w:ascii="Arial" w:cs="Arial" w:eastAsia="Arial" w:hAnsi="Arial"/>
          <w:sz w:val="21"/>
          <w:szCs w:val="21"/>
          <w:color w:val="auto"/>
        </w:rPr>
        <w:t>The Rights will expire on the earliest of (i) the close of business on October 9, 2022, (ii) the time at which the Rights are redeemed pursuant to the Rights Agreement, (iii) the closing of any merger or other acquisition transaction involving us that has been approved by the Board, at which time the Rights are terminated, and (iv) the time at which the Rights are exchanged pursuant to the Rights Agreement (such earliest date, the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12"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At any time prior to the close of business on the Distribution Date, the Board may redeem the Rights in whole, but not in part, for $0.0001 per Right (the “Redemption Price”). The Redemption Price is payable, at our option, in cash, Common Stock or such other form of consideration as the Board shall determine. Immediately upon any redemption of the Rights, the right to exercise the Rights will terminate and the only right of the holders of Rights will be to receive the Redemption Price. The Redemption Price will be subject to adjustment in accordance with the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w:t>
      </w:r>
    </w:p>
    <w:p>
      <w:pPr>
        <w:spacing w:after="0" w:line="21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9"/>
          <w:szCs w:val="19"/>
          <w:color w:val="auto"/>
        </w:rPr>
        <w:t>For so long as the Rights are then redeemable, we may, except with respect to the Redemption Price, amend the Rights Agreement in any manner. At any time when the Rights are no longer redeemable, we may amend the Rights Agreement in any manner that does not adversely affect the interests of holders of the Rights (other than an Acquiring Person, affiliates and associates of an Acquiring Person and certain transferees thereof) and does not cause the Rights again to become redeemable.</w:t>
      </w:r>
    </w:p>
    <w:p>
      <w:pPr>
        <w:sectPr>
          <w:pgSz w:w="11900" w:h="16838" w:orient="portrait"/>
          <w:cols w:equalWidth="0" w:num="1">
            <w:col w:w="11220"/>
          </w:cols>
          <w:pgMar w:left="320" w:top="1395"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Anti-Dilution Provisions</w:t>
      </w:r>
    </w:p>
    <w:p>
      <w:pPr>
        <w:spacing w:after="0" w:line="212"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The Board may adjust the Purchase Price, the number of shares of Preferred Stock issuable and the number of outstanding Rights to prevent dilution that may occur from a share dividend, a share split, a reclassification of the Preferred Stock or the Common Stock or certain other specified transactions. No adjustments to the Purchase Price of less than 1% are required to be made.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Each Unit of a share of Preferred Stock will entitle the holder thereof to the same dividends, liquidation and voting rights as if the holder held one share of Common Stock and will be treated the same as a share of Common Stock in the event of a merger, consolidation or other share exchange. The value of one Unit of a share of Preferred Stock should approximate the value of one share of Common Stock.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ANTI-TAKEOVER EFFECTS</w:t>
      </w:r>
    </w:p>
    <w:p>
      <w:pPr>
        <w:spacing w:after="0" w:line="212" w:lineRule="exact"/>
        <w:rPr>
          <w:sz w:val="20"/>
          <w:szCs w:val="20"/>
          <w:color w:val="auto"/>
        </w:rPr>
      </w:pPr>
    </w:p>
    <w:p>
      <w:pPr>
        <w:ind w:right="220" w:firstLine="648"/>
        <w:spacing w:after="0" w:line="268" w:lineRule="auto"/>
        <w:rPr>
          <w:sz w:val="20"/>
          <w:szCs w:val="20"/>
          <w:color w:val="auto"/>
        </w:rPr>
      </w:pPr>
      <w:r>
        <w:rPr>
          <w:rFonts w:ascii="Arial" w:cs="Arial" w:eastAsia="Arial" w:hAnsi="Arial"/>
          <w:sz w:val="19"/>
          <w:szCs w:val="19"/>
          <w:color w:val="auto"/>
        </w:rPr>
        <w:t>Our articles of incorporation, amended and restated bylaws and the Rights Agreement contain provisions that may have the effect of discouraging persons from acquiring large blocks of Southwest Gas Holdings stock or delaying or preventing a change in control of Southwest Gas Holdings. The material provisions which may have such an effect are:</w:t>
      </w:r>
    </w:p>
    <w:p>
      <w:pPr>
        <w:spacing w:after="0" w:line="159" w:lineRule="exact"/>
        <w:rPr>
          <w:sz w:val="20"/>
          <w:szCs w:val="20"/>
          <w:color w:val="auto"/>
        </w:rPr>
      </w:pPr>
    </w:p>
    <w:p>
      <w:pPr>
        <w:ind w:right="560" w:firstLine="656"/>
        <w:spacing w:after="0" w:line="232" w:lineRule="auto"/>
        <w:tabs>
          <w:tab w:leader="none" w:pos="1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provisions requiring a super-majority vote by holders of Common Stock in order to approve certain types of business combinations;</w:t>
      </w:r>
    </w:p>
    <w:p>
      <w:pPr>
        <w:spacing w:after="0" w:line="185" w:lineRule="exact"/>
        <w:rPr>
          <w:rFonts w:ascii="Arial" w:cs="Arial" w:eastAsia="Arial" w:hAnsi="Arial"/>
          <w:sz w:val="22"/>
          <w:szCs w:val="22"/>
          <w:color w:val="auto"/>
        </w:rPr>
      </w:pPr>
    </w:p>
    <w:p>
      <w:pPr>
        <w:ind w:left="1340" w:hanging="684"/>
        <w:spacing w:after="0"/>
        <w:tabs>
          <w:tab w:leader="none" w:pos="1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provision permitting the Board to make, amend or repeal the bylaws;</w:t>
      </w:r>
    </w:p>
    <w:p>
      <w:pPr>
        <w:spacing w:after="0" w:line="206" w:lineRule="exact"/>
        <w:rPr>
          <w:rFonts w:ascii="Arial" w:cs="Arial" w:eastAsia="Arial" w:hAnsi="Arial"/>
          <w:sz w:val="22"/>
          <w:szCs w:val="22"/>
          <w:color w:val="auto"/>
        </w:rPr>
      </w:pPr>
    </w:p>
    <w:p>
      <w:pPr>
        <w:ind w:right="80" w:firstLine="656"/>
        <w:spacing w:after="0" w:line="234" w:lineRule="auto"/>
        <w:tabs>
          <w:tab w:leader="none" w:pos="13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authorization for the Board to issue preferred or preference stock in any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184" w:lineRule="exact"/>
        <w:rPr>
          <w:rFonts w:ascii="Arial" w:cs="Arial" w:eastAsia="Arial" w:hAnsi="Arial"/>
          <w:sz w:val="21"/>
          <w:szCs w:val="21"/>
          <w:color w:val="auto"/>
        </w:rPr>
      </w:pPr>
    </w:p>
    <w:p>
      <w:pPr>
        <w:ind w:left="1340" w:hanging="684"/>
        <w:spacing w:after="0"/>
        <w:tabs>
          <w:tab w:leader="none" w:pos="13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advance notice procedures with respect to proposals other than those adopted or recommended by the Board</w:t>
      </w:r>
    </w:p>
    <w:p>
      <w:pPr>
        <w:spacing w:after="0" w:line="240" w:lineRule="exact"/>
        <w:rPr>
          <w:rFonts w:ascii="Arial" w:cs="Arial" w:eastAsia="Arial" w:hAnsi="Arial"/>
          <w:sz w:val="19"/>
          <w:szCs w:val="19"/>
          <w:color w:val="auto"/>
        </w:rPr>
      </w:pPr>
    </w:p>
    <w:p>
      <w:pPr>
        <w:ind w:right="320" w:firstLine="656"/>
        <w:spacing w:after="0" w:line="232" w:lineRule="auto"/>
        <w:tabs>
          <w:tab w:leader="none" w:pos="1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provisions permitting amendment of certain of these provisions only by an affirmative vote of the holders of at least 65 percent of the outstanding shares of Common Stock entitled to vote; and</w:t>
      </w:r>
    </w:p>
    <w:p>
      <w:pPr>
        <w:spacing w:after="0" w:line="185" w:lineRule="exact"/>
        <w:rPr>
          <w:rFonts w:ascii="Arial" w:cs="Arial" w:eastAsia="Arial" w:hAnsi="Arial"/>
          <w:sz w:val="22"/>
          <w:szCs w:val="22"/>
          <w:color w:val="auto"/>
        </w:rPr>
      </w:pPr>
    </w:p>
    <w:p>
      <w:pPr>
        <w:ind w:right="260" w:firstLine="656"/>
        <w:spacing w:after="0" w:line="268" w:lineRule="auto"/>
        <w:tabs>
          <w:tab w:leader="none" w:pos="1134"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provisions requiring director nominees nominated by a stockholder (each such person, a “Stockholder Nominee”) for election to the Board to provide us with certain information with respect to information and agreements between the Stockholder Nominee and any Stockholder Associated Person (as defined in our amended and restated bylaws).</w:t>
      </w:r>
    </w:p>
    <w:p>
      <w:pPr>
        <w:spacing w:after="0" w:line="159" w:lineRule="exact"/>
        <w:rPr>
          <w:sz w:val="20"/>
          <w:szCs w:val="20"/>
          <w:color w:val="auto"/>
        </w:rPr>
      </w:pPr>
    </w:p>
    <w:p>
      <w:pPr>
        <w:ind w:right="380" w:firstLine="648"/>
        <w:spacing w:after="0" w:line="252" w:lineRule="auto"/>
        <w:rPr>
          <w:sz w:val="20"/>
          <w:szCs w:val="20"/>
          <w:color w:val="auto"/>
        </w:rPr>
      </w:pPr>
      <w:r>
        <w:rPr>
          <w:rFonts w:ascii="Arial" w:cs="Arial" w:eastAsia="Arial" w:hAnsi="Arial"/>
          <w:sz w:val="19"/>
          <w:szCs w:val="19"/>
          <w:color w:val="auto"/>
        </w:rPr>
        <w:t>In addition, the Rights may have certain anti-takeover effects. In general terms and subject to certain exceptions, the Rights Agreement works by imposing a significant penalty upon any person or group of affiliated or associated persons that acquires 10% or more of the outstanding Common Stock (20% or more in the case of a passive investor), except in certain situations specified in the Rights Agreement (such person, an “Acquiring Person”). The Rights, however, should not interfere with any merger or other business combination approved by the Board.</w:t>
      </w:r>
    </w:p>
    <w:p>
      <w:pPr>
        <w:sectPr>
          <w:pgSz w:w="11900" w:h="16838" w:orient="portrait"/>
          <w:cols w:equalWidth="0" w:num="1">
            <w:col w:w="11220"/>
          </w:cols>
          <w:pgMar w:left="320" w:top="1395" w:right="359" w:bottom="1440" w:gutter="0" w:footer="0" w:header="0"/>
        </w:sectPr>
      </w:pPr>
    </w:p>
    <w:bookmarkStart w:id="40" w:name="page41"/>
    <w:bookmarkEnd w:id="40"/>
    <w:p>
      <w:pPr>
        <w:ind w:left="10320"/>
        <w:spacing w:after="0"/>
        <w:rPr>
          <w:sz w:val="20"/>
          <w:szCs w:val="20"/>
          <w:color w:val="auto"/>
        </w:rPr>
      </w:pPr>
      <w:r>
        <w:rPr>
          <w:rFonts w:ascii="Arial" w:cs="Arial" w:eastAsia="Arial" w:hAnsi="Arial"/>
          <w:sz w:val="15"/>
          <w:szCs w:val="15"/>
          <w:b w:val="1"/>
          <w:bCs w:val="1"/>
          <w:color w:val="auto"/>
        </w:rPr>
        <w:t>Exhibit 13.01</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About Southwest Gas Holdings, Inc.</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as well as all of the membership interests in the newly formed MountainWest Pipelines Holding Company, which owns all recently acquired membership interests in Dominion Energy Questar Pipeline, LLC and related entities (herein referred to interchangeably as “Questar Pipelines” or “MountainWest”). MountainWest is operated as a third operating segment and accordingly, management will refer to this segment as the “pipeline and storage” segment. Southwest was previously referred to as the natural gas operations segment. Southwest Gas Holdings, Inc. and its subsidiaries are collectively referred to as the “Company.”</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31, 2021, the Company completed the acquisition of Questar Pipelines. The operations acquired further diversify the Company’s business including an essential Rocky Mountain energy hub with over 2,000 miles of highly contracted, FERC-regulated interstate natural gas pipelines providing transportation and underground storage services in Utah, Wyoming, and Colorado. See </w:t>
      </w:r>
      <w:r>
        <w:rPr>
          <w:rFonts w:ascii="Arial" w:cs="Arial" w:eastAsia="Arial" w:hAnsi="Arial"/>
          <w:sz w:val="18"/>
          <w:szCs w:val="18"/>
          <w:b w:val="1"/>
          <w:bCs w:val="1"/>
          <w:color w:val="auto"/>
        </w:rPr>
        <w:t>Note 15 - Business Acquisitions</w:t>
      </w:r>
      <w:r>
        <w:rPr>
          <w:rFonts w:ascii="Arial" w:cs="Arial" w:eastAsia="Arial" w:hAnsi="Arial"/>
          <w:sz w:val="18"/>
          <w:szCs w:val="18"/>
          <w:color w:val="auto"/>
        </w:rPr>
        <w:t xml:space="preserve"> for additional information. The total consideration for the acquisition was $1.576 billion, including certain post-closing payments, financed through a $1.6 billion draw under a 364-day term loan entered into in November 2021, which we intend to replace with permanent financing during the course of 2022.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for more information.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2021, the Company, facilitated through Centuri, acquired the parent company of Riggs Distler, Inc. (“Riggs Distler”), thereby expanding the footprint of the utility infrastructure services segment, which is further discussed in </w:t>
      </w:r>
      <w:r>
        <w:rPr>
          <w:rFonts w:ascii="Arial" w:cs="Arial" w:eastAsia="Arial" w:hAnsi="Arial"/>
          <w:sz w:val="18"/>
          <w:szCs w:val="18"/>
          <w:b w:val="1"/>
          <w:bCs w:val="1"/>
          <w:color w:val="auto"/>
        </w:rPr>
        <w:t>Note 15 - Business Acquisitions</w:t>
      </w:r>
      <w:r>
        <w:rPr>
          <w:rFonts w:ascii="Arial" w:cs="Arial" w:eastAsia="Arial" w:hAnsi="Arial"/>
          <w:sz w:val="18"/>
          <w:szCs w:val="18"/>
          <w:color w:val="auto"/>
        </w:rPr>
        <w: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October 10, 2021, our Board of Directors (the “Board”) authorized and declared a dividend of one preferred stock purchase right for each share of common stock outstanding to stockholders of record at the close of business on October 21, 2021. See </w:t>
      </w:r>
      <w:r>
        <w:rPr>
          <w:rFonts w:ascii="Arial" w:cs="Arial" w:eastAsia="Arial" w:hAnsi="Arial"/>
          <w:sz w:val="18"/>
          <w:szCs w:val="18"/>
          <w:b w:val="1"/>
          <w:bCs w:val="1"/>
          <w:color w:val="auto"/>
        </w:rPr>
        <w:t>Note 7 - Common Stock</w:t>
      </w:r>
      <w:r>
        <w:rPr>
          <w:rFonts w:ascii="Arial" w:cs="Arial" w:eastAsia="Arial" w:hAnsi="Arial"/>
          <w:sz w:val="18"/>
          <w:szCs w:val="18"/>
          <w:color w:val="auto"/>
        </w:rPr>
        <w:t>.</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 2022, the Company announced that its Board determined to separate Centuri from Southwest Gas Holdings, Inc. and has authorized management to complete the separation within the next nine to twelve months. Management intends to evaluate various alternatives to determine the optimal structure to maximize stockholder value. Depending on the form the separation takes, it will likely be subject to a number of conditions. There can be no assurances that the Company will be able to successfully separate Centuri on the anticipated timeline or at all.</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 Through its subsidiaries, Southwest operates two federally regulated interstate pipelines serving portions of the foregoing northern territories of Nevada and California.</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Southwest had 2,159,000 residential, commercial, industrial, and other natural gas customers, of which 1,153,000 customers were located in Arizona, 803,000 in Nevada, and 203,000 in California. First-time meter sets were approximately 37,000 in 2021 and 2020. In comparison to the December 31, 2020 total of 2,123,000 customers, there was an offsetting decrease related to management’s lifting its moratorium on disconnection of service for non-payment, which it previously implemented in March 2020 (in addition to customer late payment relief), due to the impact of the COVID-19 pandemic on customers. Southwest recommenced assessing late fees in Nevada and Arizona in April 2021, and in California in August 2021. The moratorium on disconnections for non-payment was lifted in September 2021 for Arizona and Nevada, and in November 2021 for California. Residential and commercial customers represented over 99% of the total customer base. During 2021, 54% of operating margin (gas operating revenues less the net cost of gas sold) was earned in Arizona, 34% in Nevada, and 12% in California. During this same period, Southwest earned 85% of its operating margin from residential and small commercial customers, 4% from other sales customers, and 11% from transportation customers. These general patterns are expected to remain materially consistent for the foreseeable future.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 xml:space="preserve">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below for a reconciliation of Gross margin to operating margin, and refer to </w:t>
      </w:r>
      <w:r>
        <w:rPr>
          <w:rFonts w:ascii="Arial" w:cs="Arial" w:eastAsia="Arial" w:hAnsi="Arial"/>
          <w:sz w:val="16"/>
          <w:szCs w:val="16"/>
          <w:i w:val="1"/>
          <w:iCs w:val="1"/>
          <w:color w:val="auto"/>
        </w:rPr>
        <w:t>Rates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Regulatory Proceedings </w:t>
      </w:r>
      <w:r>
        <w:rPr>
          <w:rFonts w:ascii="Arial" w:cs="Arial" w:eastAsia="Arial" w:hAnsi="Arial"/>
          <w:sz w:val="16"/>
          <w:szCs w:val="16"/>
          <w:color w:val="auto"/>
        </w:rPr>
        <w:t>in this Management’s Discussion and Analysis for details of various rate proceedings.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68 primary locations across 45 states and provinces in the U.S. and Canada. Centuri operates in the U.S. primarily as NPL, Neuco, Linetec, Riggs Distler, and in Canada, primarily as NPL Canada.</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programs throughout the U.S. Generally, Centuri revenues are lowest during the first quarter of the year due to less favorable winter weather working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is an interstate natural gas transmission pipeline company that provides transportation and underground storage services to customers in Utah, Wyoming, and Colorado. A substantial portion of its revenue results from reservation charges, but variable rates are also included as part of its primarily rate-regulated rate structures.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novel coronavirus (“COVID-19”) pandemic has been ongoing since the first quarter of 2020, management has remained focused on the impacts to local and U.S. economies. Our utility operations, as essential services, have been ongoing during this time and Southwest has continued to provide services to meet the demand of its customers. Similarly, Centuri has continued nearly all operations from the outset of the pandemic in the U.S., and demand has not significantly diminished. Employees at some offices (including corporate headquarters) continue to work from home on a temporary basis, while Centuri employees have resumed work in the office. Management is also focused on the need for adaptability in an environment of virus variants and governmental actions related thereto. All segments continue to facilitate administration, communication, and all critical functions, supported by deployed technology whenever employees are working remotely. To date, there has not been a significant disruption in the Company’s supply chains, transportation network, or ability to serve customers.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noted earlier, management had a moratorium on natural gas disconnections for non-payment that was lifted in our Nevada and Arizona jurisdictions in the third quarter of 2021, and in California in the fourth quarter of 2021. Southwest continues to work with customers experiencing financial hardship through flexible payment arrangements. Management also continues to coordinate with certain governmental and nonprofit entities for customer payment assistance. In the utility infrastructure services segment, a limited number of Centuri customers at the outset of the pandemic delayed some projects, and crews were temporarily reduced; however, most work continued, while following appropriate government protocols.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color w:val="auto"/>
        </w:rPr>
        <w:t>The extent to which COVID-19 may adversely impact the Company’s business depends on future developments, however, management does not expect such to be material to the Company’s liquidity or financial position overall. Continued uncertainty of economic and operational impacts means management cannot predict whether the related financial impact in future periods will be different from impacts reflected for the period ended December 31, 2021. Management will continue to monitor developments by government officials, and those affecting employees, customers, and operations, and will take additional steps as necessary to address impacts from the pandemic. Events and circumstances arising after December 31, 2021, including those resulting from COVID-19, will be reflected in management’s estimates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items discussed in this Executive Summary are intended to provide an overview of the results of the Company’s and Southwest’s operations and are covered in greater detail in later sections of management’s discussion and analysis.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5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w w:val="92"/>
              </w:rPr>
              <w:t>Natural gas distribution</w:t>
            </w:r>
          </w:p>
        </w:tc>
        <w:tc>
          <w:tcPr>
            <w:tcW w:w="5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187,135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159,118</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163,171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5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Natural Gas Distribution</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Reconciliation of Gross Margin to Operating Margin (Non-GAAP measure)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Utility gross margin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4"/>
          </w:tcPr>
          <w:p>
            <w:pPr>
              <w:ind w:left="100"/>
              <w:spacing w:after="0"/>
              <w:rPr>
                <w:sz w:val="20"/>
                <w:szCs w:val="20"/>
                <w:color w:val="auto"/>
              </w:rPr>
            </w:pPr>
            <w:r>
              <w:rPr>
                <w:rFonts w:ascii="Arial" w:cs="Arial" w:eastAsia="Arial" w:hAnsi="Arial"/>
                <w:sz w:val="18"/>
                <w:szCs w:val="18"/>
                <w:color w:val="auto"/>
              </w:rPr>
              <w:t>Plus: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Operations and maintenance (excluding Admin. &amp; General)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2021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the acquisition of Questar Pipelines for total consideration of $1.576 billion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$24 million of Questar Pipelines acquisition related deal and financing commitment costs, and other one-time costs associated with the acquisition</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Drew on a $1.6 billion 364-day term loan on December 31, 2021 to initially fund the Questar Pipelines acquisition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Colleen Larkin Bell named President of MountainWest (formerly Questar Pipelines)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Amended and restated credit facility increasing borrowing capacity to $200 million and extending maturity date to December 2026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Authorized a stockholder rights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Natural gas distribution highlights include the following:</w:t>
      </w:r>
    </w:p>
    <w:p>
      <w:pPr>
        <w:spacing w:after="0" w:line="2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37,000 first-time meters sets (1.7% growth rate) occurred over the past 12 months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margin increased $83 million, or 8.2%, between 2021 and 2020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$300 million in 3.18% 30-year Notes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California general rate case finalized with rate relief effective April 2021</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Received approval to recover $74 million in Arizona COYL/VSP program revenue requirement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modernized customer service information system in May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Record revenues of $2.2 billion in 2021, an increase of $210 million, or 11%, compared to 2020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Emergency restoration services provided $65 million of revenue in 2021 compared to $82 million in 2020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the acquisition of Riggs Distler for $822.2 million in August 2021</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 million of acquisition costs incurred</w:t>
      </w:r>
    </w:p>
    <w:p>
      <w:pPr>
        <w:spacing w:after="0" w:line="9"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Amended and restated credit agreement in connection with the Riggs Distler acquisition; $1.145 billion secured term loan facility and $400 million secured revolving credit facility</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Natural Gas Distribution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1,368,939</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385,164</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983,775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422,174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215,620</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62,328</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283,653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95,026</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198,144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Contribution to consolidated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163,171</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vs.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distribution operations increased $28 million between 2021 and 2020. The increase was primarily due to increases in Operating margin and a decrease in Net interest deductions and Income tax expense, offset by increases in Operations and maintenance expense, Depreciation and amortization, and Taxes other than income taxes.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$83 million between years. Customer growth provided $13 million as 37,000 first-time meter sets were added in 2021, and combined rate relief provided $61 million of incremental operating margin during the current year. Regulatory account balance returns and recoveries impacted both periods (offset in amortization expense below), in addition to margin from customers outside of decoupling mechanisms. Additionally, impacting the period was an increase in late fees due to the end of the pandemic-period moratorium on these fees that lasted from March 2020 to March 2021 for Arizona and Nevada and March 2020 to July 2021 in California.</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Operations and maintenance expense increased $32 million, or 8%, between 2021 and 2020 primarily due to higher legal-claim related costs including a $5 million legal reserve (as described in </w:t>
      </w:r>
      <w:r>
        <w:rPr>
          <w:rFonts w:ascii="Arial" w:cs="Arial" w:eastAsia="Arial" w:hAnsi="Arial"/>
          <w:sz w:val="17"/>
          <w:szCs w:val="17"/>
          <w:b w:val="1"/>
          <w:bCs w:val="1"/>
          <w:color w:val="auto"/>
        </w:rPr>
        <w:t>Note 10 - Commitments and Contingencies)</w:t>
      </w:r>
      <w:r>
        <w:rPr>
          <w:rFonts w:ascii="Arial" w:cs="Arial" w:eastAsia="Arial" w:hAnsi="Arial"/>
          <w:sz w:val="17"/>
          <w:szCs w:val="17"/>
          <w:color w:val="auto"/>
        </w:rPr>
        <w:t>, higher levels of service-related pension costs ($6.9 million), increases in customer service-related and information technology costs including staffing, training, and stabilization costs associated with a new customer information system implemented in May 2021 ($8.7 million), expenditures for pipeline damage prevention programs ($5.5 million) associated with a growing infrastructure and customer base, and higher reserves for customer accounts deemed uncollectible.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increased $18 million, or 8%, between years primarily due to a $559 million, or 7%, increase in average gas plant in service for the current year. The increase in gas plant was attributable to pipeline capacity reinforcement work, franchise requirements, scheduled pipe replacement activities, and new infrastructure, as well as the implementation of the new customer information system, which was placed in production in the second quarter of 2021. Amortization related to regulatory account recoveries increased $3.5 million between years, which is offset by an increase in Operating margin above.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$16.9 million, or 27%, between 2021 and 2020 primarily due to an increase in property taxes in Arizona, and to a lesser extent, in Southwest’s California and Nevada jurisdictions.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increased $2 million between 2021 and 2020. Non-service-related components of employee pension and postretirement benefit cost in this category decreased $6 million between years. The current year also includes a $1.1 million increase in interest income compared to the prior year. Offsetting these impacts were reductions ($4.7 million) in the equity portion of the allowance for funds used during construction (“AFUDC”) due to the impact short-term borrowings have on AFUDC. Both years experienced returns on Company Owned Life Insurance (“COLI”) policies that were significantly higher than expected ($8.8 million in 2021 and $9.2 million in 2020).</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decreased $3.6 million between 2021 and 2020, primarily due to the receivable position of the Purchased Gas Adjustment (“PGA”) in 2021, in addition to amortization of an interest-related regulatory balance in Arizona. These decreases were partially offset by the impacts of debt-related AFUDC in 2021.</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The decrease in Income tax expense in 2021 compared to 2020 primarily reflects changes in Arizona and California state apportionment percentages and additional amortization of excess accumulated deferred income taxes (“EADIT”). Both years reflect that COLI-related earnings are recognized without tax consequences.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vs.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distribution decreased $4 million between 2020 and 2019. The decrease was primarily due to an increase in Depreciation and amortization and Net interest deductions and a decline in Other income (deductions), offset by higher operating margin and a decrease in Operations and maintenance expense.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$24 million between years. Customer growth provided $14 million as 37,000 first-time meter sets were added in 2020 compared to 2019, and combined rate relief, primarily in Nevada and California, provided $7 million of incremental operating margin in 2020. Additionally, an increase in regulatory asset recoveries (offset in amortization expense below) contributed to the increase. During 2019, there was an approximate $5 million reduction in margin resulting from a one-time adjustment to reflect the impacts of U.S. tax reform on the Arizona decoupling mechanism. The remaining impacts included those from a temporary moratorium on late fees and connection/re-connection charges during the COVID-19 pandemic.</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Operations and maintenance expense decreased $16 million, or 4%, between 2020 and 2019 primarily due to lower travel and in-person training costs due to the current COVID-19 environment, lower legal claims between related periods, as well as management cost saving initiatives. These were partially offset by incremental expenditures in 2020 for pipeline damage prevention programs associated with a growing infrastructure and customer base.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$19.7 million, or 9%, between 2020 and 2019 primarily due to a $668 million, or 9%, increase in average gas plant in service in 2020. The increase in gas plant was attributable to pipeline capacity reinforcement work, franchise requirements, scheduled and accelerated pipe replacement activities, and new infrastructure. Amortization related to regulatory account recoveries, as referenced above, increased $1.4 million between years.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$16 million between 2020 and 2019. In 2020, there was a $9.2 million increase in COLI policy cash surrender values and recognized death benefits, compared to $17.4 million in 2019. Non-service-related components of employee pension and postretirement benefit cost, included in this category, increased $5 million between years. Additionally, lower interest earned on regulatory balances contributed to the decrease between years.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interest deductions increased $6.1 million between 2020 and 2019, primarily due to interest associated with the issuance of $300 million of Senior Notes in May 2019 and $450 million of Senior Notes in June 2020, offset by a reduction in outstanding borrowings under the credit facility between years.</w:t>
      </w:r>
    </w:p>
    <w:p>
      <w:pPr>
        <w:spacing w:after="0" w:line="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expense in both 2020 and 2019 reflects the fact that COLI results are recognized without tax consequence and therefore, impact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Results of Utility Infrastructure Services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1,750,978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1,573,227</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87,617</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76,514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55,115</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52,404</w:t>
            </w:r>
          </w:p>
        </w:tc>
      </w:tr>
      <w:tr>
        <w:trPr>
          <w:trHeight w:val="21"/>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vs.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Contribution to consolidated net income from utility infrastructure services decreased $34.4 million in 2021 compared to 2020. Results reflect one-time professional fees related to the acquisition of Riggs Distler, incremental interest expense associated with the outstanding borrowings under Centuri’s $1.545 billion amended and restated secured revolving credit and term loan facility in conjunction with the acquisition, higher depreciation and amortization expense, and lower storm restoration work at Linetec in 2021 as compared to 2020.</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revenues increased $210.4 million, or 11%, including $163.8 million recorded by Riggs Distler subsequent to its acquisition on August 27, 2021. Revenues from electric infrastructure services increased $113.4 million in 2021 when compared to the prior year, of which $108 million was recorded by Riggs Distler. Included in electric infrastructure services revenues overall during 2021 was $65.3 million from emergency restoration services performed by Linetec and Riggs Distler following hurricane, tornado, and other storm damage to customers’ above-ground utility infrastructure in and around the Gulf Coast and eastern regions of the U.S., compared to $81.5 million in the prior year.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year also includes approximately $118 million in incremental revenues, including $20 million recorded by Riggs Distler, from continued growth with gas infrastructure services customers under master service and bid agreements, partially offset by reduced work with two significant customers during 2021 (totaling $76.9 million), due to the mix of projects under each customer’s multi-year capital spending programs. Centuri revenues from contracts with Southwest totaled $102.3 million in 2021 and $134.9 million in 2020. Centuri accounts for services provided to Southwest at contractual prices.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$226 million (including $14 million of professional fees related to the acquisition of Riggs Distler), or 13%, between 2021 and 2020. The increase overall includes $144.9 million incurred by Riggs Distler subsequent to the acquisition, as well as incremental costs related to electric infrastructure services work and costs necessary for the completion of additional gas infrastructure work. Higher fuel costs, equipment rental expense, and subcontractor expenses were also incurred due to the mix of work and in support of growth in our electric infrastructure business. Expenses in relation to revenues, and therefore, profit margins, can be impacted by inefficiencies from equipment and facility utilization and under-absorption of other fixed costs, which occurred due to the reduced work from the two large customers noted above. Also included in total Utility infrastructure services expenses were general and administrative costs, which increased approximately $22.6 million between comparative periods, including $14 million of acquisition-related professional fees previously noted and $9.3 million of general and administrative costs incurred by Riggs Distler subsequent to the acquisition. Other administrative costs increased due to the growth in the business, but were offset by lower incentive compensation expense in 2021 as compared to 2020. Gains on sale of equipment (reflected as an offset to Utility infrastructure services expenses) were approximately $6.9 million and $1.8 million in 2021 and 2020, respectively.</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$20.9 million between 2021 and 2020, of which $16.8 million was recorded by Riggs Distler subsequent to the acquisition. The remaining increase was attributable to equipment and computer systems purchased to support the growing volume of infrastructure work. Depreciation expense, relative to the revenues recorded, was generally consistent during 2021 compared to 2020.</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Other income (deductions) increased $1.3 million in 2021 attributable to proceeds from life insurance policies of $1.8 million, partially offset by $0.7 million of unamortized loan fees that were expensed in connection with Centuri’s debt refinancing.</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net interest deductions of $11.7 million is primarily due to incremental interest related to outstanding borrowings under Centuri’s $1.545 billion amended and restated secured revolving credit and term loan facility in conjunction with the acquisition of Riggs Distler.</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Income tax expense decreased $12.4 million between 2021 and 2020, primarily due to reduced profitability in 2021. Certain costs related to the Riggs Distler acquisition were non-deductible for U.S. federal income tax purposes, which impacted the recorded income tax expense during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vs.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utility infrastructure services increased $22.5 million in 2020 compared to 2019. Results were positively impacted by emergency restoration services performed by Linetec in 2020 and increased volume under certain blanket and bid contracts, both in the U.S. and Canada.</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Utility infrastructure services revenues increased $197.3 million, or 11%, in 2020 primarily due to incremental electric infrastructure revenues of $145.3 million from expansion of work with existing customers and securing work with new customers. Included in the incremental electric infrastructure revenues during 2020 was $81.5 million from emergency restoration services performed by Linetec, following hurricane and tornado damage to customers’ above-ground utility infrastructure in and around the Gulf Coast and eastern regions of the U.S., as compared to $13.2 million in similar services during 2019. Additionally, Centuri experienced continued growth with gas infrastructure customers under master service and bid agreements and benefited from generally favorable weather working conditions throughout 2020. Centuri achieved increases in revenues despite a temporary shut-down of certain crews, primarily in the second quarter of 2020, in response to local government requirements to postpone non-essential business services, and precautions to ensure employee safety during the COVID-19 outbreak. Centuri revenues from contracts with Southwest totaled $134.9 million in 2020 and $158.7 million in 2019.</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$156.2 million, or 10%, between 2020 and 2019 largely due to incremental expenses related to electric infrastructure services of $109.3 million, including costs associated with storm restoration work, as well as costs to complete additional gas and electric infrastructure work. These costs were mitigated by increased productivity and efficiencies on electrical infrastructure projects and lower fuel costs as a percentage of revenues. Additionally, during 2020, Centuri received $4.1 million in wage subsidies from the Canadian government associated with COVID-19 relief programs, recorded as a reduction to wage expense. Ongoing efforts to complete an industrial construction project in Canada resulted in additional costs of approximately $3 million during 2020 compared to $8 million during 2019. General and administrative costs increased $24.4 million in 2020 when compared to 2019, due to higher payroll and operating costs associated with continued growth of the business and higher profit-based incentive compensation. Offsetting these increases were lower insurance costs from favorable claims experience under Centuri’s self-insurance programs. Gains on sale of equipment (reflected as an offset to Utility infrastructure services expenses) were approximately $1.8 million and $5.5 million in 2020 and 2019, respectively.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$9.1 million between 2020 and 2019, primarily due to $5.8 million of incremental depreciation related to the continued growth of Linetec. Additional equipment purchased to support the growing volume of work being performed also contributed to the overall increase.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interest deductions was due primarily to lower incremental borrowing rates associated with outstanding borrowings under the then existing $590 million secured revolving credit and term loan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increase in 2020 reflects the increased level of pre-tax earnings between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In December 2021, Southwest filed a general rate case application proposing a revenue increase of approximately $90.7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Although updated rates related to the previous rate case became effective in January 2021, the most significant driver for the new request is the necessity to reflect in rates the substantial capital investments that have been made since the end of the test year in the previous case, including the recently implemented customer information system. The current filing is based on a test year ended August 31, 2021 and proposes a return on common equity of 9.90% relative to a target equity ratio of 51%. Recovery of the approximate $12 million (over three years) related to the outstanding deferral balance associated with the LNG facility (see below) is included in the request, along with the approximate $2.5 million (also over three years) in late payment charges that were suppressed from customer accounts during the COVID-19 pandemic. A request to continue the Delivery Charge Adjustment (“DCA”), Southwest’s full-revenue decoupling mechanism, is included, while no changes to Southwest’s existing rate design are proposed. A decision is anticipated by the end of 2022, with new rates expected to be effective in January 2023.</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Delivery Charge Adjustment. </w:t>
      </w:r>
      <w:r>
        <w:rPr>
          <w:rFonts w:ascii="Arial" w:cs="Arial" w:eastAsia="Arial" w:hAnsi="Arial"/>
          <w:sz w:val="16"/>
          <w:szCs w:val="16"/>
          <w:color w:val="auto"/>
        </w:rPr>
        <w:t>The annual DCA is filed each April, which along with other reporting requirements, contemplates a rate to recover the over-or under-collected margin tracker amounts based on the balance at the end of the preceding calendar year. In the process to address the 2019 activity, in April 2020, Southwest filed a request to adjust the existing rate to consider the 14-month period of January 1, 2019 through February 29, 2020, proposing a rate of $0.00655 per therm based on an ending balance of approximately $3.5 million. Although the commission staff concurred with Southwest’s proposed rate, the ACC ultimately elected to reduce the rate to zero in an effort to provide some measure of customer relief in light of current issues related to the COVID-19 pandemic, and at the time of both the April filing and the ACC decision, the balance was a liability (in an over-recovered status). With Southwest’s April 2021 annual filing, management requested to maintain the existing zero rate based on similar conditions existing at the time. As of December 31, 2021, however, an under-collected balance of approximately $3.3 million exists, and is expected to be addressed in a future annual filing.</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Previously, management addressed changes from 2017 U.S. tax reform with the ACC, including the tracking and return to customers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related to a lower cost of service compared to amounts embedded in customer rates existing prior to tax reform. Also, as part of tax reform, deferred tax balances were remeasured, resulting in Excess Accumulated Deferred Income Taxes (“EADIT”). In the most recently concluded Arizona general rate proceeding, a Tax Expense Adjustor Mechanism (“TEAM”) was approved to timely recognize any future tax rate changes resulting from federal or state tax legislation. In addition, the TEAM tracks and returns/recovers the revenue requirement impact of changes in EADIT amortization compared to the amount authorized in the most recently concluded rate case. In December 2021, Southwest filed its inaugural TEAM rate application for the recovery of approximately $4.3 million associated with the tax reform credit over-refunded in 2019 and 2020. The commission staff is expected to issue its report on the filing in the first quarter of 2022 for ACC consideration at a subsequent open meeting.</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2014, Southwest sought ACC preapproval to construct, operate, and maintain a 233,000 dekatherm LNG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southern Arizona. This facility is intended to enhance service reliability and flexibility related to natural gas deliveries in the southern Arizona area by providing a local storage option, and to be connected directly to Southwest’s distribution system. Southwest was ultimately granted approval for construction and deferral of costs. The facility was placed in service in December 2019. The capital costs and operating expenses associated with plant operation were approved and considered as part of Southwest’s previous general rate case. Approximately $12 million in costs, incurred following the in-service date of the facility and after the period considered as part of the previous general case, were deferred in the previously authorized regulatory asset and are included for consideration in the current general rate case application.</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Customer-Owned Yard Line (“COYL”) Program. </w:t>
      </w:r>
      <w:r>
        <w:rPr>
          <w:rFonts w:ascii="Arial" w:cs="Arial" w:eastAsia="Arial" w:hAnsi="Arial"/>
          <w:sz w:val="16"/>
          <w:szCs w:val="16"/>
          <w:color w:val="auto"/>
        </w:rPr>
        <w:t>Southwest received approval, in connection with its 2010 Arizona general rate case,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to conduct leak surveys, and if leaks were present, to replace and relocate service lines and meters for Arizona customers whose meters were set off from the customer’s home, representing a non-traditional configuration. In 2014, the ACC approved a “Phase II” of the COYL program, which included the replacement of non-leaking COYLs. The surcharge was designed to collect the annual revenue requirement as the program progressed. In the filing made in February 2019, Southwest requested to increase its surcharge to recover a revenue requirement of $6.7 million (an increase of $3.2 million) associated with $26.6 million in capital projects completed in 2018. The ACC ultimately issued an order in October 2019 authorizing Southwest to retain the then existing annual surcharge in place, with a review of the program to be part of Southwest’s general rate case pending at the time, including with regard to an estimated $21.1 million of 2019 COYL capital projects. Parties to the case stipulated to continue the COYL program and recommended recovery of this plant as part of Southwest’s filed post-test year plant adjustment, with inclusion of related amounts in base rates. Further consideration in the ultimate rate case decision limited the post-test year plant adjustment (inclusive of COYL plant) to six months, and limited</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future COYL activity to the replacement of leaking COYLs, or in cases when other replacement activity is taking place in the vicinity. A filing in May 2021 proposed the recovery of the remaining 2019 and 2020 revenue requirement (collectively, $13.7 million) over a one-year period. In November 2021, the ACC approved full recovery within the proposed timeline, the rate for which was implemented the same month.</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Vintage Steel Pipe Program (“VSP”)</w:t>
      </w:r>
      <w:r>
        <w:rPr>
          <w:rFonts w:ascii="Arial" w:cs="Arial" w:eastAsia="Arial" w:hAnsi="Arial"/>
          <w:sz w:val="16"/>
          <w:szCs w:val="16"/>
          <w:color w:val="auto"/>
        </w:rPr>
        <w:t>. Southwest received approval, in connection with its 2016 Arizona general rate case, to implement a VSP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replacement program, due to having a substantial amount of pre-1970s vintage steel pipe in Arizona. As part of the program, Southwest proposed to start replacing the pipe on an accelerated basis and to recover the costs through an annual surcharge filing. Surcharges related thereto were customarily designed to be revised annually as the program progressed, in order to collect the annual revenue requirement associated with the related capital expenditures. In the February 2019 VSP filing, Southwest requested to increase its surcharge revenue by $9.5 million (to $11.9 million) associated with the replacement of approximately $100 million in 2018 VSP capital projects. The ACC issued an order in October 2019 authorizing Southwest to retain the existing annual surcharge, and indicated it would review the program as part of the general rate case pending at the time. Southwest also proposed to have the ACC review an estimated $103.4 million of 2019 VSP capital projects as part of the same general rate case. The resolution of Southwest’s rate case (with rates effective January 2021) provided for the inclusion of post-test year plant (inclusive of VSP) placed in service during the six months following the test year. However, the ACC ultimately decided to discontinue the </w:t>
      </w:r>
      <w:r>
        <w:rPr>
          <w:rFonts w:ascii="Arial" w:cs="Arial" w:eastAsia="Arial" w:hAnsi="Arial"/>
          <w:sz w:val="16"/>
          <w:szCs w:val="16"/>
          <w:i w:val="1"/>
          <w:iCs w:val="1"/>
          <w:color w:val="auto"/>
        </w:rPr>
        <w:t>accelerated</w:t>
      </w:r>
      <w:r>
        <w:rPr>
          <w:rFonts w:ascii="Arial" w:cs="Arial" w:eastAsia="Arial" w:hAnsi="Arial"/>
          <w:sz w:val="16"/>
          <w:szCs w:val="16"/>
          <w:color w:val="auto"/>
        </w:rPr>
        <w:t xml:space="preserve"> VSP program. A filing in May 2021 proposed the recovery of the remaining revenue requirement relating to investments during 2019 and 2020, approximately $60 million to be recovered over a three-year period. In November 2021, the ACC approved full recovery over the proposed three-year timeline, electing to permit the rate to be implemented in March 2022.</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Graham County Utilities. </w:t>
      </w:r>
      <w:r>
        <w:rPr>
          <w:rFonts w:ascii="Arial" w:cs="Arial" w:eastAsia="Arial" w:hAnsi="Arial"/>
          <w:sz w:val="16"/>
          <w:szCs w:val="16"/>
          <w:color w:val="auto"/>
        </w:rPr>
        <w:t>In April 2021, Southwest and Graham County Utilities, Inc. (“GCU”) filed a joint application with the ACC for approval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will continue to be served under existing GCU rates until such time as they are rolled into Southwest’s rates, which is proposed to take place in conjunction with the effective date of the rates resulting from the currently pending Arizona general rate case.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In August 2019, Southwest filed a general rate case based on a 2021 test year, seeking authority to increase rates in its</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rate jurisdictions, after being granted earlier permission to extend the rate case cycle by two years and continue its 2.75% previously approved Post-Test Year (“PTY”) attrition adjustments for 2019 and 2020. The proposed combined revenue increase of $12.8 million was net of a $10.9 million revenue reduction associated with changes from U.S. tax reform. The overall revenue request also included $1.6 million of EADIT proposed to be returned to customers each year until the amount is reset as part of a future rate case. Southwest’s proposal included a return on equity (“ROE”) of 10.5% relative to a 53% equity ratio; continuation of annual post-test year margin adjustments of 2.75%; implementation of various safety-related programs, including a targeted pipe replacement program and a meter protection program (with a combination of measures, such as snow sheds, excess flow valves, upgraded meter set piping and upgraded Encoder Receiver Transmitter protocol); as well as an expansion of the school COYL replacement program.</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reached an agreement in principle with the Public Advocate’s Office, which was unanimously approved by the CPUC on March 25, 2021, including a $6.4 million total combined revenue increase with a 10% ROE, relative to a 52% equity ratio. Approximately $4 million of the original proposed increase was associated with a North Lake Tahoe project that would not ultimately be completed by the beginning of 2021; consequently, the parties agreed to provide for recovery of the cost of service impacts of the project through a future surcharge. The rate case decision maintains Southwest’s existing 2.75% annual attrition adjustments, the continuation of the pension balancing account, and a proposed increase in the residential basic service charge from the existing $5.00 to $5.75 per month. It also includes cumulative expenditures totaling $119 million over the five-year rate cycle to implement risk-informed proposals, consisting of the school COYL replacement, meter protection, and pipe replacement programs. Although new rates were originally anticipated to be in place by January 1, 2021, in light of an administrative delay, Southwest was granted authority to establish a general rate case memorandum account to track the impacts related to the delay in the implementation of new rates for purposes of later recovery. New rates were ultimately implemented April 1, 2021.</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new rates approved as part of the recently concluded general rate case, Southwest is also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to implement annual PTY attrition increases of 2.75% beginning in January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Greenhouse Gas (“GHG”) Compliance. </w:t>
      </w:r>
      <w:r>
        <w:rPr>
          <w:rFonts w:ascii="Arial" w:cs="Arial" w:eastAsia="Arial" w:hAnsi="Arial"/>
          <w:sz w:val="18"/>
          <w:szCs w:val="18"/>
          <w:color w:val="auto"/>
        </w:rPr>
        <w:t>California Assembly Bill Number 32 and regulations promulgated by the California Air Resources Board,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over a 12-month period with recovery rates effective July 2018 for all applicable rate schedules. For years 2019-2020, the decision adopted an allocation methodology to distribute the revenue proceeds through a California Climate Credit to active residential customers in April of each year, which has since continued. GHG compliance costs recovered through rates have no impact on earnings.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Customer Data Modernization Initiative (“CDMI”). </w:t>
      </w:r>
      <w:r>
        <w:rPr>
          <w:rFonts w:ascii="Arial" w:cs="Arial" w:eastAsia="Arial" w:hAnsi="Arial"/>
          <w:sz w:val="18"/>
          <w:szCs w:val="18"/>
          <w:color w:val="auto"/>
        </w:rPr>
        <w:t>In April 2019, Southwest filed an application with the CPUC seeking authority to establish a two-way,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bearing balancing account to record costs associated with the CDMI to mitigate adverse financial impacts associated with the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allowing Southwest to track costs, including operations and maintenance costs and capital-related costs, such as depreciation, taxes, and return associated with California’s portion of the CDMI. The balance tracked in the memorandum account was transferred to the two-way balancing account in July 2020. A rate to begin recovering the balance accumulated through June 30, 2020, was established and made effective September 1, 2020, and updated in January 2021, August 2021, and January 2022. This rate is expected to be updated at least annually. The customer information system, the largest of the two systems associated with the CDMI, was placed in service in May 2021.</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In March 2020, Southwest filed an Advice Letter to establish a memorandum account to track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customer protections under Emergency Relief regulations implemented in California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filed an Advice Letter to establish a COVID-19 Pandemic Protections Memorandum Account (“CPPMA”) to record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was originally effective March 4, 2020 through April 16, 2021, but was extended through September 30, 2021. These customer protections focused on flexible payment plan options, additional protections for income-qualified customers, as well as the suspension of disconnections for non-payment and waiver of deposit and late fee requirements. Tracked amounts will be considered by the CPUC for future recovery.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On August 31, 2021, Southwest filed its most recent general rate case, which was further updated by a certification filing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17, 2021. The request proposed a combined revenue increase of approximately $28.7 million (as of certification), the most significant driver for the new request is the necessity to reflect in rates the substantial capital investments that have been made since the end of the test year in the previous case, including the recently implemented customer information system. The filing included a proposed return on common equity of 9.90% with a target equity ratio of 51%; recovery over two years of approximately $6.6 million in previously deferred late payment charges related to a regulatory asset associated with COVID-19; and continuation of full revenue decoupling under the General Revenues Adjustment (“GRA”) mechanism. The filing utilized a test year ended May 31, 2021 with certification-period adjustments through November 30, 2021. On February 8, 2022 the parties filed a stipulation with the PUCN, providing for a statewide revenue increase of $14.05 million. The stipulation will be considered by the PUCN and is anticipated that an order will be issued prior to the end of the first quarter 2022, with new rates effective April 2022.</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Southwest’s previous general rate case concluded with a final order in September 2020, which provided for an authorized combined revenue increase of approximately $23 million for northern and southern Nevada and continuation of the previously authorized 9.25% ROE, with a capital structure of 49.26% equity and 50.74% debt. Southwest’s GRA (see below) was authorized to continue without modification. Full cost recovery of the unamortized balance of software projects excluded from its 2018 general rate proceeding was authorized in this case, along with the inclusion of all proposed Gas Infrastructure Replacement (“GIR”) and Mesquite Expansion projects in rate base, and full recovery of test year and certification operations and maintenance expenses associated with the CDMI. Rates became effective in October 2020.</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association with an earlier Nevada rate case decision in December 2018, management requested reconsideration of several issues in the case; however, the PUCN ultimately granted no further relief. Management decided to seek judicial review of the PUCN’s rate order, which was considered in January 2020; however, the District Court Judge deferred to the PUCN’s original findings. In March 2020, Southwest filed an appeal with the Nevada Supreme Court, for which management initially estimated could take up to 24 months from the date of the appeal to resolve. The Nevada Supreme Court issued a decision in February 2022 denying Southwest’s request as it pertained to the 2018 rate proceeding.</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p>
      <w:pPr>
        <w:jc w:val="both"/>
        <w:spacing w:after="0" w:line="271" w:lineRule="auto"/>
        <w:rPr>
          <w:sz w:val="20"/>
          <w:szCs w:val="20"/>
          <w:color w:val="auto"/>
        </w:rPr>
      </w:pPr>
      <w:r>
        <w:rPr>
          <w:rFonts w:ascii="Arial" w:cs="Arial" w:eastAsia="Arial" w:hAnsi="Arial"/>
          <w:sz w:val="17"/>
          <w:szCs w:val="17"/>
          <w:i w:val="1"/>
          <w:iCs w:val="1"/>
          <w:color w:val="auto"/>
        </w:rPr>
        <w:t>General Revenues Adjustment</w:t>
      </w:r>
      <w:r>
        <w:rPr>
          <w:rFonts w:ascii="Arial" w:cs="Arial" w:eastAsia="Arial" w:hAnsi="Arial"/>
          <w:sz w:val="17"/>
          <w:szCs w:val="17"/>
          <w:color w:val="auto"/>
        </w:rPr>
        <w:t>. As noted above, the continuation of the GRA was affirmed as part of Southwest’s most recently concluded general rate case,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October 2020. Further continuation of the mechanism has again been requested in the current general rate case with a proposed expansion to include a large customer class (with monthly throughput requirements greater than 15,000 therms). Continuation of the mechanism and the expansion are included in the agreement in principle for consideration and approval by the commission. Southwest makes Annual Rate Adjustment (“ARA”) filings to update rates to recover or return amounts associated with various regulatory mechanisms, including the GRA. With timing changes approved in the previous ARA, Southwest made its most recent ARA filing in November 2021 related to balances as of September 30, 2021. New rates related to that filing will be effective July 1, 2022.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GIR mechanism, which provided for the deferral and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 related regulations provide Southwest with the opportunity to file a GIR “Advance Application” annually to seek preapproval of qualifying replacement projects.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preapproval of projects is requested and granted, a GIR rate application is separately filed to reset the GIR recovery surcharge rate related to previously approved and completed projects. On September 30, 2021, Southwest filed its latest rate application to reset the recovery surcharge to include cumulative deferrals through August 31, 2021. The updated surcharge rate is expected to result in a reduction in annual revenue of approximately $1.4 million in southern Nevada and an annual revenue increase of $66,000 in northern Nevada. The parties reached a stipulation that was approved by the commission and new rates became effective January 1, 2022.</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Conservation and Energy Efficiency. </w:t>
      </w:r>
      <w:r>
        <w:rPr>
          <w:rFonts w:ascii="Arial" w:cs="Arial" w:eastAsia="Arial" w:hAnsi="Arial"/>
          <w:sz w:val="18"/>
          <w:szCs w:val="18"/>
          <w:color w:val="auto"/>
        </w:rPr>
        <w:t>The PUCN allows deferral (and later recovery) of approved conservation and energy efficiency costs, recovery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are adjusted in association with ARA filings. In its May 2020 ARA filing, Southwest proposed annualized margin decreases of $313,000 and $55,000 for southern and northern Nevada, respectively, which were approved and became effective January 2021. In May 2021, Southwest filed its proposed Conservation and Energy Efficiency plan for the years 2022 – 2024, with a proposed annual budget amount of approximately $3 million. A PUCN decision received in the fourth quarter 2021 authorized the continuation of Southwest’s currently authorized programs and an annual budget of approximately $1.3 million.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for the expansion, and Southwest provides periodic updates and adjusts the rates to recover the revenue requirement associated with the investments to serve customers as part of the ARA filings and rate case proceedings. As of December 2021, approximately 40 miles of natural gas infrastructure has been installed throughout the Mesquite expansion area.</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2019, Southwest filed for preapproval to construct the infrastructure necessary to expand natural gas service to Spring Creek, (near Elko, Nevada), and to implement a cost recovery methodology to recover the associated revenue requirement consistent with the SB 151 regulations. The expansion facilities consist of a high-pressure approach main and associated regulator stations, an interior backbone, and an extension of the distribution system from the interior backbone. The total capital investment was estimated to be $61.9 million. A stipulation was reached with the parties and approved by the PUCN in December 2019, including in regard to the rate recovery allocation amongst northern Nevada, Elko, and Spring Creek expansion customers. Construction began in the third quarter of 2020, and service commenced to the first Spring Creek customers in December 2020. As of December 31, 2021, approximately 23 miles of natural gas infrastructure has been installed throughout the Spring Creek expansion area, and is anticipated to be completed in 2026.</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Regulatory Asset Related to COVID-19. </w:t>
      </w:r>
      <w:r>
        <w:rPr>
          <w:rFonts w:ascii="Arial" w:cs="Arial" w:eastAsia="Arial" w:hAnsi="Arial"/>
          <w:sz w:val="16"/>
          <w:szCs w:val="16"/>
          <w:color w:val="auto"/>
        </w:rPr>
        <w:t>The PUCN issued an order directing utilities within the state to establish regulatory asset accounts, effective March</w:t>
      </w:r>
      <w:r>
        <w:rPr>
          <w:rFonts w:ascii="Arial" w:cs="Arial" w:eastAsia="Arial" w:hAnsi="Arial"/>
          <w:sz w:val="16"/>
          <w:szCs w:val="16"/>
          <w:i w:val="1"/>
          <w:iCs w:val="1"/>
          <w:color w:val="auto"/>
        </w:rPr>
        <w:t xml:space="preserve"> </w:t>
      </w:r>
      <w:r>
        <w:rPr>
          <w:rFonts w:ascii="Arial" w:cs="Arial" w:eastAsia="Arial" w:hAnsi="Arial"/>
          <w:sz w:val="16"/>
          <w:szCs w:val="16"/>
          <w:color w:val="auto"/>
        </w:rPr>
        <w:t>12, 2020, the date that Governor Steve Sisolak declared a state of emergency related to COVID-19, to track the financial impacts associated with maintaining service for customers affected by COVID-19, including those whose service would have been otherwise terminated/disconnected. These amounts, totaling approximately $6.6 million, were included as part of Southwest’s recent general rate case request, proposed to be recovered over a two-year period. The agreement in principle settling the general rate case proposes a four-year amortization, subject to the commission’s final order.</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Carbon Offset Program. </w:t>
      </w:r>
      <w:r>
        <w:rPr>
          <w:rFonts w:ascii="Arial" w:cs="Arial" w:eastAsia="Arial" w:hAnsi="Arial"/>
          <w:sz w:val="18"/>
          <w:szCs w:val="18"/>
          <w:color w:val="auto"/>
        </w:rPr>
        <w:t>In June 2021, Southwest filed an application to seek approval to offer a voluntary program to northern and southern Nevada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purchase carbon offsets in an effort to provide customers additional options to reduce their GHG emissions. A request to establish a regulatory asset to track program-related costs and revenues was included as part of</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color w:val="auto"/>
        </w:rPr>
        <w:t>the application. The PUCN issued a decision in December 2021 approving Southwest’s proposal. Implementation of the program is expected in the second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Great Basin Gas Transmission Company (“Great Basin”), formerly Paiute Pipeline Company, a wholly owned subsidiary of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general rate case with the FERC in May 2019. The filing fulfilled an obligation from the settlement agreement reached in an earlier general rate case. In January 2020, an agreement in principle to settle the case was reached with the FERC Staff and intervenors, which would not significantly impact revenues overall. It provided that the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and in August 2020 a FERC letter order approving the settlement became final. As part of the settlement, Great Basin will not file a rate case later than May 31, 2025.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December 31, 2021, under-collections in each of Southwest’s service territories resulted in an asset of approximately $291.1 million on the Company’s and Southwest’s Consolidated Balance Sheets. The significant change in the PGA balance during 2021 resulted from $800 million in commodity and transmission costs incurred during 2021, including incremental natural gas costs associated with an extreme weather event in the central U.S. in mid-February 2021 and higher commodity prices in the latter part of the year. See also </w:t>
      </w:r>
      <w:r>
        <w:rPr>
          <w:rFonts w:ascii="Arial" w:cs="Arial" w:eastAsia="Arial" w:hAnsi="Arial"/>
          <w:sz w:val="16"/>
          <w:szCs w:val="16"/>
          <w:i w:val="1"/>
          <w:iCs w:val="1"/>
          <w:color w:val="auto"/>
        </w:rPr>
        <w:t>Deferred Purchased Gas Costs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at the end of its two most recent fiscal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(8,601)</w:t>
            </w: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(42,134)</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r>
      <w:tr>
        <w:trPr>
          <w:trHeight w:val="248"/>
        </w:trPr>
        <w:tc>
          <w:tcPr>
            <w:tcW w:w="8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included in the PGA balances table above is a $5.7 million deferred purchased gas cost liability for Questar Pipelines.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Arizona PGA Filings. </w:t>
      </w:r>
      <w:r>
        <w:rPr>
          <w:rFonts w:ascii="Arial" w:cs="Arial" w:eastAsia="Arial" w:hAnsi="Arial"/>
          <w:sz w:val="18"/>
          <w:szCs w:val="18"/>
          <w:color w:val="auto"/>
        </w:rPr>
        <w:t>In Arizona, Southwest calculates the change in the gas cost component of customer rates monthly (to allow for timely refunds</w:t>
      </w:r>
      <w:r>
        <w:rPr>
          <w:rFonts w:ascii="Arial" w:cs="Arial" w:eastAsia="Arial" w:hAnsi="Arial"/>
          <w:sz w:val="18"/>
          <w:szCs w:val="18"/>
          <w:i w:val="1"/>
          <w:iCs w:val="1"/>
          <w:color w:val="auto"/>
        </w:rPr>
        <w:t xml:space="preserve"> </w:t>
      </w:r>
      <w:r>
        <w:rPr>
          <w:rFonts w:ascii="Arial" w:cs="Arial" w:eastAsia="Arial" w:hAnsi="Arial"/>
          <w:sz w:val="18"/>
          <w:szCs w:val="18"/>
          <w:color w:val="auto"/>
        </w:rPr>
        <w:t>to/recoveries from customers), utilizing a rolling twelve-month average. During 2021, the Gas Cost Balancing Account continued providing a surcharge in order to recover the under-collected balance.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California Gas Cost Filings. </w:t>
      </w:r>
      <w:r>
        <w:rPr>
          <w:rFonts w:ascii="Arial" w:cs="Arial" w:eastAsia="Arial" w:hAnsi="Arial"/>
          <w:sz w:val="18"/>
          <w:szCs w:val="18"/>
          <w:color w:val="auto"/>
        </w:rPr>
        <w:t>In California, a monthly gas cost adjustment based on forecasted monthly prices is utilized. Monthly adjustments modeled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fashion provide the timeliest recovery of gas costs in any Southwest jurisdiction.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Nevada ARA Application. </w:t>
      </w:r>
      <w:r>
        <w:rPr>
          <w:rFonts w:ascii="Arial" w:cs="Arial" w:eastAsia="Arial" w:hAnsi="Arial"/>
          <w:sz w:val="18"/>
          <w:szCs w:val="18"/>
          <w:color w:val="auto"/>
        </w:rPr>
        <w:t>In November 2021, Southwest filed to adjust its quarterly Deferred Energy Account Adjustment rate, which is based upon a</w:t>
      </w:r>
      <w:r>
        <w:rPr>
          <w:rFonts w:ascii="Arial" w:cs="Arial" w:eastAsia="Arial" w:hAnsi="Arial"/>
          <w:sz w:val="18"/>
          <w:szCs w:val="18"/>
          <w:i w:val="1"/>
          <w:iCs w:val="1"/>
          <w:color w:val="auto"/>
        </w:rPr>
        <w:t xml:space="preserve"> </w:t>
      </w:r>
      <w:r>
        <w:rPr>
          <w:rFonts w:ascii="Arial" w:cs="Arial" w:eastAsia="Arial" w:hAnsi="Arial"/>
          <w:sz w:val="18"/>
          <w:szCs w:val="18"/>
          <w:color w:val="auto"/>
        </w:rPr>
        <w:t>twelve-month rolling average, in addition to requesting adjusted Base Tariff Energy rates, both of which were approved effective January 2022. These new rates are intended to address the outstanding balances over a twelve-month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Price Volatility and Mitigation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mitigate price volatility to its customers, Southwest has periodically entered into fixed-price term contracts and swaps under its volatility mitigation programs for up to 25% of the California jurisdictions’ annual normal weather supply needs. For the 2021/2022 heating season, contracts contained in the fixed-price portion of the supply portfolio ranged from approximately $3.90 to approximately $4.23 per dekatherm. In consultation with its regulators, for periods beyond October 2020, Southwest currently does not plan to make any fixed-price term purchases for the Arizona or Nevada jurisdictions, nor to enter into swap agreements; however, Southwest will continue to enter fixed-price purchases for the California jurisdiction. Southwest’s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jc w:val="both"/>
        <w:spacing w:after="0" w:line="296" w:lineRule="auto"/>
        <w:rPr>
          <w:sz w:val="20"/>
          <w:szCs w:val="20"/>
          <w:color w:val="auto"/>
        </w:rPr>
      </w:pPr>
      <w:r>
        <w:rPr>
          <w:rFonts w:ascii="Arial" w:cs="Arial" w:eastAsia="Arial" w:hAnsi="Arial"/>
          <w:sz w:val="16"/>
          <w:szCs w:val="16"/>
          <w:color w:val="auto"/>
        </w:rPr>
        <w:t xml:space="preserve">In mid-February 2021, the central U.S. (from south Texas to North Dakota and the eastern Rocky Mountains) experienced extreme cold temperatures, which increased natural gas demand and caused temporary shortages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Term Loan executed in March 2021. See </w:t>
      </w:r>
      <w:r>
        <w:rPr>
          <w:rFonts w:ascii="Arial" w:cs="Arial" w:eastAsia="Arial" w:hAnsi="Arial"/>
          <w:sz w:val="16"/>
          <w:szCs w:val="16"/>
          <w:b w:val="1"/>
          <w:bCs w:val="1"/>
          <w:color w:val="auto"/>
        </w:rPr>
        <w:t>Note 8 - Debt</w:t>
      </w:r>
      <w:r>
        <w:rPr>
          <w:rFonts w:ascii="Arial" w:cs="Arial" w:eastAsia="Arial" w:hAnsi="Arial"/>
          <w:sz w:val="16"/>
          <w:szCs w:val="16"/>
          <w:color w:val="auto"/>
        </w:rPr>
        <w:t xml:space="preserve"> for additional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Pipeline Safety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the Pipeline and Hazardous Materials Safety Administration (“PHMSA”) issued final rules that amended the federal pipeline safety regulations applicable to gas transmission pipelines (effective July 2020). Southwest has integrated the requirements of this new rule into its operating procedures related to reconfirming maximum allowable operating pressure of gas transmission pipelines in certain circumstances and assessing pipeline integrity.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bipartisan Protecting our Infrastructure of Pipelines and Enhancing Safety, or PIPES Act, of 2020 was signed by the President on December 27, 2020 as part of the broader federal spending and COVID-19 relief package. The final bill included a self-executing mandate for pipeline operators referenced as Section 114 – Leak Detection and Repair, amongst other recommendations, that primarily applied to the PHMSA. PHMSA published an advisory bulletin on the subject to all operators in June 2021 providing a reminder to update their inspection and maintenance plans to address eliminating hazardous leaks and minimizing releases of natural gas (including intentional venting during normal operations) from their pipeline facilities. Operators must also revise their plans to address the replacement or remediation of pipeline facilities that are known to leak based on their material, design, or past operating and maintenance history.</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2021, the PUCN issued an order revising its regulations to require annual leak surveys of all distribution pipelines transporting natural gas and/or liquefied petroleum, effective January 1, 2023. In conjunction with this change, the PUCN authorized the establishment of a regulatory asset account to track the incremental cost of compliance related to the new regulation, for consideration in a future general rate case filing.</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Southwest continues to monitor changing pipeline safety legislation and participates, to the extent possible, in providing public comments and working with industry associations, such as the American Gas Association, in shaping regulatory language associated with these new mandates and reporting requirements. Additionally, management works with its state and federal commissions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 for Southwest and Questar Pipelines.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 the past three years, cash on hand and cash flows from operations have provided a substantial portion of cash used in investing activities (primarily construction expenditures and property additions). In recent years, Southwest has accelerated pipe replacement activities to fortify system integrity and reliability, notably in association with gas infrastructure replacement programs. This accelerated activity has necessitated the issuance of both debt and equity securities to supplement cash flows from operations. The Company, in executing on its interim plans to fund the Questar Pipelines acquisition, initially funded the transaction through short-term borrowings, which would be refinanced through a multi-pronged permanent financing plan by the 2nd quarter of 2022. In the interim, its working capital resources are necessarily low compared to its short-term obligations, which will be alleviated once management completes its execution on the remainder of its plan. The Company’s capitalization strategy is to maintain an appropriate balance of equity and debt to preserve investment-grade credit ratings, which help minimize interest costs. Investment-grade credit ratings have been maintained following the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flows provided by consolidated operating activities decreased $515 million between 2021 and 2020. The decline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cash flows primarily resulted from amounts under purchased gas adjustment mechanisms ($344 million, compared to collections of $36 million in the prior year), including amounts resulting from the temporary escalation in gas commodity prices during the first quarter of 2021 associated with the extreme cold temperatures in the central U.S. and an increase in commodity pricing during the latter part of 2021 (see </w:t>
      </w:r>
      <w:r>
        <w:rPr>
          <w:rFonts w:ascii="Arial" w:cs="Arial" w:eastAsia="Arial" w:hAnsi="Arial"/>
          <w:sz w:val="16"/>
          <w:szCs w:val="16"/>
          <w:b w:val="1"/>
          <w:bCs w:val="1"/>
          <w:color w:val="auto"/>
        </w:rPr>
        <w:t>Note 1 - Background, Organization, and</w:t>
      </w:r>
      <w:r>
        <w:rPr>
          <w:rFonts w:ascii="Arial" w:cs="Arial" w:eastAsia="Arial" w:hAnsi="Arial"/>
          <w:sz w:val="16"/>
          <w:szCs w:val="16"/>
          <w:color w:val="auto"/>
        </w:rPr>
        <w:t xml:space="preserve"> </w:t>
      </w:r>
      <w:r>
        <w:rPr>
          <w:rFonts w:ascii="Arial" w:cs="Arial" w:eastAsia="Arial" w:hAnsi="Arial"/>
          <w:sz w:val="16"/>
          <w:szCs w:val="16"/>
          <w:b w:val="1"/>
          <w:bCs w:val="1"/>
          <w:color w:val="auto"/>
        </w:rPr>
        <w:t>Summary of Significant Accounting Policies</w:t>
      </w:r>
      <w:r>
        <w:rPr>
          <w:rFonts w:ascii="Arial" w:cs="Arial" w:eastAsia="Arial" w:hAnsi="Arial"/>
          <w:sz w:val="16"/>
          <w:szCs w:val="16"/>
          <w:color w:val="auto"/>
        </w:rPr>
        <w:t>). Other impacts include a decrease ($45 million) in recoveries related to the Arizona decoupling mechanism</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between years, as well as a decrease in net income, and the impact of changes in components of working capital overall.</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7"/>
          <w:szCs w:val="17"/>
          <w:color w:val="auto"/>
        </w:rPr>
        <w:t xml:space="preserve">Corporate and administrative expenses/outflows of Southwest Gas Holdings, Inc. increased by $25.1 million between 2021 and 2020 primarily due to an increase in professional fees for the current year. The increase was primarily the result of professional fees incurred in relation to (i) the Company’s acquisition of Questar Pipelines (separately from $14 million in similar fees incurred directly by Centuri in association with the acquisition of Riggs), (ii) the Company’s successful defense against a lawsuit launched by certain funds affiliated with Carl Icahn and certain affiliates (collectively, “Icahn”) seeking to constrain the Company’s ability to raise permanent financing for the acquisition of Questar Pipelines, (iii) Icahn’s ongoing tender offer to purchase shares of the Company’s common stock, (iv) Icahn’s ongoing proxy contest with respect to the election of directors at the Company’s 2022 Annual Meeting of Stockholders and (v) the ongoing stockholder litigation related to the foregoing as described further in </w:t>
      </w:r>
      <w:r>
        <w:rPr>
          <w:rFonts w:ascii="Arial" w:cs="Arial" w:eastAsia="Arial" w:hAnsi="Arial"/>
          <w:sz w:val="17"/>
          <w:szCs w:val="17"/>
          <w:b w:val="1"/>
          <w:bCs w:val="1"/>
          <w:color w:val="auto"/>
        </w:rPr>
        <w:t>Note 10 - Commitments and Contingencies</w:t>
      </w:r>
      <w:r>
        <w:rPr>
          <w:rFonts w:ascii="Arial" w:cs="Arial" w:eastAsia="Arial" w:hAnsi="Arial"/>
          <w:sz w:val="17"/>
          <w:szCs w:val="17"/>
          <w:color w:val="auto"/>
        </w:rPr>
        <w:t xml:space="preserve"> included in the Notes to Consolidated Financial Statements in this Annual Report on Form 10-K.</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consolidated investing activities increased $2.2 billion in 2021 as compared to 2020. The change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acquisitions of Riggs Distler by Centuri and Questar Pipelines, by Southwest Gas Holdings, Inc, (see </w:t>
      </w:r>
      <w:r>
        <w:rPr>
          <w:rFonts w:ascii="Arial" w:cs="Arial" w:eastAsia="Arial" w:hAnsi="Arial"/>
          <w:sz w:val="16"/>
          <w:szCs w:val="16"/>
          <w:b w:val="1"/>
          <w:bCs w:val="1"/>
          <w:color w:val="auto"/>
        </w:rPr>
        <w:t>Note 15 - Business Acquisitions</w:t>
      </w:r>
      <w:r>
        <w:rPr>
          <w:rFonts w:ascii="Arial" w:cs="Arial" w:eastAsia="Arial" w:hAnsi="Arial"/>
          <w:sz w:val="16"/>
          <w:szCs w:val="16"/>
          <w:color w:val="auto"/>
        </w:rPr>
        <w:t>). The overall outflows to execute on these strategic initiatives was modestly offset by a decrease in cash outlays for capital expenditures in the natural gas distribution segment. Certain additional expenditures for capital projects remained unpaid within accounts payable at the end of both 2020 and 2021 due to timing.</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increased $2.9 billion in 2021 as compared to 2020.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financing the acquisitions of Questar Pipelines by Southwest Gas Holdings, Inc. and Riggs Distler, by Centuri. The Company entered into a 364-day $1.6 billion Term Loan Facility to temporarily fund the Questar Pipelines acquisition, until it deploys its permanent financing. Centuri entered into an amended and restated credit agreement providing for a $1.145 billion secured term loan facility and a $400 million secured revolving credit facility, which in addition to funding the Riggs Distler acquisition, refinanced its previous $590 million loan facility. Approximately $1.22 billion was outstanding under the combined Centuri facility as of December 31, 2021. Southwest entered into a 364-day Term Loan to fund the increased cost of natural gas supply during the extreme cold weather event of the 1st quarter of 2021, and borrowed otherwise under its credit facility. Separately, the Company issued $75 million more in common stock under the Equity Shelf Program in 2021 compared to 2020. Dividend payments increased in 2021 as compared to 2020 as a result of an increase in the quarterly dividend rate and an increase in the number of shares outstanding. See </w:t>
      </w:r>
      <w:r>
        <w:rPr>
          <w:rFonts w:ascii="Arial" w:cs="Arial" w:eastAsia="Arial" w:hAnsi="Arial"/>
          <w:sz w:val="18"/>
          <w:szCs w:val="18"/>
          <w:b w:val="1"/>
          <w:bCs w:val="1"/>
          <w:color w:val="auto"/>
        </w:rPr>
        <w:t>Note 7 - Common Stock</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8 -</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$399 million between 2021 and 2020. The decrease in operating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attributable to the impacts related to deferred purchased gas costs and the Arizona decoupling mechanism noted above, as well as changes in other working capital components overall.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decreased $91 million in 2021 as compared to 2020, primarily due to the decrease in cash outlays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construction expenditures. See also </w:t>
      </w:r>
      <w:r>
        <w:rPr>
          <w:rFonts w:ascii="Arial" w:cs="Arial" w:eastAsia="Arial" w:hAnsi="Arial"/>
          <w:sz w:val="18"/>
          <w:szCs w:val="18"/>
          <w:i w:val="1"/>
          <w:iCs w:val="1"/>
          <w:color w:val="auto"/>
        </w:rPr>
        <w:t>2021 Construction Expenditures</w:t>
      </w:r>
      <w:r>
        <w:rPr>
          <w:rFonts w:ascii="Arial" w:cs="Arial" w:eastAsia="Arial" w:hAnsi="Arial"/>
          <w:sz w:val="18"/>
          <w:szCs w:val="18"/>
          <w:color w:val="auto"/>
        </w:rPr>
        <w:t xml:space="preserve"> below</w:t>
      </w:r>
      <w:r>
        <w:rPr>
          <w:rFonts w:ascii="Arial" w:cs="Arial" w:eastAsia="Arial" w:hAnsi="Arial"/>
          <w:sz w:val="18"/>
          <w:szCs w:val="18"/>
          <w:i w:val="1"/>
          <w:iCs w:val="1"/>
          <w:color w:val="auto"/>
        </w:rPr>
        <w: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$304 million in 2021 as compared to 2020. The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Southwest’s $250 million Term Loan issued to fund the increased cost of natural gas supply during the winter weather event. Additionally, Southwest issued $300 million in notes 2021, compared to $450 million in notes issued and $125 million in notes redeemed in 2020. Net borrowings between periods under Southwest’s credit facility and capital contributions from Southwest Gas Holdings, Inc. largely comprised the remainder of the change. See </w:t>
      </w:r>
      <w:r>
        <w:rPr>
          <w:rFonts w:ascii="Arial" w:cs="Arial" w:eastAsia="Arial" w:hAnsi="Arial"/>
          <w:sz w:val="18"/>
          <w:szCs w:val="18"/>
          <w:b w:val="1"/>
          <w:bCs w:val="1"/>
          <w:color w:val="auto"/>
        </w:rPr>
        <w:t>Note 8 -</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capital requirements and resources of the Company generally are determined independently for the individual business segments. Each business activity is generally responsible for securing its own financing sources. However, the holding company may raise funds through stock issuance or other external financing sources in support of each business segment, as discussed above and in </w:t>
      </w:r>
      <w:r>
        <w:rPr>
          <w:rFonts w:ascii="Arial" w:cs="Arial" w:eastAsia="Arial" w:hAnsi="Arial"/>
          <w:sz w:val="17"/>
          <w:szCs w:val="17"/>
          <w:b w:val="1"/>
          <w:bCs w:val="1"/>
          <w:color w:val="auto"/>
        </w:rPr>
        <w:t>Note 7 - Common Stock</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Construction Expenditures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three-year period ended December 31, 2021, total gas plant in service increased from $7.1 billion to $8.9 billion, or at an average annual rate of 8%. Replacement, new business, and reinforcement work was a substantial portion of the plant increase. Customer growth impacted expenditures as Southwest set approximately 109,000 meters during the three-year period, which is reflected in new business.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2021, construction expenditures (through cash outlays) for the natural gas distribution segment were $602 million. The majority of these expenditures represented costs associated with replacement of existing transmission, distribution, and general plant to fortify system integrity and reliability. Cash flows from operating activities of Southwest were $25 million, reduced due to the winter gas cost run-up. Other funding was provided by cash on hand, external financing activities (including the $250 million Term Loan issued in March 2021 and the $300 million notes issued in August 2021), in addition to capital contributed by Southwest Gas Holdings, Inc., and funds from the existing credit facility.</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2021 Financing Activity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Net proceeds received under the preexisting and current Equity Shelf Programs in 2021 were $203 million, comprised of an aggregate of 3,008,364 shares of Southwest Gas Holdings, Inc. common stock, sold in the open market at a weighted average price of $68.02 per share, net of $2 million in agent commissions. These net proceeds were contributed to Southwest by the holding company. As of December 31, 2021, the Company had up to $342 million of common stock available for sale under the the current program. See </w:t>
      </w:r>
      <w:r>
        <w:rPr>
          <w:rFonts w:ascii="Arial" w:cs="Arial" w:eastAsia="Arial" w:hAnsi="Arial"/>
          <w:sz w:val="17"/>
          <w:szCs w:val="17"/>
          <w:b w:val="1"/>
          <w:bCs w:val="1"/>
          <w:color w:val="auto"/>
        </w:rPr>
        <w:t>Note 7 - Common Stock</w:t>
      </w:r>
      <w:r>
        <w:rPr>
          <w:rFonts w:ascii="Arial" w:cs="Arial" w:eastAsia="Arial" w:hAnsi="Arial"/>
          <w:sz w:val="17"/>
          <w:szCs w:val="17"/>
          <w:color w:val="auto"/>
        </w:rPr>
        <w:t xml:space="preserve"> for more information.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proceeds received under the Dividend Reinvestment and Stock Purchase Plan during 2021 was approximately $12 million, from the issuance of approximately 173,000 shares of Southwest Gas Holdings, Inc.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 Three-Year Construction Expenditures, Debt Maturities, and Financing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estimates natural gas distribution segment construction expenditures during the three-year period ending December 31, 2024 will be approximately $2 billion. Of this amount, approximately $650 million to $700 million is expected to be incurred in 2022.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During the three-year period, cash flows from operating activities of Southwest are expected to provide approximately 69% of the funding for gas operations of Southwest and total construction expenditures and dividend requirements. From a debt maturity standpoint, Southwest has $250 million 3.875% notes, $25 million 7.78% medium-term notes, and a $250 million Term Loan due in 2022. Any additional cash requirements, including construction-related, and any paydown or refinancing of debt,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as well as growth levels in Southwest’s service areas and earnings. External financings could include the issuance of debt securities, bank and other short-term borrowings, and other forms of financing.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distribution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 within the natural gas distribution segment.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December 31, 2021, the combined balance in the PGA accounts totaled an under-collection of $291.1 million. See </w:t>
      </w:r>
      <w:r>
        <w:rPr>
          <w:rFonts w:ascii="Arial" w:cs="Arial" w:eastAsia="Arial" w:hAnsi="Arial"/>
          <w:sz w:val="18"/>
          <w:szCs w:val="18"/>
          <w:b w:val="1"/>
          <w:bCs w:val="1"/>
          <w:color w:val="auto"/>
        </w:rPr>
        <w:t>PGA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Filings </w:t>
      </w:r>
      <w:r>
        <w:rPr>
          <w:rFonts w:ascii="Arial" w:cs="Arial" w:eastAsia="Arial" w:hAnsi="Arial"/>
          <w:sz w:val="18"/>
          <w:szCs w:val="18"/>
          <w:color w:val="auto"/>
        </w:rPr>
        <w:t>for more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Gas Holdings, Inc. has a credit facility with a borrowing capacity of $200 million; in December 2021, the existing credit facility was amended to extend the maturity date to December 2026, increase the borrowing capacity from $100 million to $200 million, and increase the amount to which the total commitment may be increased from $200 million to $300 million. This facility is intended for short-term financing needs. At December 31, 2021, $59 million was outstanding under this facility, which was also the maximum amount outstanding during 2021.</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credit facility with a borrowing capacity of $400 million; in December 2021, Southwest amended the credit facility agreement while maintaining the borrowing capacity at $400 million. Southwest designates $150 million of the facility for long-term borrowing needs and the remaining $250 million for working capital purposes. The maximum amount outstanding during 2021 occurred during the first quarter and was $275 million ($150 million outstanding on the long-term portion of the credit facility, including $50 million under the commercial paper program, in addition to $125 million outstanding on the short-term portion). As of December 31, 2021, $130 million was outstanding on the long-term portion of the credit facility (no borrowings were outstanding under the commercial paper program), and none was outstanding on the short-term portion. The maximum amount outstanding on the long-term portion of the credit facility (including the commercial paper program) during each quarter end of 2021 was $150 million; the maximum outstanding balance on the short-term portion for each of the first, second, third and fourth quarters was $125 million, $69 million, $85 million and $3 million, respectively. The credit facility has been used as necessary to meet liquidity requirements, including temporarily financing under-collected PGA balances, meeting the refund needs of over-collected balances, or temporarily funding capital expenditures.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as noted above.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2021, there were no borrowings outstanding under this program.</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2021, Southwest issued a $250 million Term Loan that will mature in March 22, 2022, or 364 days after issuance. The proceeds were used to fund the increased cost of natural gas supply during the month of February 2021 caused by extreme weather conditions in the central U.S. Southwest is in discussions with the lenders with respect to this loan and expects to enter into an amendment to extend the maturity date.</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Southwest issued $300 million aggregate principal amount of 3.18% Senior Notes at a discount of 0.019%. The notes will mature in August 2051. Southwest used the net proceeds from the offering to repay the outstanding balance then existing under its credit facility, with the remaining net proceeds used for general corporate purposes.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2021, the Company entered into a $1.6 billion delayed-draw Term Loan Facility that was funded on December 31, 2021 in connection with the acquisition of Questar Pipelines. This term loan will mature on December 30, 2022, or 364 days after issuance. This contributed to a negative working capital position of $1.5 billion. As of March 1, 2022, the Company does not have sufficient liquidity or capital resources to repay this debt at maturity without issuing new debt or equity. Management intends to satisfy this obligation through (i) the issuance of equity and equity-linked instruments and (ii) the issuance of long-term debt. These compose the permanent refinancing of the Questar Pipelines acquisition (refer to </w:t>
      </w:r>
      <w:r>
        <w:rPr>
          <w:rFonts w:ascii="Arial" w:cs="Arial" w:eastAsia="Arial" w:hAnsi="Arial"/>
          <w:sz w:val="16"/>
          <w:szCs w:val="16"/>
          <w:b w:val="1"/>
          <w:bCs w:val="1"/>
          <w:color w:val="auto"/>
        </w:rPr>
        <w:t>Note 15 - Business Acquisitions)</w:t>
      </w:r>
      <w:r>
        <w:rPr>
          <w:rFonts w:ascii="Arial" w:cs="Arial" w:eastAsia="Arial" w:hAnsi="Arial"/>
          <w:sz w:val="16"/>
          <w:szCs w:val="16"/>
          <w:color w:val="auto"/>
        </w:rPr>
        <w:t xml:space="preserve">. Management also plans to facilitate the issuance of approximately $600 million of bonds partially intended to refinance other existing obligations at Southwest and for other of its general corporate purposes. See </w:t>
      </w:r>
      <w:r>
        <w:rPr>
          <w:rFonts w:ascii="Arial" w:cs="Arial" w:eastAsia="Arial" w:hAnsi="Arial"/>
          <w:sz w:val="16"/>
          <w:szCs w:val="16"/>
          <w:b w:val="1"/>
          <w:bCs w:val="1"/>
          <w:color w:val="auto"/>
        </w:rPr>
        <w:t>Note 8 - Debt</w:t>
      </w:r>
      <w:r>
        <w:rPr>
          <w:rFonts w:ascii="Arial" w:cs="Arial" w:eastAsia="Arial" w:hAnsi="Arial"/>
          <w:sz w:val="16"/>
          <w:szCs w:val="16"/>
          <w:color w:val="auto"/>
        </w:rPr>
        <w:t>. However, management maintains the discretion to seek alternative sources to refinance its near-term maturities, and can provide no assurances as to its ability to refinance these maturities with the intended methods or on attractive terms. See Item 1A “Risk Factors - Financial, Economic, and Market Risks” in our Annual Report on Form 10-K for the year ended December 31, 2021.</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2021, the Company entered into a Sales Agency Agreement between it and BNY Mellon Capital Markets, LLC and J.P. Morgan Securities LLC (the “Equity Shelf Program”) for the offer and sale of up to $500 million of common stock from time to time in an at-the-market offering program. The Company issued $157 million under this multi-year program during 2021.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 See </w:t>
      </w:r>
      <w:r>
        <w:rPr>
          <w:rFonts w:ascii="Arial" w:cs="Arial" w:eastAsia="Arial" w:hAnsi="Arial"/>
          <w:sz w:val="18"/>
          <w:szCs w:val="18"/>
          <w:b w:val="1"/>
          <w:bCs w:val="1"/>
          <w:color w:val="auto"/>
        </w:rPr>
        <w:t>Note 7 - Common Stock</w:t>
      </w:r>
      <w:r>
        <w:rPr>
          <w:rFonts w:ascii="Arial" w:cs="Arial" w:eastAsia="Arial" w:hAnsi="Arial"/>
          <w:sz w:val="18"/>
          <w:szCs w:val="18"/>
          <w:color w:val="auto"/>
        </w:rPr>
        <w:t>.</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the Company filed an earlier automatic shelf registration statement with the SEC for the offer and sale of up to $300 million of common stock from time to time in at-the-market offerings under the related prospectus and sales agency agreement. The Company issued the remaining capacity ($46 million) of this equity program during the quarter ended March 31,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as part of the acquisition of Questar Pipelines, the Company assumed existing unsecured long-term debt, including $430 million aggregate principal related to two private placement senior notes and public senior notes. For the three combined, interest rates vary from 3.53% to 4.875%, with the earliest maturity date relating to $100 million total amount due (in 2028).</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2021, Centuri, in association with the acquisition of Riggs Distler (refer to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entered into an amended and restated credit agreement. The agreement provided for a $1.145 billion secured term loan facility, at a discount of 1.00%, and a $400 million secured revolving credit facility, which in addition to funding the Riggs Distler acquisition, refinanced the previous $590 million loan facility. This multi-currency facility allows the borrower to request loan advances in either Canadian dollars or U.S. dollars. Amounts borrowed and repaid under the revolving line of credit portion of the facility are available to be re-borrowed. The obligations under the credit agreement are secured by present and future ownership interests in substantially all direct and indirect subsidiaries of Centuri, substantially all of the tangible and intangible personal property of each borrower, and certain of their direct and indirect subsidiaries, and all products, profits, and proceeds of the foregoing. The term loan facility matures on August 27, 2028 and the revolving credit facility matures on August 27, 2026. Centuri assets securing the facility at December 31, 2021 totaled $2.5 billion. The maximum amount outstanding on the combined facility during 2021 was $1.261 billion, which occurred in the fourth quarter, at which point $1.145 billion was outstanding on the term loan facility. At December 31, 2021, $103 million was outstanding on the revolving credit facility, and $1.117 billion that was outstanding on the term loan portion of the facility. Also at December 31, 2021, there was approximately $244 million, net of letters of credit, available for borrowing under the line of credit.</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7" w:name="page58"/>
    <w:bookmarkEnd w:id="57"/>
    <w:p>
      <w:pPr>
        <w:jc w:val="both"/>
        <w:spacing w:after="0" w:line="287" w:lineRule="auto"/>
        <w:rPr>
          <w:sz w:val="20"/>
          <w:szCs w:val="20"/>
          <w:color w:val="auto"/>
        </w:rPr>
      </w:pPr>
      <w:r>
        <w:rPr>
          <w:rFonts w:ascii="Arial" w:cs="Arial" w:eastAsia="Arial" w:hAnsi="Arial"/>
          <w:sz w:val="16"/>
          <w:szCs w:val="16"/>
          <w:color w:val="auto"/>
        </w:rPr>
        <w:t>Interest rates for the holding company’s Term Loan Facility, Southwest’s Term Loan, and Centuri’s secured term loan facility contain LIBOR-based rates. Certain LIBOR-based rates are scheduled to be discontinued as a benchmark or reference rate after 2021, while other LIBOR-based rates are scheduled to be discontinued after June 2023. As of December 31, 2021, Southwest had $250 million in outstanding borrowings under its Term Loan and $130 million outstanding under its credit facility. At the same time, the Company had $3.2 billion in aggregate outstanding borrowings under both Centuri’s combined facility, the Company’s Term Loan Facility, Southwest’s Term Loan, and credit facilities that have interest rates with reference to LIBOR and maturity dates that extend beyond 2021. The Southwest and Southwest Gas Holdings credit facilities were amended on December 28, 2021 to replace LIBOR interest rate benchmarks with SOFR interest rate benchmarks; however, amounts outstanding at December 31, 2021 under these credit facilities were referenced to LIBOR and subsequently repaid shortly after year end. In order to mitigate the impact of a discontinuance on the Company’s and Southwest’s financial condition and results of operations, management will monitor developments and work with lenders, where relevant,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ratings apply to debt securities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Investors Service, Inc. (“Moody’s”), Standard &amp; Poor’s Ratings Services (“Standard &amp; Poor’s”), and Fitch Ratings (“Fitch”)) provide a method for determining the creditworthiness of an issuer. Credit ratings are important because long-term debt constitutes a significant portion of total capitalization. These credit ratings are a factor considered by lenders when determining the cost of current and future debt for each debt obligor (i.e., generally the better the rating, the lower the cost to borrow funds). The current unsecured long-term debt ratings of the companies are considered investment grade.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Moody's (1)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Standard &amp; Poor's (2)</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Fitch (3)</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Baa2</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BBB+</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Rating Watch Negative</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2021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January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2021</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Senior unsecured long-term debt</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Baa1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January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2021</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Group, Inc.:</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Ba2</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Stable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August 2021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August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Dominion Energy Questar Pipeline, LLC:</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Issuer rating</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A3</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Outlook</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Stable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Last reaffirmed</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February 2021</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January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70" w:lineRule="exact"/>
        <w:rPr>
          <w:sz w:val="20"/>
          <w:szCs w:val="20"/>
          <w:color w:val="auto"/>
        </w:rPr>
      </w:pPr>
    </w:p>
    <w:p>
      <w:pPr>
        <w:ind w:left="180" w:hanging="10"/>
        <w:spacing w:after="0" w:line="255"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w:t>
      </w:r>
    </w:p>
    <w:p>
      <w:pPr>
        <w:spacing w:after="0" w:line="1" w:lineRule="exact"/>
        <w:rPr>
          <w:rFonts w:ascii="Arial" w:cs="Arial" w:eastAsia="Arial" w:hAnsi="Arial"/>
          <w:sz w:val="16"/>
          <w:szCs w:val="16"/>
          <w:color w:val="auto"/>
        </w:rPr>
      </w:pPr>
    </w:p>
    <w:p>
      <w:pPr>
        <w:jc w:val="both"/>
        <w:ind w:left="180" w:hanging="10"/>
        <w:spacing w:after="0" w:line="262" w:lineRule="auto"/>
        <w:tabs>
          <w:tab w:leader="none" w:pos="666" w:val="left"/>
        </w:tabs>
        <w:numPr>
          <w:ilvl w:val="0"/>
          <w:numId w:val="24"/>
        </w:numPr>
        <w:rPr>
          <w:rFonts w:ascii="Arial" w:cs="Arial" w:eastAsia="Arial" w:hAnsi="Arial"/>
          <w:sz w:val="15"/>
          <w:szCs w:val="15"/>
          <w:color w:val="auto"/>
        </w:rPr>
      </w:pPr>
      <w:r>
        <w:rPr>
          <w:rFonts w:ascii="Arial" w:cs="Arial" w:eastAsia="Arial" w:hAnsi="Arial"/>
          <w:sz w:val="15"/>
          <w:szCs w:val="15"/>
          <w:color w:val="auto"/>
        </w:rPr>
        <w:t>Standard &amp; Poor’s (“S&amp;P”) debt ratings range from AAA (highest rating possible) to D (obligation is in default). The ratings from ‘AA’ to ‘CCC’ may be modified by the addition of a plus “+” or minus “-” sign to show relative standing within the major rating categories. The S&amp;P outlook of “negative” was updated and the ratings were reaffirmed in January 2022 for both Southwest and the Company, reflected herein. S&amp;P cited the short-term funding of the Questar Pipelines transaction and the execution risk associated with future equity issuances to more permanently fund the transaction as the primary drivers.</w:t>
      </w:r>
    </w:p>
    <w:p>
      <w:pPr>
        <w:spacing w:after="0" w:line="2" w:lineRule="exact"/>
        <w:rPr>
          <w:rFonts w:ascii="Arial" w:cs="Arial" w:eastAsia="Arial" w:hAnsi="Arial"/>
          <w:sz w:val="15"/>
          <w:szCs w:val="15"/>
          <w:color w:val="auto"/>
        </w:rPr>
      </w:pPr>
    </w:p>
    <w:p>
      <w:pPr>
        <w:jc w:val="both"/>
        <w:ind w:left="180" w:hanging="10"/>
        <w:spacing w:after="0" w:line="272" w:lineRule="auto"/>
        <w:tabs>
          <w:tab w:leader="none" w:pos="666"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Fitch debt ratings range from AAA (highest credit quality) to D (defaulted debt obligation). The modifiers “+” or “-” may be appended to a rating to denote relative status within major rating categories. The Fitch outlook of “rating watch negative” for the Company and “negative” for Southwest was updated in October 2021. Fitch cited higher consolidated leverage following the completion of the Questar Pipelines acquisition for the Company, which is expected to resolve when a permanent financing structure is put into place. Additionally, Fitch cited unfavorable regulatory rate case decisions for Southwest.</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7"/>
          <w:szCs w:val="17"/>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these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2021, Southwest was in compliance with all of its covenants. Under the most restrictive of the financial covenants, approximately $2.9 billion in additional debt could be issued and the leverage ratio requirement would still be met. At least $2 billion of cushion in equity relating to the minimum net worth requirement exists at December 31, 2021. No specific limitations as to dividends exist under the collective covenants. None of the debt instruments contain material adverse change clauses.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Southwest Gas Holdings, Inc. was also in compliance with all of its credit facility and 364-day Term Loan covenants. Interest and fees on its credit facility and 364-day Term Loan are subject to adjustment depending on its senior debt ratings. The credit facility and 364-day Term Loan are subject to a leverage ratio cap. Under the most restrictive of the financial covenants, approximately $1 billion in additional debt could be issued while still meeting the leverage ratio requirement. No specific limitations as to dividends exist under the collective covenants. The credit facility and 364-day Term Loan do not contain material adverse change clauses.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Centuri debt instruments have leverage ratio caps and interest coverage ratio requirements. At December 31, 2021, Centuri was in compliance with all of its covenants. Under the most restrictive of the covenants, Centuri could issue approximately $320 million in additional debt and meet the leverage ratio requirement. Centuri has approximately $181 million of cushion relating to the minimum interest coverage ratio requirement. Centuri’s revolving credit and term loan facility is secured by underlying assets of the utility infrastructure services segment. Centuri also has restrictions on how much it could give to the Company in cash dividends, which is limited to a calculated available amount, generally defined as 50% of its rolling twelve-month consolidated net income adjusted for certain items, such as parent contributions inflows, Linetec redeemable noncontrolling interest payments, or dividend payments, among other adjustments, as applicable.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regulated operations property. The Company estimates bonus depreciation will defer the payment of approximately $24 million (which relates to utility infrastructure services operations) of federal income taxes for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Inflation can impact results of operations for each of the Company’s business segments, and it has increased substantially over the past year. Labor, employee benefits, natural gas, professional services, and construction costs are the categories most significantly impacted by inflation. Changes to the cost of gas are generally recovered through PGA mechanisms and do not significantly impact net earnings. Labor, employee benefits, and professional services are components of the cost of service, and gas infrastructure costs are the primary component of utility rate base. In order to recover increased costs, and earn a fair return on rate base, general rate cases or other procedural filings are made by our regulated operations, when deemed necessary, for review and approval by regulatory authorities. Regulatory lag, that is, the time between the date increased costs are incurred and the time such increases are recovered through the ratemaking process, can impact earnings. See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for a discussion of recent rate case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largest contractual obligations as of December 31, 2021 consisted of:</w:t>
      </w:r>
    </w:p>
    <w:p>
      <w:pPr>
        <w:spacing w:after="0" w:line="252" w:lineRule="exact"/>
        <w:rPr>
          <w:sz w:val="20"/>
          <w:szCs w:val="20"/>
          <w:color w:val="auto"/>
        </w:rPr>
      </w:pPr>
    </w:p>
    <w:p>
      <w:pPr>
        <w:ind w:left="660" w:right="2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Debt-related obligations for scheduled principal payments, other borrowings, and interest payments over the life of the debt. Debt obligations are included in our consolidated balance sheets.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for additional information.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Operating and finance leases are included in our consolidated balance sheets and represent multi-year obligations for buildings, land, equipment, and vehicles. See </w:t>
      </w:r>
      <w:r>
        <w:rPr>
          <w:rFonts w:ascii="Arial" w:cs="Arial" w:eastAsia="Arial" w:hAnsi="Arial"/>
          <w:sz w:val="18"/>
          <w:szCs w:val="18"/>
          <w:b w:val="1"/>
          <w:bCs w:val="1"/>
          <w:color w:val="auto"/>
        </w:rPr>
        <w:t>Note 2 - Regulated Operations Plant and Leases</w:t>
      </w:r>
      <w:r>
        <w:rPr>
          <w:rFonts w:ascii="Arial" w:cs="Arial" w:eastAsia="Arial" w:hAnsi="Arial"/>
          <w:sz w:val="18"/>
          <w:szCs w:val="18"/>
          <w:color w:val="auto"/>
        </w:rPr>
        <w:t xml:space="preserve"> for additional information.</w:t>
      </w:r>
    </w:p>
    <w:p>
      <w:pPr>
        <w:jc w:val="both"/>
        <w:ind w:left="66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Southwest has gas purchase obligations that include fixed-price and variable-rate gas purchase contracts. Variable-rate contracts reflect minimum contractual obligations with estimation in pricing based on market information. Actual future variable-rate purchase commitments may vary depending on market prices at the time of delivery and values may change significantly from their estimated amounts. Certain other variable-rate contracts allow for variability in quantities for which associated demand charges are included in the gas purchase obligations based on the maximum daily quantities available under the contracts. Renewable natural gas purchase obligations in which the commencement dates are not specifically determinable and the volumes and contract prices are inestimable until certain contract provisions are met are excluded from gas purchase obligations. As of December 31, 2021 gas purchase obligations of $108.8 million are payable within the next 12 months.</w:t>
      </w:r>
    </w:p>
    <w:p>
      <w:pPr>
        <w:spacing w:after="0" w:line="4"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Southwest has pipeline capacity and storage contracts for firm transportation service, both on a short- and long-term basis with several companies in all of its service territories, some with terms extending to 2044. Southwest also has interruptible contracts in place that allow additional capacity to be acquired should an unforeseen need arise. Costs associated with these pipeline capacity contracts are a component of the cost of gas sold and are recovered from customers primarily through the PGA mechanisms. As of December 31, 2021 pipeline capacity and storage obligations of $83.6 million are payable within 12 months.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commitments associated with noncancelable obligations consist primarily of software licensing, equipment, outsourced processing subscriptions, and operating and/or maintenance agreements, as applicable.</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funding for pension and other postretirement benefits during calendar year 2022 is $59 million. Funding amounts for years beyond 2022 are not currently known.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 Updates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FASB routinely issues Accounting Standards Updates. See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for more information regarding these Accounting Standards Updates and their potential impact on the Company’s and Southwest’s financial position, results of operations, and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Critical Accounting Policies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Natural gas distribution operations and pipeline and storage operations are subject to the specific regulation of the ACC, PUCN, CPUC, or the FERC, as applicable. The accounting policies of the Company and Southwest conform to U.S. GAAP applicable to rate-regulated entities and reflect the effects of the ratemaking process. As such, the Company and Southwest are allowed to defer, as regulatory assets, costs that otherwise would be expensed, if it is probable that future recovery from customers (subject to our rate-regulated operations) will occur. Companies are also permitted to recognize, as regulatory assets, amounts associated with various revenue decoupling mechanisms, as long as the requirements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refunded to customers through the ratemaking process. The</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jc w:val="both"/>
        <w:spacing w:after="0" w:line="282" w:lineRule="auto"/>
        <w:rPr>
          <w:sz w:val="20"/>
          <w:szCs w:val="20"/>
          <w:color w:val="auto"/>
        </w:rPr>
      </w:pPr>
      <w:r>
        <w:rPr>
          <w:rFonts w:ascii="Arial" w:cs="Arial" w:eastAsia="Arial" w:hAnsi="Arial"/>
          <w:sz w:val="18"/>
          <w:szCs w:val="18"/>
          <w:color w:val="auto"/>
        </w:rPr>
        <w:t xml:space="preserve">timing and inclusion of costs in rates is often delayed (regulatory lag) and results in a reduction of current-period earnings. Refer to </w:t>
      </w:r>
      <w:r>
        <w:rPr>
          <w:rFonts w:ascii="Arial" w:cs="Arial" w:eastAsia="Arial" w:hAnsi="Arial"/>
          <w:sz w:val="18"/>
          <w:szCs w:val="18"/>
          <w:b w:val="1"/>
          <w:bCs w:val="1"/>
          <w:color w:val="auto"/>
        </w:rPr>
        <w:t>Note 5 - 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Assets and Liabilities</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Utility Revenues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All Southwest rate jurisdictions have decoupled rate structures, limiting variability due to extreme weather conditions. A substantial amount of Questar Pipelines revenue is subject to fixed reservation charges.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subject to income taxes in the U.S. and Canada. Income tax calculations require estimates due to known future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tax rates that could have a material impact on cash flows, financial position, and/or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Pensions and Other Postretirement Benefits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has a noncontributory qualified retirement plan with defined benefits covering substantially all employees hired on or before December 31, 2021. In addition, there is a separate unfunded supplemental retirement plan which is limited to officers hired on or before December 31, 2021.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$57 million and future pension expense by $5 million. A change of 0.25% in the employee compensation assumption would change the pension obligation by approximately $11 million and expense by $3 million. A 0.25% change in the expected asset return assumption would change pension expense by approximately $3 million (but has no impact on the pension obligation).</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2021, the discount rate was 3.00%, an increase from the 2.75% rate used at December 31, 2020. The methodology utilized to determine the discount rate was consistent with prior years. The weighted-average rate of compensation escalation increased to 3.25% at December 31, 2021 compared to the 3.00% rate used at December 31, 2020. The asset return assumption of 6.50% to be used for 2022 expense was the same rate utilized for 2021. Pension costs for 2022 are estimated to decrease approximately $9.5 million as compared to that experienced in 2021. Future years’ expense level movements (up or down) will continue to be greatly influenced by long-term interest rates, asset returns, and funding levels.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assessed for impairment annually as of October, or more frequently, if events or changes in circumstances indicate an impairment may have occurred before that time. As permitted under accounting guidance on testing goodwill for impairment, we perform either a qualitative assessment or a quantitative assessment of each of our reporting units based on management’s judgment. Adjustment of values would only occur if conditions of impairment were deemed to be permanent. With respect to our qualitative assessments, we consider events and circumstances specific to us, such as macroeconomic conditions, industry and market considerations, cost factors, and overall financial performance, when evaluating whether it is more likely than not that the fair values of our reporting units are less than their respective carrying amounts. The assumptions we use in our analysis are subject to uncertainty, and declines in the future performance of our reporting units and changing</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color w:val="auto"/>
        </w:rPr>
        <w:t>business conditions could result in the recognition of impairment charges, which could be significant. The Company’s reporting units are the same as its segments for purposes of impairment evaluation.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accordance with U.S. GAAP, the assets acquired and liabilities assumed in an acquired business are recorded at their estimated fair values on the date of acquisition. The amount of goodwill initially recognized in a business combination is based on the excess of the purchase price of the acquired company over the fair value of the other assets acquired and liabilities assumed. The determination of these fair values requires management to make significant estimates and assumptions. For example, assumptions with respect to the timing and amount of future revenues and expenses associated with an asset are used to determine its fair value, but the actual timing and amount may differ materially, resulting in impairment of the asset’s recorded value. In some cases, the Company engages independent third-party valuation firms to assist in determining the fair values of acquired assets and liabilities assumed. Critical assumptions used to value the trade name and customer relationship intangibles include, but are not limited to, future expected cash flows of the acquired business, trademarks, trade names, customer relationships, technology obsolescence, attrition rates, royalty rates, and discount rates. In addition, uncertain tax positions and tax-related valuation allowances assumed in connection with a business combination are initially estimated at the acquisition date. These items are reevaluated quarterly, based upon facts and circumstances that existed at the acquisition date with any adjustments to the preliminary estimates being recorded to goodwill, provided that the Company is within the twelve-month measurement period allowed by authoritative guidance. Subsequent to the measurement period or the final determination of the estimated value of the tax allowance or contingency, whichever comes first, changes to these uncertain tax positions and tax-related valuation allowances will affect the provision for income taxes in the Consolidated Statements of Income, and could have a material impact on the Company’s results of operations and financial position. Refer to </w:t>
      </w:r>
      <w:r>
        <w:rPr>
          <w:rFonts w:ascii="Arial" w:cs="Arial" w:eastAsia="Arial" w:hAnsi="Arial"/>
          <w:sz w:val="16"/>
          <w:szCs w:val="16"/>
          <w:b w:val="1"/>
          <w:bCs w:val="1"/>
          <w:color w:val="auto"/>
        </w:rPr>
        <w:t>Note 15 - Business Acquisitions</w:t>
      </w:r>
      <w:r>
        <w:rPr>
          <w:rFonts w:ascii="Arial" w:cs="Arial" w:eastAsia="Arial" w:hAnsi="Arial"/>
          <w:sz w:val="16"/>
          <w:szCs w:val="16"/>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 requires the filing of certifications of the Chief Executive Officer (“CEO”) and Chief Financial Officer (“CFO”) of registrants regarding reporting accuracy, disclosure controls and procedures, and internal control over financial reporting as exhibits to periodic filings. The CEO and CFO certifications for the period ended December 31, 2021 are included as exhibits to the 2021 Annual Report on Form 10-K filed with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annual report contains contains statements which constitute “forward-looking statements” within the meaning of the Private Securities Litigation Reform Act of 1995 (“Reform Act”). All statements other than statements of historical fact included or incorporated by reference in this annual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refinance near-term maturities, to separate Centuri from the Company, those regarding operating margin patterns, customer growth, the composition of our customer base, price volatility including that experienced related to gas prices in early 2021, seasonal patterns, the ability to pay debt, the Company’s COLI strategy, replacement market and new construction market, impacts from the COVID-19 pandemic, including on our employees, customers, or otherwise, our financial position, revenue, earnings, cash flows, debt covenants, operations, regulatory recovery, work deployment or resumption and related uncertainties stemming from the pandemic or otherwise,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the outcome of judicial review of the previous Nevada rate case, rates and surcharges, PGA administration and recovery,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the existing at-the-market equity program or otherwise, including with regard to the permanent refinancing of the Questar Pipelines acquisition,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the final resolution for recovery of the CDMI-related amounts and balances in any jurisdiction and statements regarding pending approvals are forward-looking statements. All forward-looking statements are intended to be subject to the safe harbor protection provided by the Reform Act.</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sufficiency of labor markets and ability to timely hire qualified employees or similar resources, the impacts of COVID-19 including that which may result from a continued or sustained restriction by government officials or otherwise, including impacts on employment in our territories, the health impacts to our customers and employees due to the persistence of the virus or virus variants or efficacy of vaccines, the ability to collect on customer accounts due to the suspension or lifted moratorium on late fees or service disconnection in any or all jurisdictions, the ability to obtain regulatory recovery of all costs and financial impacts resulting from the pandemic, the ability of the infrastructure services business to resume or continue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or its variants following the ongoing resumption of commerce in our territories, and decisions of Centuri customers (including Southwest) as to whether to pursue capital projects due to economic impacts resulting from the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and storage service sold to customers, changes in gas procurement practices, changes in capital requirements and funding, including our ability to refinancing for the Questar Pipelines acquisition based on our plans or at all,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levels of or changes in operations and maintenance expenses,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(including accretion to earnings in 2022) or those that may be planned, future acquisition-related costs, differences between actual experience and projections in costs to integrate or stand up portions of newly acquired business operations, impacts of changes in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the ability of management to successfully finance, close, and assimilate any acquired businesses, the timing and ability of management to successfully separate Centuri from the Company, the impact on our stock price or our credit ratings due to undertaking or failing to undertake acquisition or divestiture activities or other strategic endeavors, the impact on our stock price, costs, or businesses from the stock rights program,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cease to continue, or fail to be alleviated, in future periods. For additional information on the risks associated with the Company’s business,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Item 7A. Quantitative and Qualitative Disclosures About Market Risk</w:t>
      </w:r>
      <w:r>
        <w:rPr>
          <w:rFonts w:ascii="Arial" w:cs="Arial" w:eastAsia="Arial" w:hAnsi="Arial"/>
          <w:sz w:val="16"/>
          <w:szCs w:val="16"/>
          <w:color w:val="auto"/>
        </w:rPr>
        <w:t xml:space="preserve"> in this Annual Report on Form 10-K for the year ended December 31, 2021.</w:t>
      </w:r>
    </w:p>
    <w:p>
      <w:pPr>
        <w:spacing w:after="0" w:line="2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annual report are made as of the date hereof, based on information available to the Company and Southwest as of the date hereof, and the Company and Southwest assume no obligation to update or revise any of their forward-looking statements even if experience or future changes show that the indicated results or events will not be realized. </w:t>
      </w:r>
      <w:r>
        <w:rPr>
          <w:rFonts w:ascii="Arial" w:cs="Arial" w:eastAsia="Arial" w:hAnsi="Arial"/>
          <w:sz w:val="16"/>
          <w:szCs w:val="16"/>
          <w:b w:val="1"/>
          <w:bCs w:val="1"/>
          <w:color w:val="auto"/>
        </w:rPr>
        <w:t>We caution you to not rely unduly on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Common Stock Price and Dividend Information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principal market on which the common stock of the Company is traded is the New York Stock Exchange and the ticker symbol of the stock is “SWX.” At February 15, 2022, there were 11,159 holders of record of common stock, and the market price of the common stock was $65.22.</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are payable on the Company’s common stock at the discretion of the Board of Directors (the “Board”). In setting the dividend rate, the Board considers, among other factors, current and expected future earnings levels, our ongoing capital expenditure plans and expected external funding needs, our payout ratio, and our ability to maintain credit ratings and liquidity. The quarterly common stock dividend declared was 54.5 cents per share throughout 2019, 57.0 cents per share throughout 2020, and 59.5 cents per share throughout 2021. The Company has paid dividends on its common stock since 1956 and has increased that dividend each year since 2007. In February 2022, the Board elected to increase the quarterly dividend from $0.595 to $0.62 per share, representing a 4.2% increase, effective with the June 2022 payment. The Board currently targets a payout ratio of 55% to 65% of consolidated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(Thousands of dollars,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December 31,</w:t>
            </w:r>
          </w:p>
        </w:tc>
      </w:tr>
      <w:tr>
        <w:trPr>
          <w:trHeight w:val="209"/>
        </w:trPr>
        <w:tc>
          <w:tcPr>
            <w:tcW w:w="57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9"/>
        </w:trPr>
        <w:tc>
          <w:tcPr>
            <w:tcW w:w="8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Regulated operations plant: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Gas plant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8,384,000</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(3,397,736)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(2,419,348)</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Construction work in progress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211,429</w:t>
            </w:r>
          </w:p>
        </w:tc>
      </w:tr>
      <w:tr>
        <w:trPr>
          <w:trHeight w:val="206"/>
        </w:trPr>
        <w:tc>
          <w:tcPr>
            <w:tcW w:w="8840" w:type="dxa"/>
            <w:vAlign w:val="bottom"/>
            <w:tcBorders>
              <w:bottom w:val="single" w:sz="8" w:color="CCEEFF"/>
            </w:tcBorders>
            <w:gridSpan w:val="3"/>
          </w:tcPr>
          <w:p>
            <w:pPr>
              <w:ind w:left="660"/>
              <w:spacing w:after="0"/>
              <w:rPr>
                <w:sz w:val="20"/>
                <w:szCs w:val="20"/>
                <w:color w:val="auto"/>
              </w:rPr>
            </w:pPr>
            <w:r>
              <w:rPr>
                <w:rFonts w:ascii="Arial" w:cs="Arial" w:eastAsia="Arial" w:hAnsi="Arial"/>
                <w:sz w:val="16"/>
                <w:szCs w:val="16"/>
                <w:color w:val="auto"/>
              </w:rPr>
              <w:t>Net regulated operations plant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7,594,022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6,176,081</w:t>
            </w:r>
          </w:p>
        </w:tc>
      </w:tr>
      <w:tr>
        <w:trPr>
          <w:trHeight w:val="213"/>
        </w:trPr>
        <w:tc>
          <w:tcPr>
            <w:tcW w:w="8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property and investments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1,316,479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834,245</w:t>
            </w:r>
          </w:p>
        </w:tc>
      </w:tr>
      <w:tr>
        <w:trPr>
          <w:trHeight w:val="193"/>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83,352</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Accounts receivable, net of allowances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707,127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522,172</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Accrued utility revenue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82,400</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Income taxes receivable,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10,884</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Deferred purchased gas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r>
      <w:tr>
        <w:trPr>
          <w:trHeight w:val="213"/>
        </w:trPr>
        <w:tc>
          <w:tcPr>
            <w:tcW w:w="8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170,152</w:t>
            </w:r>
          </w:p>
        </w:tc>
      </w:tr>
      <w:tr>
        <w:trPr>
          <w:trHeight w:val="212"/>
        </w:trPr>
        <w:tc>
          <w:tcPr>
            <w:tcW w:w="88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1,614,767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871,013</w:t>
            </w:r>
          </w:p>
        </w:tc>
      </w:tr>
      <w:tr>
        <w:trPr>
          <w:trHeight w:val="193"/>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345,184</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Deferred charges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508,875</w:t>
            </w:r>
          </w:p>
        </w:tc>
      </w:tr>
      <w:tr>
        <w:trPr>
          <w:trHeight w:val="207"/>
        </w:trPr>
        <w:tc>
          <w:tcPr>
            <w:tcW w:w="8840" w:type="dxa"/>
            <w:vAlign w:val="bottom"/>
            <w:tcBorders>
              <w:bottom w:val="single" w:sz="8" w:color="CCEEFF"/>
            </w:tcBorders>
            <w:gridSpan w:val="3"/>
          </w:tcPr>
          <w:p>
            <w:pPr>
              <w:ind w:left="66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2,239,989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854,514</w:t>
            </w:r>
          </w:p>
        </w:tc>
      </w:tr>
      <w:tr>
        <w:trPr>
          <w:trHeight w:val="234"/>
        </w:trPr>
        <w:tc>
          <w:tcPr>
            <w:tcW w:w="8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12,765,257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8,735,853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8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CAPITALIZATION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Capitalization: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0"/>
              </w:rPr>
              <w:t>Common stock, $1 par (authorized – 120,000,000 shares; issued and outstanding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shd w:val="clear" w:color="auto" w:fill="CCEEFF"/>
              </w:rPr>
              <w:t>60,422,081</w:t>
            </w:r>
          </w:p>
        </w:tc>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57,192,925 shares)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58,823</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1,824,216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1,609,155</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w:t>
            </w:r>
          </w:p>
        </w:tc>
      </w:tr>
      <w:tr>
        <w:trPr>
          <w:trHeight w:val="213"/>
        </w:trPr>
        <w:tc>
          <w:tcPr>
            <w:tcW w:w="8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1,114,313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1,067,978</w:t>
            </w:r>
          </w:p>
        </w:tc>
      </w:tr>
      <w:tr>
        <w:trPr>
          <w:trHeight w:val="213"/>
        </w:trPr>
        <w:tc>
          <w:tcPr>
            <w:tcW w:w="88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Total Southwest Gas Holdings, Inc. equity</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2,953,820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2,674,953</w:t>
            </w:r>
          </w:p>
        </w:tc>
      </w:tr>
      <w:tr>
        <w:trPr>
          <w:trHeight w:val="206"/>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Redeemable noncontrolling interests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196,717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165,716</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4,115,684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2,732,200</w:t>
            </w:r>
          </w:p>
        </w:tc>
      </w:tr>
      <w:tr>
        <w:trPr>
          <w:trHeight w:val="206"/>
        </w:trPr>
        <w:tc>
          <w:tcPr>
            <w:tcW w:w="8840" w:type="dxa"/>
            <w:vAlign w:val="bottom"/>
            <w:tcBorders>
              <w:bottom w:val="single" w:sz="8" w:color="CCEEFF"/>
            </w:tcBorders>
            <w:gridSpan w:val="3"/>
          </w:tcPr>
          <w:p>
            <w:pPr>
              <w:ind w:left="660"/>
              <w:spacing w:after="0"/>
              <w:rPr>
                <w:sz w:val="20"/>
                <w:szCs w:val="20"/>
                <w:color w:val="auto"/>
              </w:rPr>
            </w:pPr>
            <w:r>
              <w:rPr>
                <w:rFonts w:ascii="Arial" w:cs="Arial" w:eastAsia="Arial" w:hAnsi="Arial"/>
                <w:sz w:val="16"/>
                <w:szCs w:val="16"/>
                <w:color w:val="auto"/>
              </w:rPr>
              <w:t>Total capitalization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7,266,221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5,572,869</w:t>
            </w:r>
          </w:p>
        </w:tc>
      </w:tr>
      <w:tr>
        <w:trPr>
          <w:trHeight w:val="199"/>
        </w:trPr>
        <w:tc>
          <w:tcPr>
            <w:tcW w:w="8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40,433</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Short-term debt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1,909,000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107,000</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231,301</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67,920</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taxes payable,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12,556</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Accrued general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48,640</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20,536</w:t>
            </w: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Deferred purchased gas costs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54,636</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328,945</w:t>
            </w:r>
          </w:p>
        </w:tc>
      </w:tr>
      <w:tr>
        <w:trPr>
          <w:trHeight w:val="207"/>
        </w:trPr>
        <w:tc>
          <w:tcPr>
            <w:tcW w:w="8840" w:type="dxa"/>
            <w:vAlign w:val="bottom"/>
            <w:tcBorders>
              <w:bottom w:val="single" w:sz="8" w:color="CCEEFF"/>
            </w:tcBorders>
            <w:gridSpan w:val="3"/>
          </w:tcPr>
          <w:p>
            <w:pPr>
              <w:ind w:left="6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3,112,049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911,967</w:t>
            </w:r>
          </w:p>
        </w:tc>
      </w:tr>
      <w:tr>
        <w:trPr>
          <w:trHeight w:val="199"/>
        </w:trPr>
        <w:tc>
          <w:tcPr>
            <w:tcW w:w="8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840" w:type="dxa"/>
            <w:vAlign w:val="bottom"/>
            <w:gridSpan w:val="3"/>
          </w:tcPr>
          <w:p>
            <w:pPr>
              <w:ind w:left="340"/>
              <w:spacing w:after="0"/>
              <w:rPr>
                <w:sz w:val="20"/>
                <w:szCs w:val="20"/>
                <w:color w:val="auto"/>
              </w:rPr>
            </w:pPr>
            <w:r>
              <w:rPr>
                <w:rFonts w:ascii="Arial" w:cs="Arial" w:eastAsia="Arial" w:hAnsi="Arial"/>
                <w:sz w:val="16"/>
                <w:szCs w:val="16"/>
                <w:color w:val="auto"/>
              </w:rPr>
              <w:t>Deferred income taxes and investment tax credits,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768,868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647,453</w:t>
            </w:r>
          </w:p>
        </w:tc>
      </w:tr>
      <w:tr>
        <w:trPr>
          <w:trHeight w:val="219"/>
        </w:trPr>
        <w:tc>
          <w:tcPr>
            <w:tcW w:w="88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Accumulated removal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404,000</w:t>
            </w:r>
          </w:p>
        </w:tc>
      </w:tr>
      <w:tr>
        <w:trPr>
          <w:trHeight w:val="213"/>
        </w:trPr>
        <w:tc>
          <w:tcPr>
            <w:tcW w:w="8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Other deferred credits and other long-term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1,199,564</w:t>
            </w:r>
          </w:p>
        </w:tc>
      </w:tr>
      <w:tr>
        <w:trPr>
          <w:trHeight w:val="213"/>
        </w:trPr>
        <w:tc>
          <w:tcPr>
            <w:tcW w:w="88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Total deferred income taxes and other credits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2,386,987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2,251,017</w:t>
            </w:r>
          </w:p>
        </w:tc>
      </w:tr>
      <w:tr>
        <w:trPr>
          <w:trHeight w:val="206"/>
        </w:trPr>
        <w:tc>
          <w:tcPr>
            <w:tcW w:w="8840" w:type="dxa"/>
            <w:vAlign w:val="bottom"/>
            <w:gridSpan w:val="3"/>
          </w:tcPr>
          <w:p>
            <w:pPr>
              <w:ind w:left="20"/>
              <w:spacing w:after="0"/>
              <w:rPr>
                <w:sz w:val="20"/>
                <w:szCs w:val="20"/>
                <w:color w:val="auto"/>
              </w:rPr>
            </w:pPr>
            <w:r>
              <w:rPr>
                <w:rFonts w:ascii="Arial" w:cs="Arial" w:eastAsia="Arial" w:hAnsi="Arial"/>
                <w:sz w:val="16"/>
                <w:szCs w:val="16"/>
                <w:color w:val="auto"/>
              </w:rPr>
              <w:t>Total capitalization and liabilities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12,765,257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8,735,853</w:t>
            </w:r>
          </w:p>
        </w:tc>
      </w:tr>
      <w:tr>
        <w:trPr>
          <w:trHeight w:val="24"/>
        </w:trPr>
        <w:tc>
          <w:tcPr>
            <w:tcW w:w="5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3" w:right="35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Gas 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1,521,790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1,350,585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1,368,939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Utility infrastructure services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1,948,288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1,750,978</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3,680,451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3,298,873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3,119,917</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cost of gas sold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385,164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424,150</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303,237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Utility infrastructure services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1,955,467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1,729,429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1,573,227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3,310,904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2,875,869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2,748,106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423,004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371,811</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interest deductions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(119,198)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(109,226)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(deductions)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and (expenses)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(122,697)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(99,141)</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272,670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56,023</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216,647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Southwest Gas Holdings,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213,936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54,245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216,647</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260"/>
              <w:spacing w:after="0"/>
              <w:rPr>
                <w:sz w:val="20"/>
                <w:szCs w:val="20"/>
                <w:color w:val="auto"/>
              </w:rPr>
            </w:pPr>
            <w:r>
              <w:rPr>
                <w:rFonts w:ascii="Arial" w:cs="Arial" w:eastAsia="Arial" w:hAnsi="Arial"/>
                <w:sz w:val="16"/>
                <w:szCs w:val="16"/>
                <w:color w:val="auto"/>
              </w:rPr>
              <w:t>Net actuarial gain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(54,026)</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17,766</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Prior service cost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r>
      <w:tr>
        <w:trPr>
          <w:trHeight w:val="213"/>
        </w:trPr>
        <w:tc>
          <w:tcPr>
            <w:tcW w:w="7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r>
      <w:tr>
        <w:trPr>
          <w:trHeight w:val="193"/>
        </w:trPr>
        <w:tc>
          <w:tcPr>
            <w:tcW w:w="7580" w:type="dxa"/>
            <w:vAlign w:val="bottom"/>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7"/>
        </w:trPr>
        <w:tc>
          <w:tcPr>
            <w:tcW w:w="75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212,583</w:t>
            </w:r>
          </w:p>
        </w:tc>
      </w:tr>
      <w:tr>
        <w:trPr>
          <w:trHeight w:val="213"/>
        </w:trPr>
        <w:tc>
          <w:tcPr>
            <w:tcW w:w="75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Southwest Gas Holdings,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209,872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207,202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238,985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216,647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371,041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303,237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54,162</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Accounts receivable, net of allowances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(54,245)</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Accrued utility revenue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50,426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Accrued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213"/>
        </w:trPr>
        <w:tc>
          <w:tcPr>
            <w:tcW w:w="7580" w:type="dxa"/>
            <w:vAlign w:val="bottom"/>
          </w:tcPr>
          <w:p>
            <w:pPr>
              <w:ind w:left="800"/>
              <w:spacing w:after="0"/>
              <w:rPr>
                <w:sz w:val="20"/>
                <w:szCs w:val="20"/>
                <w:color w:val="auto"/>
              </w:rPr>
            </w:pPr>
            <w:r>
              <w:rPr>
                <w:rFonts w:ascii="Arial" w:cs="Arial" w:eastAsia="Arial" w:hAnsi="Arial"/>
                <w:sz w:val="16"/>
                <w:szCs w:val="16"/>
                <w:color w:val="auto"/>
              </w:rPr>
              <w:t>Other current assets and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74,137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on sale of equipment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AFUDC</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(21,051)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(12,764)</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500,372</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INVESTING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(715,626)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(825,105)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(938,148)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businesses, net of cash acquired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customer advances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15,153</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(3,035,656)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(802,069)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(951,632)</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FINANCING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common stock,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213,641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157,946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(116,127)</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long-term debt,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1,660,696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662,377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531,596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of long-term debt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(213,789)</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 in credit facility and commercial paper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short-term portion of credit facilities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short-term debt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3,063,458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415,280</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Effects of currency translation on cash and cash equivalents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85,361</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49,539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102,258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Income taxes paid (received),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53,026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58,823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56,637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54,656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62,052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56,637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1,466,937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1,305,769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161,620</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Promissory notes in association with redeemable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1,824,216</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1,609,155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1,466,937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(56,732)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(52,668)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166"/>
        </w:trPr>
        <w:tc>
          <w:tcPr>
            <w:tcW w:w="7600" w:type="dxa"/>
            <w:vAlign w:val="bottom"/>
          </w:tcPr>
          <w:p>
            <w:pPr>
              <w:ind w:left="1060"/>
              <w:spacing w:after="0" w:line="166" w:lineRule="exact"/>
              <w:rPr>
                <w:sz w:val="20"/>
                <w:szCs w:val="20"/>
                <w:color w:val="auto"/>
              </w:rPr>
            </w:pPr>
            <w:r>
              <w:rPr>
                <w:rFonts w:ascii="Arial" w:cs="Arial" w:eastAsia="Arial" w:hAnsi="Arial"/>
                <w:sz w:val="16"/>
                <w:szCs w:val="16"/>
                <w:color w:val="auto"/>
                <w:w w:val="95"/>
              </w:rPr>
              <w:t>Net actuarial gain (loss) arising during period, less amortization of unamortized benefit plan cost,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(8,451)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09"/>
        </w:trPr>
        <w:tc>
          <w:tcPr>
            <w:tcW w:w="7600" w:type="dxa"/>
            <w:vAlign w:val="bottom"/>
          </w:tcPr>
          <w:p>
            <w:pPr>
              <w:ind w:left="1060"/>
              <w:spacing w:after="0"/>
              <w:rPr>
                <w:sz w:val="20"/>
                <w:szCs w:val="20"/>
                <w:color w:val="auto"/>
              </w:rPr>
            </w:pPr>
            <w:r>
              <w:rPr>
                <w:rFonts w:ascii="Arial" w:cs="Arial" w:eastAsia="Arial" w:hAnsi="Arial"/>
                <w:sz w:val="16"/>
                <w:szCs w:val="16"/>
                <w:color w:val="auto"/>
              </w:rPr>
              <w:t>net of tax</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(46,761)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1,039,072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944,285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213,936</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Redemption value adjustments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(119,149)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1,114,313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1,039,072</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Southwest Gas Holdings, Inc. equity 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2,953,820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2,674,953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2,505,914</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Change in ownership of noncontrolling interest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equity ending balances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2,953,820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2,674,953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2,505,914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December 31,</w:t>
            </w:r>
          </w:p>
        </w:tc>
      </w:tr>
      <w:tr>
        <w:trPr>
          <w:trHeight w:val="209"/>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Gas plant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8,901,575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8,384,000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(2,538,508)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(2,419,348)</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211,429</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6,546,552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6,176,081</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investments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143,611</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146,861</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11,155</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Receivable from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152,748</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436,287</w:t>
            </w:r>
          </w:p>
        </w:tc>
      </w:tr>
      <w:tr>
        <w:trPr>
          <w:trHeight w:val="19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10,095</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charges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490,562</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500,657</w:t>
            </w:r>
          </w:p>
        </w:tc>
      </w:tr>
      <w:tr>
        <w:trPr>
          <w:trHeight w:val="274"/>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7,950,263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7,256,636</w:t>
            </w:r>
          </w:p>
        </w:tc>
      </w:tr>
      <w:tr>
        <w:trPr>
          <w:trHeight w:val="166"/>
        </w:trPr>
        <w:tc>
          <w:tcPr>
            <w:tcW w:w="88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AND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w:t>
            </w:r>
          </w:p>
        </w:tc>
      </w:tr>
      <w:tr>
        <w:trPr>
          <w:trHeight w:val="213"/>
        </w:trPr>
        <w:tc>
          <w:tcPr>
            <w:tcW w:w="88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1,618,911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1,410,345</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835,146</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2,233,468</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2,440,603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2,438,206</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capitalization</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4,968,540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4,671,674</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debt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234,070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161,646</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67,920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Accrued general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48,640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20,495</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Deferred purchased gas costs</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54,636</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parent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8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146,046</w:t>
            </w:r>
          </w:p>
        </w:tc>
      </w:tr>
      <w:tr>
        <w:trPr>
          <w:trHeight w:val="213"/>
        </w:trPr>
        <w:tc>
          <w:tcPr>
            <w:tcW w:w="8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556,525</w:t>
            </w:r>
          </w:p>
        </w:tc>
      </w:tr>
      <w:tr>
        <w:trPr>
          <w:trHeight w:val="193"/>
        </w:trPr>
        <w:tc>
          <w:tcPr>
            <w:tcW w:w="8840" w:type="dxa"/>
            <w:vAlign w:val="bottom"/>
          </w:tcPr>
          <w:p>
            <w:pPr>
              <w:ind w:left="20"/>
              <w:spacing w:after="0"/>
              <w:rPr>
                <w:sz w:val="20"/>
                <w:szCs w:val="20"/>
                <w:color w:val="auto"/>
              </w:rPr>
            </w:pPr>
            <w:r>
              <w:rPr>
                <w:rFonts w:ascii="Arial" w:cs="Arial" w:eastAsia="Arial" w:hAnsi="Arial"/>
                <w:sz w:val="16"/>
                <w:szCs w:val="16"/>
                <w:color w:val="auto"/>
              </w:rPr>
              <w:t>Deferred income taxes and other credits: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 and investment tax credits,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581,100</w:t>
            </w:r>
          </w:p>
        </w:tc>
      </w:tr>
      <w:tr>
        <w:trPr>
          <w:trHeight w:val="213"/>
        </w:trPr>
        <w:tc>
          <w:tcPr>
            <w:tcW w:w="8840" w:type="dxa"/>
            <w:vAlign w:val="bottom"/>
          </w:tcPr>
          <w:p>
            <w:pPr>
              <w:ind w:left="360"/>
              <w:spacing w:after="0"/>
              <w:rPr>
                <w:sz w:val="20"/>
                <w:szCs w:val="20"/>
                <w:color w:val="auto"/>
              </w:rPr>
            </w:pPr>
            <w:r>
              <w:rPr>
                <w:rFonts w:ascii="Arial" w:cs="Arial" w:eastAsia="Arial" w:hAnsi="Arial"/>
                <w:sz w:val="16"/>
                <w:szCs w:val="16"/>
                <w:color w:val="auto"/>
              </w:rPr>
              <w:t>Accumulated removal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404,000</w:t>
            </w:r>
          </w:p>
        </w:tc>
      </w:tr>
      <w:tr>
        <w:trPr>
          <w:trHeight w:val="219"/>
        </w:trPr>
        <w:tc>
          <w:tcPr>
            <w:tcW w:w="8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credits and 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1,043,337</w:t>
            </w:r>
          </w:p>
        </w:tc>
      </w:tr>
      <w:tr>
        <w:trPr>
          <w:trHeight w:val="207"/>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deferred income taxes and other credits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1,944,114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2,028,437</w:t>
            </w:r>
          </w:p>
        </w:tc>
      </w:tr>
      <w:tr>
        <w:trPr>
          <w:trHeight w:val="234"/>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7,950,263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7,256,636</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Gas operating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cost of gas sold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Operations and maintenance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Taxes other than income taxes</w:t>
      </w:r>
    </w:p>
    <w:p>
      <w:pPr>
        <w:spacing w:after="0" w:line="55" w:lineRule="exact"/>
        <w:rPr>
          <w:sz w:val="20"/>
          <w:szCs w:val="20"/>
          <w:color w:val="auto"/>
        </w:rPr>
      </w:pPr>
    </w:p>
    <w:p>
      <w:pPr>
        <w:ind w:left="20" w:right="380" w:firstLine="648"/>
        <w:spacing w:after="0" w:line="299" w:lineRule="auto"/>
        <w:rPr>
          <w:sz w:val="20"/>
          <w:szCs w:val="20"/>
          <w:color w:val="auto"/>
        </w:rPr>
      </w:pPr>
      <w:r>
        <w:rPr>
          <w:rFonts w:ascii="Arial" w:cs="Arial" w:eastAsia="Arial" w:hAnsi="Arial"/>
          <w:sz w:val="16"/>
          <w:szCs w:val="16"/>
          <w:color w:val="auto"/>
        </w:rPr>
        <w:t>Total operating expenses Operating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and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interest deductions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 (deductions)</w:t>
      </w:r>
    </w:p>
    <w:p>
      <w:pPr>
        <w:spacing w:after="0" w:line="20" w:lineRule="exact"/>
        <w:rPr>
          <w:sz w:val="20"/>
          <w:szCs w:val="20"/>
          <w:color w:val="auto"/>
        </w:rPr>
      </w:pPr>
      <w:r>
        <w:rPr>
          <w:sz w:val="20"/>
          <w:szCs w:val="20"/>
          <w:color w:val="auto"/>
        </w:rPr>
        <w:br w:type="column"/>
      </w:r>
    </w:p>
    <w:p>
      <w:pPr>
        <w:jc w:val="center"/>
        <w:ind w:right="3320"/>
        <w:spacing w:after="0" w:line="263" w:lineRule="auto"/>
        <w:rPr>
          <w:sz w:val="20"/>
          <w:szCs w:val="20"/>
          <w:color w:val="auto"/>
        </w:rPr>
      </w:pPr>
      <w:r>
        <w:rPr>
          <w:rFonts w:ascii="Arial" w:cs="Arial" w:eastAsia="Arial" w:hAnsi="Arial"/>
          <w:sz w:val="18"/>
          <w:szCs w:val="18"/>
          <w:color w:val="auto"/>
        </w:rPr>
        <w:t>SOUTHWEST GAS CORPORATION AND SUBSIDIARIES CONSOLIDATED STATEMENTS OF INCOME (Thousands of dollars)</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Year Ended December 31,</w:t>
      </w:r>
    </w:p>
    <w:p>
      <w:pPr>
        <w:spacing w:after="0" w:line="22" w:lineRule="exact"/>
        <w:rPr>
          <w:sz w:val="20"/>
          <w:szCs w:val="20"/>
          <w:color w:val="auto"/>
        </w:rPr>
      </w:pPr>
    </w:p>
    <w:tbl>
      <w:tblPr>
        <w:tblLayout w:type="fixed"/>
        <w:tblInd w:w="4200" w:type="dxa"/>
        <w:tblCellMar>
          <w:top w:w="0" w:type="dxa"/>
          <w:left w:w="0" w:type="dxa"/>
          <w:bottom w:w="0" w:type="dxa"/>
          <w:right w:w="0" w:type="dxa"/>
        </w:tblCellMar>
      </w:tblPr>
      <w:tr>
        <w:trPr>
          <w:trHeight w:val="213"/>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09"/>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1,521,790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1,350,585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1,368,939</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430,907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385,164</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422,174</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215,620</w:t>
            </w:r>
          </w:p>
        </w:tc>
      </w:tr>
      <w:tr>
        <w:trPr>
          <w:trHeight w:val="219"/>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62,328</w:t>
            </w:r>
          </w:p>
        </w:tc>
      </w:tr>
      <w:tr>
        <w:trPr>
          <w:trHeight w:val="209"/>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1,203,198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1,085,286</w:t>
            </w:r>
          </w:p>
        </w:tc>
      </w:tr>
      <w:tr>
        <w:trPr>
          <w:trHeight w:val="210"/>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318,592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302,611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283,653</w:t>
            </w:r>
          </w:p>
        </w:tc>
      </w:tr>
      <w:tr>
        <w:trPr>
          <w:trHeight w:val="409"/>
        </w:trPr>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(97,560)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(101,148)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(95,026)</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-1530350</wp:posOffset>
            </wp:positionV>
            <wp:extent cx="71062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-1247140</wp:posOffset>
            </wp:positionV>
            <wp:extent cx="710628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-972820</wp:posOffset>
            </wp:positionV>
            <wp:extent cx="710628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-698500</wp:posOffset>
            </wp:positionV>
            <wp:extent cx="710628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-407035</wp:posOffset>
            </wp:positionV>
            <wp:extent cx="710628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-132715</wp:posOffset>
            </wp:positionV>
            <wp:extent cx="710628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60" w:space="720"/>
            <w:col w:w="7820"/>
          </w:cols>
          <w:pgMar w:left="320" w:top="1043" w:right="379" w:bottom="1440" w:gutter="0" w:footer="0" w:header="0"/>
        </w:sect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and (expenses)</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(102,119)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(85,509)</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198,144</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34,973</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71" w:name="page72"/>
    <w:bookmarkEnd w:id="71"/>
    <w:p>
      <w:pPr>
        <w:jc w:val="center"/>
        <w:ind w:right="-9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actuarial gain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(54,026)</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17,766</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Prior service cost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Regulatory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r>
      <w:tr>
        <w:trPr>
          <w:trHeight w:val="212"/>
        </w:trPr>
        <w:tc>
          <w:tcPr>
            <w:tcW w:w="75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defined benefit pension plans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r>
      <w:tr>
        <w:trPr>
          <w:trHeight w:val="193"/>
        </w:trPr>
        <w:tc>
          <w:tcPr>
            <w:tcW w:w="7580" w:type="dxa"/>
            <w:vAlign w:val="bottom"/>
          </w:tcPr>
          <w:p>
            <w:pPr>
              <w:ind w:left="140"/>
              <w:spacing w:after="0"/>
              <w:rPr>
                <w:sz w:val="20"/>
                <w:szCs w:val="20"/>
                <w:color w:val="auto"/>
              </w:rPr>
            </w:pPr>
            <w:r>
              <w:rPr>
                <w:rFonts w:ascii="Arial" w:cs="Arial" w:eastAsia="Arial" w:hAnsi="Arial"/>
                <w:sz w:val="16"/>
                <w:szCs w:val="16"/>
                <w:color w:val="auto"/>
              </w:rPr>
              <w:t>Forward-starting interest rate swaps (“FSIRS”):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Amounts reclassified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6"/>
        </w:trPr>
        <w:tc>
          <w:tcPr>
            <w:tcW w:w="75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forward-starting interest rate swaps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157,069</w:t>
            </w:r>
          </w:p>
        </w:tc>
      </w:tr>
      <w:tr>
        <w:trPr>
          <w:trHeight w:val="23"/>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(Thousands of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187,135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163,171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215,620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33,681</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current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0" w:type="dxa"/>
            <w:vAlign w:val="bottom"/>
          </w:tcPr>
          <w:p>
            <w:pPr>
              <w:spacing w:after="0"/>
              <w:rPr>
                <w:sz w:val="1"/>
                <w:szCs w:val="1"/>
                <w:color w:val="auto"/>
              </w:rPr>
            </w:pP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Accrued utility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purchased gas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0" w:type="dxa"/>
            <w:vAlign w:val="bottom"/>
          </w:tcPr>
          <w:p>
            <w:pPr>
              <w:spacing w:after="0"/>
              <w:rPr>
                <w:sz w:val="1"/>
                <w:szCs w:val="1"/>
                <w:color w:val="auto"/>
              </w:rPr>
            </w:pP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w:t>
            </w:r>
          </w:p>
        </w:tc>
        <w:tc>
          <w:tcPr>
            <w:tcW w:w="0" w:type="dxa"/>
            <w:vAlign w:val="bottom"/>
          </w:tcPr>
          <w:p>
            <w:pPr>
              <w:spacing w:after="0"/>
              <w:rPr>
                <w:sz w:val="1"/>
                <w:szCs w:val="1"/>
                <w:color w:val="auto"/>
              </w:rPr>
            </w:pP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Other current assets and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89,171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undistributed stock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Equity AFUDC</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deferred charges and other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liabilities and deferred credits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(13,361)</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367,794</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CASH FLOW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expenditures and property additions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(778,748)</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Changes in customer advances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(677,412)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(759,842)</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Contributions from parent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202,583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159,936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(95,900)</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Issuance of long-term debt,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446,508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297,222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 of long-term debt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Change in credit facility and commercial paper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short-term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Withholding remittance – share-based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558,418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400,575</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31,962</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 net of amounts capitalized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88,658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Income taxes paid (received),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1,410,345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1,229,083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1,065,242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Contributions from Southwest Gas Holdings, Inc.</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202,583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159,936</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1,618,911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1,229,083</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0" w:type="dxa"/>
            <w:vAlign w:val="bottom"/>
          </w:tcPr>
          <w:p>
            <w:pPr>
              <w:spacing w:after="0"/>
              <w:rPr>
                <w:sz w:val="1"/>
                <w:szCs w:val="1"/>
                <w:color w:val="auto"/>
              </w:rPr>
            </w:pPr>
          </w:p>
        </w:tc>
      </w:tr>
      <w:tr>
        <w:trPr>
          <w:trHeight w:val="166"/>
        </w:trPr>
        <w:tc>
          <w:tcPr>
            <w:tcW w:w="7600" w:type="dxa"/>
            <w:vAlign w:val="bottom"/>
          </w:tcPr>
          <w:p>
            <w:pPr>
              <w:ind w:left="900"/>
              <w:spacing w:after="0" w:line="166" w:lineRule="exact"/>
              <w:rPr>
                <w:sz w:val="20"/>
                <w:szCs w:val="20"/>
                <w:color w:val="auto"/>
              </w:rPr>
            </w:pPr>
            <w:r>
              <w:rPr>
                <w:rFonts w:ascii="Arial" w:cs="Arial" w:eastAsia="Arial" w:hAnsi="Arial"/>
                <w:sz w:val="16"/>
                <w:szCs w:val="16"/>
                <w:color w:val="auto"/>
                <w:w w:val="94"/>
              </w:rPr>
              <w:t>Net actuarial gain (loss) arising during period, less amortization of unamortized benefit plan cost, net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(8,451)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09"/>
        </w:trPr>
        <w:tc>
          <w:tcPr>
            <w:tcW w:w="7600" w:type="dxa"/>
            <w:vAlign w:val="bottom"/>
          </w:tcPr>
          <w:p>
            <w:pPr>
              <w:ind w:left="1060"/>
              <w:spacing w:after="0"/>
              <w:rPr>
                <w:sz w:val="20"/>
                <w:szCs w:val="20"/>
                <w:color w:val="auto"/>
              </w:rPr>
            </w:pPr>
            <w:r>
              <w:rPr>
                <w:rFonts w:ascii="Arial" w:cs="Arial" w:eastAsia="Arial" w:hAnsi="Arial"/>
                <w:sz w:val="16"/>
                <w:szCs w:val="16"/>
                <w:color w:val="auto"/>
              </w:rPr>
              <w:t>of tax</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(55,151)</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835,146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717,155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163,171</w:t>
            </w:r>
          </w:p>
        </w:tc>
        <w:tc>
          <w:tcPr>
            <w:tcW w:w="0" w:type="dxa"/>
            <w:vAlign w:val="bottom"/>
          </w:tcPr>
          <w:p>
            <w:pPr>
              <w:spacing w:after="0"/>
              <w:rPr>
                <w:sz w:val="1"/>
                <w:szCs w:val="1"/>
                <w:color w:val="auto"/>
              </w:rPr>
            </w:pPr>
          </w:p>
        </w:tc>
      </w:tr>
      <w:tr>
        <w:trPr>
          <w:trHeight w:val="213"/>
        </w:trPr>
        <w:tc>
          <w:tcPr>
            <w:tcW w:w="7600" w:type="dxa"/>
            <w:vAlign w:val="bottom"/>
          </w:tcPr>
          <w:p>
            <w:pPr>
              <w:ind w:left="90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Dividends declared to Southwest Gas Holdings, Inc.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906,827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782,108</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2,527,937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2,233,468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2,005,152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This is a combined annual report of Southwest Gas Holdings, Inc. and its subsidiaries (the “Company”) and Southwest Gas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its subsidiaries (“Southwest” or the “natural gas distribution” segment). The notes to the consolidated financial statements apply to both entities. Southwest Gas Holdings, Inc., a Delaware corporation, is a holding company, owning all of the shares of common stock of Southwest, all of the shares of common stock of Centuri Group, Inc. (“Centuri” or the “utility infrastructure services” segment), and all of the membership interests in the newly acquired Dominion Energy Questar Pipeline, LLC and related entities through the newly formed entity, MountainWest Pipelines Holding Company (herein referred to interchangeably as “Questar Pipelines” or “MountainWest”). Questar Pipelines is a third segment, referred to as the “pipeline and storage” segment. Southwest was previously referred to as the natural gas operations segment; with the addition of the Questar Pipelines natural gas interstate transmission and storage services, Southwest, primarily consisting of intrastate natural gas service to customers, will be referred to as indicated above.</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October 2021, the Company entered into an agreement with Dominion Energy Questar Corporation, a wholly owned subsidiary of Dominion Energy, Inc., to acquire all equity interests in Questar Pipelines. On December 31, 2021, the Company completed the acquisition of Questar Pipelines. As a result of the acquisition closing on December 31, 2021, the Company’s Consolidated Statements of Income and Consolidated Statements of Cash Flows do not reflect results of operations or operating activities of Questar Pipelines otherwise occurring during 2021. Subsequent to the completion of the acquisition, and as noted above, the Company formed MountainWest, a wholly owned subsidiary, owning all of the membership interests in Questar Pipelines. Questar Pipelines, and the businesses underlying it, will be renamed under the MountainWest branding in the first half of 2022. See </w:t>
      </w:r>
      <w:r>
        <w:rPr>
          <w:rFonts w:ascii="Arial" w:cs="Arial" w:eastAsia="Arial" w:hAnsi="Arial"/>
          <w:sz w:val="17"/>
          <w:szCs w:val="17"/>
          <w:b w:val="1"/>
          <w:bCs w:val="1"/>
          <w:color w:val="auto"/>
        </w:rPr>
        <w:t>Note 15 - Business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for additional information. The acquired operations further diversify the Company’s business in the midstream sector, with an expansion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interstate natural gas pipelines and underground storage services, primarily composed of regulated operations under the jurisdiction of the Federal Energy Regulatory Commission (the “FERC”), thereby expanding natural gas transportation services into Utah, Wyoming, and Colorado. The total consideration for the acquisition was $1.576 billion, including transaction costs paid on behalf of the seller and an estimated post-closing payment. The Company initially financed the purchase of this acquisition with a $1.6 billion draw under the 364-day term loan entered into in November 2021. See </w:t>
      </w:r>
      <w:r>
        <w:rPr>
          <w:rFonts w:ascii="Arial" w:cs="Arial" w:eastAsia="Arial" w:hAnsi="Arial"/>
          <w:sz w:val="17"/>
          <w:szCs w:val="17"/>
          <w:b w:val="1"/>
          <w:bCs w:val="1"/>
          <w:color w:val="auto"/>
        </w:rPr>
        <w:t>Note 8 - Debt</w:t>
      </w:r>
      <w:r>
        <w:rPr>
          <w:rFonts w:ascii="Arial" w:cs="Arial" w:eastAsia="Arial" w:hAnsi="Arial"/>
          <w:sz w:val="17"/>
          <w:szCs w:val="17"/>
          <w:color w:val="auto"/>
        </w:rPr>
        <w:t xml:space="preserve"> for more information.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2022, the Company announced that its Board of Directors (the “Board”) determined to separate Centuri from Southwest Gas Holdings, Inc. and has authorized management to complete the separation within the next nine to twelve months. Management intends to evaluate various alternatives to determine the optimal structure to maximize stockholder value. Depending on the form the separation takes, it will likely be subject to a number of conditions.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operations are generally conducted under the business names of NPL Construction Co. (“NPL”), NPL Canada Ltd. (“NPL Canada”), New England Utility Constructors, Inc. (“Neuco”), Linetec Services, LLC (“Linetec”), and Riggs Distler &amp; Company, Inc. (“Riggs Distler”).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 Centuri completed the acquisition of Drum Parent LLC, formerly Drum Parent, Inc. (“Drum”), including Drum’s most significant operating subsidiary, Riggs Distler, in August 2021, thereby expanding Centuri’s electric infrastructure services footprint in the northeast and mid-Atlantic regions of the U.S. See </w:t>
      </w:r>
      <w:r>
        <w:rPr>
          <w:rFonts w:ascii="Arial" w:cs="Arial" w:eastAsia="Arial" w:hAnsi="Arial"/>
          <w:sz w:val="16"/>
          <w:szCs w:val="16"/>
          <w:b w:val="1"/>
          <w:bCs w:val="1"/>
          <w:color w:val="auto"/>
        </w:rPr>
        <w:t>Note 15 - Business Acquisitions</w:t>
      </w:r>
      <w:r>
        <w:rPr>
          <w:rFonts w:ascii="Arial" w:cs="Arial" w:eastAsia="Arial" w:hAnsi="Arial"/>
          <w:sz w:val="16"/>
          <w:szCs w:val="16"/>
          <w:color w:val="auto"/>
        </w:rPr>
        <w:t xml:space="preserve"> for more information.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includes Dominion Energy Questar Pipeline, LLC, along with its subsidiary, Dominion Energy Overthrust Pipeline, LLC, and an equity interest in White River Hub, LLC, which is not consolidated, along with non-regulated businesses providing analytical and measurement services, and natural gas gathering.</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Company follows accounting principles generally accepted in the United States (“U.S. GAAP”) in accounting for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Unless specified otherwise, all amounts are in U.S. dollars. Accounting for regulated operations conforms with U.S. GAAP as applied to rate-regulated companies and as prescribed by federal agencies and commissions of the various states in which the rate-regulated companies operate. The preparation of financial statements in conformity with U.S. GAAP requires management to make estimates and assumptions that affect the reported amounts of assets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and liabilities and disclosure of contingent assets and liabilities at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financial statements are presented on a consolidated basis for Southwest Gas Holdings, Inc. and all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Gas Corporation and all subsidiaries as of December 31, 2021 (except those accounted for using the equity method as discussed below). All significant intercompany balances and transactions have been eliminated with the exception of transactions between Southwest and Centuri in accordance with accounting treatment for rate-regulated entities.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through its subsidiaries, holds a 50% interest in W.S. Nicholls Western Construction Ltd. (“Western”), a Canadian infrastructure services company that is a variable interest entity. Centuri determined that it is not the primary beneficiary of the entity due to a shared-power structure; therefore, Centuri does not consolidate the entity and has recorded its investment, and results related thereto, using the equity method. The investment in Western, related earnings, and dividends received from Western in 2021 and 2020 were not significant. Centuri’s maximum exposure to loss as a result of its involvement with Western was estimated at $12.6 million as of December 31, 2021.</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MountainWest, through its subsidiaries, holds a 50% noncontrolling interest in White River Hub, LLC, a FERC-regulated transporter of natural gas with facilities that connect with six interstate pipeline systems and a major processing plant in Colorado. As noted above, Questar Pipelines does not consolidate the entity and has recorded its investment using the equity method. The investment in White River Hub is approximately $25.6 million, the related proportional earnings and dividends for which are not expected to be significant to the Company. The investment is included in Other property and investments on the Company’s Consolidated Balance Sheet at December 31, 2021.</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primarily used quoted market prices and other observable market pricing information (exclusive of purchase accounting adjustments as noted in </w:t>
      </w:r>
      <w:r>
        <w:rPr>
          <w:rFonts w:ascii="Arial" w:cs="Arial" w:eastAsia="Arial" w:hAnsi="Arial"/>
          <w:sz w:val="18"/>
          <w:szCs w:val="18"/>
          <w:b w:val="1"/>
          <w:bCs w:val="1"/>
          <w:color w:val="auto"/>
        </w:rPr>
        <w:t>Note 15 - Business Acquisitions)</w:t>
      </w:r>
      <w:r>
        <w:rPr>
          <w:rFonts w:ascii="Arial" w:cs="Arial" w:eastAsia="Arial" w:hAnsi="Arial"/>
          <w:sz w:val="18"/>
          <w:szCs w:val="18"/>
          <w:color w:val="auto"/>
        </w:rPr>
        <w:t xml:space="preserve"> in valuing cash and cash equivalents, long-term debt outstanding, and assets of the qualified pension 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Regulated Operations Plant. </w:t>
      </w:r>
      <w:r>
        <w:rPr>
          <w:rFonts w:ascii="Arial" w:cs="Arial" w:eastAsia="Arial" w:hAnsi="Arial"/>
          <w:sz w:val="18"/>
          <w:szCs w:val="18"/>
          <w:color w:val="auto"/>
        </w:rPr>
        <w:t>Net regulated operations plant includes gas plant at original cost, less the accumulated provision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plus any unamortized balance of acquisition adjustments. Original cost generally includes contracted services, material, payroll, and related costs such as taxes and certain benefits, general and administrative expenses, and an allowance for funds used during construction, less contributions in aid of construction. See also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Southwest’s and the Company’s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r>
      <w:tr>
        <w:trPr>
          <w:trHeight w:val="223"/>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Southwest Gas Corporation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Non-regulated property, equipment, and intangibles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1,616,392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1,089,414</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Non-regulated accumulated provision for 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(422,741)</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 and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w:t>
            </w:r>
          </w:p>
        </w:tc>
      </w:tr>
      <w:tr>
        <w:trPr>
          <w:trHeight w:val="24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Southwest Gas Holdings,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834,245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 and to a more limited extent, MountainWest.</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Intangible Assets</w:t>
      </w:r>
      <w:r>
        <w:rPr>
          <w:rFonts w:ascii="Arial" w:cs="Arial" w:eastAsia="Arial" w:hAnsi="Arial"/>
          <w:sz w:val="17"/>
          <w:szCs w:val="17"/>
          <w:color w:val="auto"/>
        </w:rPr>
        <w:t>. Intangible assets (other than goodwill) are amortized using the straight-line method to reflect the pattern of economic benefits consumed</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estimated periods benefited. The recoverability of intangible assets is evaluated when events or circumstances indicate that a revision of estimated useful lives is warranted or that an intangible asset may be impaired. These intangible assets are included in Other property and investments on the Company’s Consolidated Balance Sheets. Centuri’s intangible assets (other than goodwill) have finite lives and are associated with businesses previously acquired (including Riggs Distler). The balances at December 31, 2021 and 2020, respectively,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December 31, 2021</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4"/>
                <w:szCs w:val="14"/>
                <w:color w:val="auto"/>
              </w:rPr>
            </w:pPr>
          </w:p>
        </w:tc>
        <w:tc>
          <w:tcPr>
            <w:tcW w:w="164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0"/>
              </w:rPr>
              <w:t>Gross Carrying</w:t>
            </w:r>
          </w:p>
        </w:tc>
        <w:tc>
          <w:tcPr>
            <w:tcW w:w="140" w:type="dxa"/>
            <w:vAlign w:val="bottom"/>
          </w:tcPr>
          <w:p>
            <w:pPr>
              <w:spacing w:after="0"/>
              <w:rPr>
                <w:sz w:val="14"/>
                <w:szCs w:val="14"/>
                <w:color w:val="auto"/>
              </w:rPr>
            </w:pPr>
          </w:p>
        </w:tc>
        <w:tc>
          <w:tcPr>
            <w:tcW w:w="1700" w:type="dxa"/>
            <w:vAlign w:val="bottom"/>
            <w:gridSpan w:val="2"/>
          </w:tcPr>
          <w:p>
            <w:pPr>
              <w:jc w:val="center"/>
              <w:ind w:right="220"/>
              <w:spacing w:after="0" w:line="169"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4"/>
                <w:szCs w:val="14"/>
                <w:color w:val="auto"/>
              </w:rPr>
            </w:pPr>
          </w:p>
        </w:tc>
        <w:tc>
          <w:tcPr>
            <w:tcW w:w="150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Net Carrying</w:t>
            </w:r>
          </w:p>
        </w:tc>
        <w:tc>
          <w:tcPr>
            <w:tcW w:w="0" w:type="dxa"/>
            <w:vAlign w:val="bottom"/>
          </w:tcPr>
          <w:p>
            <w:pPr>
              <w:spacing w:after="0"/>
              <w:rPr>
                <w:sz w:val="1"/>
                <w:szCs w:val="1"/>
                <w:color w:val="auto"/>
              </w:rPr>
            </w:pPr>
          </w:p>
        </w:tc>
      </w:tr>
      <w:tr>
        <w:trPr>
          <w:trHeight w:val="230"/>
        </w:trPr>
        <w:tc>
          <w:tcPr>
            <w:tcW w:w="5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19"/>
                <w:szCs w:val="19"/>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350,948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72,557</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backlog</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426,505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December 31, 2020</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125,520</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backlog</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for the acquired intangible assets listed above for the years ended December 31, 2021, 2020, and 2019 was $17.3 million, $10.8 million, and $10.7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the intangible assets for the next five years and thereafter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29,814</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2023</w:t>
            </w:r>
          </w:p>
        </w:tc>
        <w:tc>
          <w:tcPr>
            <w:tcW w:w="4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26,814</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26,814</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2025</w:t>
            </w:r>
          </w:p>
        </w:tc>
        <w:tc>
          <w:tcPr>
            <w:tcW w:w="4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26,769</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26,580</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289,714</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426,505</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Arial" w:cs="Arial" w:eastAsia="Arial" w:hAnsi="Arial"/>
                <w:sz w:val="18"/>
                <w:szCs w:val="18"/>
                <w:color w:val="auto"/>
              </w:rPr>
              <w:t>37</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9A9A9A"/>
            </w:tcBorders>
          </w:tcPr>
          <w:p>
            <w:pPr>
              <w:spacing w:after="0"/>
              <w:rPr>
                <w:sz w:val="18"/>
                <w:szCs w:val="18"/>
                <w:color w:val="auto"/>
              </w:rPr>
            </w:pPr>
          </w:p>
        </w:tc>
        <w:tc>
          <w:tcPr>
            <w:tcW w:w="40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2 - Regulated Operations Plant and Leases</w:t>
      </w:r>
      <w:r>
        <w:rPr>
          <w:rFonts w:ascii="Arial" w:cs="Arial" w:eastAsia="Arial" w:hAnsi="Arial"/>
          <w:sz w:val="18"/>
          <w:szCs w:val="18"/>
          <w:color w:val="auto"/>
        </w:rPr>
        <w:t xml:space="preserve"> for additional information regarding natural gas distribution intangible assets</w:t>
      </w:r>
      <w:r>
        <w:rPr>
          <w:rFonts w:ascii="Arial" w:cs="Arial" w:eastAsia="Arial" w:hAnsi="Arial"/>
          <w:sz w:val="18"/>
          <w:szCs w:val="18"/>
          <w:b w:val="1"/>
          <w:bCs w:val="1"/>
          <w:color w:val="auto"/>
        </w:rPr>
        <w: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of the Company include $20 million of money market fund investments at December 31, 2021, and an insignificant amount at December 31, 2020. The money market fund investments for Southwest were insignificant at both balance sheet dates. These investments fall within Level 2 of the fair value hierarchy, due to the asset valuation methods used by money market funds.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Typical non-cash investing activities for the Company and Southwest include capital expenditures that were not paid as of year end that are included in accounts payable totaling approximately $19.4 million. Additionally for Southwest, non-cash investing activities include customer advances applied as contributions toward utility construction activity, such amounts were not significant for the periods presented herein. Also, see </w:t>
      </w:r>
      <w:r>
        <w:rPr>
          <w:rFonts w:ascii="Arial" w:cs="Arial" w:eastAsia="Arial" w:hAnsi="Arial"/>
          <w:sz w:val="18"/>
          <w:szCs w:val="18"/>
          <w:b w:val="1"/>
          <w:bCs w:val="1"/>
          <w:color w:val="auto"/>
        </w:rPr>
        <w:t>Note 2 - Regulated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Operations Plant and Leases </w:t>
      </w:r>
      <w:r>
        <w:rPr>
          <w:rFonts w:ascii="Arial" w:cs="Arial" w:eastAsia="Arial" w:hAnsi="Arial"/>
          <w:sz w:val="18"/>
          <w:szCs w:val="18"/>
          <w:color w:val="auto"/>
        </w:rPr>
        <w:t>for information related to right-of-use (“ROU”) assets obtained in exchange for lease liabilities, which are non-cash</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and financing activities. ROU assets and lease liabilities are also subject to non-cash impacts as a result of other factors, such as lease terminations and modifications.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asset and liability method of accounting is utilized for the recognition of income taxes. Under the asset and liability method,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anticipated to be recovered or settled. The effect on deferred tax assets and liabilities of a change in tax rates is recognized in the period that includes the enactment date. For regulatory and financial reporting purposes, investment tax credits (“ITC”) related to gas utility operations are deferred and amortized over the life of related fixed assets. As of December 31, 2021, the Company had cumulative book earnings of approximately $59 million in its foreign jurisdiction. Management previously asserted and continues to assert that all the earnings of Centuri’s Canadian subsidiaries will be permanently reinvested in Canada. As a result, no U.S. deferred income taxes have been recorded related to cumulative foreign earnings.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Accounting Standards Board (the “FASB”) issued guidance to allow an accounting policy election of either (i) treating taxes attributable to future taxable income related to Global Intangible Low-Taxed Income (“GILTI”) as a current period expense when incurred or (ii) recognizing deferred taxes for temporary differences expected to reverse as GILTI in future years. The Company has elected to treat GILTI as a current period cost when incurred and has considered the estimated 2021 GILTI impact, which was immaterial, to its 2021 tax expense.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the rate-regulated companies to adjust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mid-February 2021, the central U.S. (from south Texas to North Dakota and the eastern Rocky Mountains) experienced extreme cold temperatures, which increased natural gas demand and caused supply issues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term loan executed in March 2021 (see </w:t>
      </w:r>
      <w:r>
        <w:rPr>
          <w:rFonts w:ascii="Arial" w:cs="Arial" w:eastAsia="Arial" w:hAnsi="Arial"/>
          <w:sz w:val="17"/>
          <w:szCs w:val="17"/>
          <w:b w:val="1"/>
          <w:bCs w:val="1"/>
          <w:color w:val="auto"/>
        </w:rPr>
        <w:t>Note 8 - Debt)</w:t>
      </w:r>
      <w:r>
        <w:rPr>
          <w:rFonts w:ascii="Arial" w:cs="Arial" w:eastAsia="Arial" w:hAnsi="Arial"/>
          <w:sz w:val="17"/>
          <w:szCs w:val="17"/>
          <w:color w:val="auto"/>
        </w:rPr>
        <w:t>. The incremental gas costs were included, for collection from customers, as part of the purchased gas adjustment (“PGA”) mechanisms.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Prepaid and other current assets for Southwest and the Company include, among other things, accrued purchased gas</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$52 million in 2021 and $29 million in 2020, and gas pipe materials and operating supplies of $62.9 million in 2021 and $50 million in 2020 (carried at weighted average cost). Additionally, at the Company, there was $4.5 million in gas pipe materials and operating supplies in 2021 relating to Questar Pipelines, for a total of $67.4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2021, the Company and Southwest classified certain assets associated with its previous corporate headquarters as held for sale. As a result, the Company and Southwest reclassified approximately $31 million from Net regulated operations plant to Prepaid and other current assets on their respective Consolidated Balance Sheets during the third quarter of 2021; this was a non-cash item and therefore did not impact the Company’s or Southwest’s respective Consolidated Statements of Cash Flows.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required by U.S. GAAP, goodwill is assessed for impairment annually, or more frequently, if circumstances indicate impairment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goodwill may have occurred. The goodwill impairment analysis was conducted as of October 1st using a qualitative assessment, as permitted by U.S. GAAP. Management of the Company and Southwest considered its reporting units and segments and determined that they remained consistent between periods presented below, and that no change was necessary with regard to the level at which goodwill is assessed for impairment. The Company and Southwest determined that it is not more likely than not that the fair values of the reporting units were less than their carrying amounts in either 2021 or 2020. Thus, no impairment was recorded in either year.</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Riggs Distler acquisition that was completed in August 2021 (see further discussion in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xml:space="preserve">) was deemed a stock purchase for tax purposes, and as a result, only pre-acquisition goodwill that was historically tax-deductible by Riggs Distler will continue to be deductible for tax purposes by the Company. The Questar Pipelines acquisition in December 2021 (also included in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xml:space="preserve"> was considered an asset purchase for tax purposes. As a result, goodwill associated with Questar Pipelines is expected to be tax deductible. Given the Company’s acquisition of Questar Pipelines occurred on December 31, 2021, the Company will assess related goodwill in association with the annual impairment assessment processes starting in 2022. Goodwill in Southwest’s natural gas distribution segment and in all of the Company’s operations, is reflected in their Consolidated Balance Sheets as follows (and as applicable):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Pipeline and</w:t>
            </w:r>
          </w:p>
        </w:tc>
        <w:tc>
          <w:tcPr>
            <w:tcW w:w="200" w:type="dxa"/>
            <w:vAlign w:val="bottom"/>
          </w:tcPr>
          <w:p>
            <w:pPr>
              <w:spacing w:after="0"/>
              <w:rPr>
                <w:sz w:val="17"/>
                <w:szCs w:val="17"/>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5"/>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2"/>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Distribution</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Storage</w:t>
            </w:r>
          </w:p>
        </w:tc>
        <w:tc>
          <w:tcPr>
            <w:tcW w:w="20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343,023</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Additional goodwill from Riggs Distler acquisition</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449,501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449,501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goodwill from Questar Pipelines acquisition</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986,179</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next twelve months, including certain regulatory liabilities (refer to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 customary accrued expenses for employee compensation and benefits, and declared but unpaid dividends.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Accumulated Removal Costs. </w:t>
      </w:r>
      <w:r>
        <w:rPr>
          <w:rFonts w:ascii="Arial" w:cs="Arial" w:eastAsia="Arial" w:hAnsi="Arial"/>
          <w:sz w:val="18"/>
          <w:szCs w:val="18"/>
          <w:color w:val="auto"/>
        </w:rPr>
        <w:t>Approved regulatory practices allow Southwest and Questar Pipelines to include in depreciation expense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recover removal costs associated with regulated operations plant retirements. In accordance with the Securities and Exchange Commission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(and actual cost experience) compared to the estimated cost of removal in rates.</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Gas Operating Revenues. </w:t>
      </w:r>
      <w:r>
        <w:rPr>
          <w:rFonts w:ascii="Arial" w:cs="Arial" w:eastAsia="Arial" w:hAnsi="Arial"/>
          <w:sz w:val="16"/>
          <w:szCs w:val="16"/>
          <w:color w:val="auto"/>
        </w:rPr>
        <w:t>Southwest recognizes revenue when it satisfies its performance by transferring gas to the customer. Natural gas is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“consumed” by the customer simultaneously. Revenues are recorded when customers are billed. Customer billings are substantially based on monthly meter reads and include certain other charges assessed monthly, and are calculated in accordance with applicable tariffs and state and local laws, regulations, and related agreements. An estimate of the margin associated with natural gas service provided, but not yet billed, to residential and commercial customers from the latest meter read date to the end of the reporting period is also recognized as accrued utility revenue. Revenues also include the net impacts of margin tracker/decoupling accruals based on criteria in U.S. GAAP for rate-regulated entities associated with alternative revenue programs. All of Southwest’s service territories have decoupled rate structures, which are designed to eliminate the direct link between volumetric sales and revenue, thereby mitigating the impacts of unusual weather variability and conservation on margin. See </w:t>
      </w:r>
      <w:r>
        <w:rPr>
          <w:rFonts w:ascii="Arial" w:cs="Arial" w:eastAsia="Arial" w:hAnsi="Arial"/>
          <w:sz w:val="16"/>
          <w:szCs w:val="16"/>
          <w:b w:val="1"/>
          <w:bCs w:val="1"/>
          <w:color w:val="auto"/>
        </w:rPr>
        <w:t>Note 3 - Revenue</w:t>
      </w:r>
      <w:r>
        <w:rPr>
          <w:rFonts w:ascii="Arial" w:cs="Arial" w:eastAsia="Arial" w:hAnsi="Arial"/>
          <w:sz w:val="16"/>
          <w:szCs w:val="16"/>
          <w:color w:val="auto"/>
        </w:rPr>
        <w:t>.</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Utility Infrastructure Services Revenues. </w:t>
      </w:r>
      <w:r>
        <w:rPr>
          <w:rFonts w:ascii="Arial" w:cs="Arial" w:eastAsia="Arial" w:hAnsi="Arial"/>
          <w:sz w:val="16"/>
          <w:szCs w:val="16"/>
          <w:color w:val="auto"/>
        </w:rPr>
        <w:t>The majority of Centuri contracts are performed under unit-price contracts. Generally, these contracts state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Changes in job performance, job conditions, and final contract settlements are factors that influence management’s assessment of total contract value and the total estimated costs to complete those contracts. Revisions in estimates of costs and earnings during the course of work are</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 xml:space="preserve">reflected in the accounting period in which the facts requiring revision become known. If a loss on a contract becomes known or is anticipated, the entire amount of the estimated ultimate loss is recognized at that time in the financial statements. Some unit-price contracts contain caps that if encroached, trigger revenue and loss recognition similar to a fixed-price contract model. See </w:t>
      </w:r>
      <w:r>
        <w:rPr>
          <w:rFonts w:ascii="Arial" w:cs="Arial" w:eastAsia="Arial" w:hAnsi="Arial"/>
          <w:sz w:val="18"/>
          <w:szCs w:val="18"/>
          <w:b w:val="1"/>
          <w:bCs w:val="1"/>
          <w:color w:val="auto"/>
        </w:rPr>
        <w:t>Note 3 - Revenue</w:t>
      </w:r>
      <w:r>
        <w:rPr>
          <w:rFonts w:ascii="Arial" w:cs="Arial" w:eastAsia="Arial" w:hAnsi="Arial"/>
          <w:sz w:val="18"/>
          <w:szCs w:val="18"/>
          <w:color w:val="auto"/>
        </w:rPr>
        <w:t>.</w:t>
      </w:r>
    </w:p>
    <w:p>
      <w:pPr>
        <w:spacing w:after="0" w:line="7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Intercompany Transactions. </w:t>
      </w:r>
      <w:r>
        <w:rPr>
          <w:rFonts w:ascii="Arial" w:cs="Arial" w:eastAsia="Arial" w:hAnsi="Arial"/>
          <w:sz w:val="18"/>
          <w:szCs w:val="18"/>
          <w:color w:val="auto"/>
        </w:rPr>
        <w:t>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13 -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Utility Infrastructu</w:t>
      </w:r>
      <w:r>
        <w:rPr>
          <w:rFonts w:ascii="Arial" w:cs="Arial" w:eastAsia="Arial" w:hAnsi="Arial"/>
          <w:sz w:val="18"/>
          <w:szCs w:val="18"/>
          <w:b w:val="1"/>
          <w:bCs w:val="1"/>
          <w:i w:val="1"/>
          <w:iCs w:val="1"/>
          <w:color w:val="auto"/>
        </w:rPr>
        <w:t>r</w:t>
      </w:r>
      <w:r>
        <w:rPr>
          <w:rFonts w:ascii="Arial" w:cs="Arial" w:eastAsia="Arial" w:hAnsi="Arial"/>
          <w:sz w:val="18"/>
          <w:szCs w:val="18"/>
          <w:i w:val="1"/>
          <w:iCs w:val="1"/>
          <w:color w:val="auto"/>
        </w:rPr>
        <w:t xml:space="preserve">e Services Expenses. </w:t>
      </w:r>
      <w:r>
        <w:rPr>
          <w:rFonts w:ascii="Arial" w:cs="Arial" w:eastAsia="Arial" w:hAnsi="Arial"/>
          <w:sz w:val="18"/>
          <w:szCs w:val="18"/>
          <w:color w:val="auto"/>
        </w:rPr>
        <w:t>Centuri’s utility infrastructure services expenses in the Consolidated Statements of Income includes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office and equipment rental costs, subcontractor expenses, training, job-related materials, gains and losses on equipment sales, and professional fees.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Cost of Gas Sold. </w:t>
      </w:r>
      <w:r>
        <w:rPr>
          <w:rFonts w:ascii="Arial" w:cs="Arial" w:eastAsia="Arial" w:hAnsi="Arial"/>
          <w:sz w:val="18"/>
          <w:szCs w:val="18"/>
          <w:color w:val="auto"/>
        </w:rPr>
        <w:t>Components of net cost of gas sold include natural gas commodity costs (fixed-price and variable-rate),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capacity/transportation costs, and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 transmission pipelines, etc. and amounts already included in customer rates, are temporarily deferred in PGA accounts pending inclusion in customer rates.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Operations and Maintenance Expense. </w:t>
      </w:r>
      <w:r>
        <w:rPr>
          <w:rFonts w:ascii="Arial" w:cs="Arial" w:eastAsia="Arial" w:hAnsi="Arial"/>
          <w:sz w:val="16"/>
          <w:szCs w:val="16"/>
          <w:color w:val="auto"/>
        </w:rPr>
        <w:t>Operations and maintenance expense includes Southwest’s operating and maintenance costs associated with serving</w:t>
      </w:r>
      <w:r>
        <w:rPr>
          <w:rFonts w:ascii="Arial" w:cs="Arial" w:eastAsia="Arial" w:hAnsi="Arial"/>
          <w:sz w:val="16"/>
          <w:szCs w:val="16"/>
          <w:i w:val="1"/>
          <w:iCs w:val="1"/>
          <w:color w:val="auto"/>
        </w:rPr>
        <w:t xml:space="preserve"> </w:t>
      </w:r>
      <w:r>
        <w:rPr>
          <w:rFonts w:ascii="Arial" w:cs="Arial" w:eastAsia="Arial" w:hAnsi="Arial"/>
          <w:sz w:val="16"/>
          <w:szCs w:val="16"/>
          <w:color w:val="auto"/>
        </w:rPr>
        <w:t>utility customers and maintaining its distribution and transmission systems, uncollectible customer accounts expense, administrative and general salaries and expense, employee benefits expense excluding relevant non-service cost components, and legal expense (including injuries and damages).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Regulated operations plant depreciation is computed on the straight-line remaining life method at composite rates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considered 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Arial" w:cs="Arial" w:eastAsia="Arial" w:hAnsi="Arial"/>
          <w:sz w:val="17"/>
          <w:szCs w:val="17"/>
          <w:i w:val="1"/>
          <w:iCs w:val="1"/>
          <w:color w:val="auto"/>
        </w:rPr>
        <w:t>Accumulated Removal Costs</w:t>
      </w:r>
      <w:r>
        <w:rPr>
          <w:rFonts w:ascii="Arial" w:cs="Arial" w:eastAsia="Arial" w:hAnsi="Arial"/>
          <w:sz w:val="17"/>
          <w:szCs w:val="17"/>
          <w:color w:val="auto"/>
        </w:rPr>
        <w:t xml:space="preserve"> above. Other regulatory assets, including acquisition adjustments, are amortized when appropriate, over time periods authorized by regulators. Non-regulated operations, including utility infrastructure services-related property and equipment are depreciated on a straight-line method based on the estimated useful lives of the related assets. Costs and gains related to refunding regulated operations debt and debt issuance expenses are deferred and amortized over the weighted-average lives of the new issues and become a component of interest expense.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Allowance for Funds Used During Construction (“AFUDC”). </w:t>
      </w:r>
      <w:r>
        <w:rPr>
          <w:rFonts w:ascii="Arial" w:cs="Arial" w:eastAsia="Arial" w:hAnsi="Arial"/>
          <w:sz w:val="18"/>
          <w:szCs w:val="18"/>
          <w:color w:val="auto"/>
        </w:rPr>
        <w:t>AFUDC represents the cost of both debt and equity funds used to finance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plant construction. AFUDC is capitalized as part of the cost of regulated operations plant. The debt portion of AFUDC is reported in the Company’s and Southwest’s Consolidated Statements of Income as an offset to Net interest deductions and the equity portion is reported as Other income. Regulated operations plant construction costs, including AFUDC, are recoverable as part of authorized rates through depreciation when completed projects are placed into operation, and general rate relief is requested and granted. AFUDC, disaggregated by type, included in the Company’s and Southwest’s Consolidated Statements of Income are presented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AFUDC: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portion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Equity portion</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AFUDC capitalized as part of regulated operations plant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AFUDC rate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Debt and equity AFUDC were impacted in 2021 by the amount of short-term debt outstanding based on the regulatory formula for each component.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Southwest Gas Corporation – natural gas distribution segment: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COLI policies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6,356</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AFUDC</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Other components of net periodic benefit cost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(15,059)</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Southwest Gas Corporation – total other income (deductions)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segment: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Foreign transaction gain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unconsolidated investment – Western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Miscellaneous income and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 total other income (deductions)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Southwest Gas Holdings, Inc. - total other income (deductions)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the table above is the change in COLI policies (including net death benefits recognized).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previously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no fair value adjustment is required. In consultation with its regulators, management does not currently anticipate entering into new Swaps in the near term; the remaining Swaps matured in October 2020.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Previously, Southwest entered into two forward-starting interest rate swaps (“FSIRS”). One of the FSIRS became fully amortized in the third quarter of 2020, with one FSIRS remaining to be amortized in 2022. The settled position for the remaining FSIRS is immaterial and will continue to be amortized from Accumulated other comprehensive income (loss) into interest expense.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Foreign currency-denominated assets and liabilities of consolidated subsidiaries are translated into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existing at the respective balance sheet dates. Translation adjustments resulting from fluctuations in exchange rates are recorded as a separate component of accumulated other comprehensive income within stockholders’ equity. Results of operations of foreign subsidiaries are translated using the monthly weighted-average exchange rates during the respective periods. Gains and losses resulting from foreign currency transactions are included in Other income and (expenses) of the Company. Gains and losses resulting from intercompany foreign currency transactions that are of a long-term investment nature are reported in Other comprehensive income,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Incentive Plan shares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 (1)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80" w:hanging="10"/>
        <w:spacing w:after="0" w:line="275" w:lineRule="auto"/>
        <w:tabs>
          <w:tab w:leader="none" w:pos="4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securities granted for 2021, 2020, and 2019 includes 104,000, 69,000, and 46,000 performance shares, respectively, the total of which was derived by assuming that target performance will be achieved during the relevant performance period.</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Redeemable Noncontrolling Interests. </w:t>
      </w:r>
      <w:r>
        <w:rPr>
          <w:rFonts w:ascii="Arial" w:cs="Arial" w:eastAsia="Arial" w:hAnsi="Arial"/>
          <w:sz w:val="18"/>
          <w:szCs w:val="18"/>
          <w:color w:val="auto"/>
        </w:rPr>
        <w:t>In connection with the acquisition of Linetec in November 2018, the previous owner retained a 20% equity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Linetec, the reduction of which is subject to certain rights based on the passage of time or upon the occurrence of certain triggering events. Additionally, in November 2021, certain members of Riggs Distler management acquired a 1.42% interest in Drum Parent LLC, formerly Drum Parent, Inc., which is subject to certain rights based on the passage of time or upon the occurrence of certain triggering events. See </w:t>
      </w:r>
      <w:r>
        <w:rPr>
          <w:rFonts w:ascii="Arial" w:cs="Arial" w:eastAsia="Arial" w:hAnsi="Arial"/>
          <w:sz w:val="18"/>
          <w:szCs w:val="18"/>
          <w:b w:val="1"/>
          <w:bCs w:val="1"/>
          <w:color w:val="auto"/>
        </w:rPr>
        <w:t>Note 14 - Redeemable Noncontrolling</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Company and Southwest adopted the update in the first quarter of 2021, the impact of which was not material to the consolidated financial statements of the Company or Southwest.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2021, the FASB issued ASU 2021-08 “Business Combinations (Topic 805): Accounting for Contract Assets and Contract Liabilities from Contracts with Customers.” The update amongst other amendments, improves the guidance related to the recognition and measurement of contract assets and liabilities acquired during a business acquisition. The Company and Southwest adopted the update early on a retrospective basis as of January 1, 2021, as permitted, and concluded the impact was not material to the consolidated financial statements of the Company or Southwest. See </w:t>
      </w:r>
      <w:r>
        <w:rPr>
          <w:rFonts w:ascii="Arial" w:cs="Arial" w:eastAsia="Arial" w:hAnsi="Arial"/>
          <w:sz w:val="18"/>
          <w:szCs w:val="18"/>
          <w:b w:val="1"/>
          <w:bCs w:val="1"/>
          <w:color w:val="auto"/>
        </w:rPr>
        <w:t>Note 15 -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Acquisitions</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in 2022:</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the topic) to replace a reference rate affected by reference rate reform. The update applies only to contracts and hedging relationships that reference the London Interbank Offered Rate (“LIBOR”) or another reference rate expected to be discontinued due to reference rate reform. The guidance was eligible to be applied upon issuance on March 12, 2020, and can generally be applied through December 31, 2022, but to date, no further updates have occurred that would extend the optional guidance to the full tenor of LIBOR expiration dates occurring after 2022. Management will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8 - Debt</w:t>
      </w:r>
      <w:r>
        <w:rPr>
          <w:rFonts w:ascii="Arial" w:cs="Arial" w:eastAsia="Arial" w:hAnsi="Arial"/>
          <w:sz w:val="17"/>
          <w:szCs w:val="17"/>
          <w:color w:val="auto"/>
        </w:rPr>
        <w:t>.</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 per share for convertible instruments and contracts in an entity’s own equity. The update is effective for fiscal years beginning after December 15, 2021, including interim periods within those fiscal years; early adoption was permitted. Management is evaluating the impacts this update might have on the Company’s consolidated financial statements and disclosures.</w:t>
      </w:r>
    </w:p>
    <w:p>
      <w:pPr>
        <w:spacing w:after="0" w:line="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Management monitors events occurring after the balance sheet date and prior to the issuance of the financial statements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impacts, if any, of events on the financial statements to be issued or disclosures to be made, and has reflected them where appropriate.</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2 - Regulated Operations Plant and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Regulated Operations Plant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regulated operations plant and their respective balances as of December 31, 2021 and 2020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2020</w:t>
            </w:r>
          </w:p>
        </w:tc>
      </w:tr>
      <w:tr>
        <w:trPr>
          <w:trHeight w:val="223"/>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4"/>
          </w:tcPr>
          <w:p>
            <w:pPr>
              <w:jc w:val="right"/>
              <w:ind w:right="230"/>
              <w:spacing w:after="0"/>
              <w:rPr>
                <w:sz w:val="20"/>
                <w:szCs w:val="20"/>
                <w:color w:val="auto"/>
              </w:rPr>
            </w:pPr>
            <w:r>
              <w:rPr>
                <w:rFonts w:ascii="Arial" w:cs="Arial" w:eastAsia="Arial" w:hAnsi="Arial"/>
                <w:sz w:val="18"/>
                <w:szCs w:val="18"/>
                <w:color w:val="auto"/>
                <w:w w:val="96"/>
              </w:rPr>
              <w:t>Southwest Gas Holdings, Inc.*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Southwest Gas Corporation</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plant: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Storage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437,793</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103,874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101,203</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1,917,529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400,657</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7,506,489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7,078,656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7,506,489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7,078,656</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515,879</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Software and software-related intangibles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380,372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380,372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270,883</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w:t>
            </w:r>
          </w:p>
        </w:tc>
      </w:tr>
      <w:tr>
        <w:trPr>
          <w:trHeight w:val="223"/>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10,789,690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8,901,575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8,384,000</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(3,397,736)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(2,419,348)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(2,419,348)</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work in progress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202,068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211,429</w:t>
            </w:r>
          </w:p>
        </w:tc>
      </w:tr>
      <w:tr>
        <w:trPr>
          <w:trHeight w:val="248"/>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regulated operations plant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7,594,022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6,176,081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*Southwest Gas Holdings, Inc. includes the regulated operations plant associated with the Questar Pipelines acquisition.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Regulated operations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2021, 2020, and 2019, annual regulated operations depreciation and amortization expense in regard to Southwest averaged 2.7% of the original cost of depreciable and amortizable property. Transmission and distribution plant are associated with the core natural gas delivery infrastructure, and combined, constitute the majority of gas plant. Annual regulated operations depreciation expense for Southwest averaged approximately 2.3% of the original cost of depreciable transmission and distribution plant during the period 2019 through 2021. Questar Pipelines plant was subject to the business acquisition on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on gas plant, including intangibles,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197,358</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figures above is amortization of regulated operations intangibles of $17.7 million, $13.7 million, and $13.2 million for the years ended December 31, 2021, 2020, and 2019, respectively. The amounts above exclude regulatory asset and liability amortization.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Determinations are made as to whether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up to 5 years, some of which include optional renewal periods. Southwest is currently not a lessor in any significant lease arrangements.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18"/>
          <w:szCs w:val="18"/>
          <w:color w:val="auto"/>
        </w:rPr>
        <w:t>Centuri has operating and finance leases for corporate and field offices, construction equipment, and transportation vehicles. Centuri is currently not a lessor in any significant lease arrangements. Centuri’s leases have remaining lease terms of up to 17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During 2021, the presentation of short-term lease cost changed to include all short-term costs associated with leases with a term of less than one month as compared to the historical presentation of only including short-term lease costs for leases with a duration of over one month and less than one year. The lease costs associated with leases with terms of less than one month were $66.4 million and $67 million for the years ended December 31, 2020 and 2019, respectively. As of December 31, 2021, Centuri executed lease agreements that had not yet commenced. These lease agreements primarily relate to real estate leases that have terms ranging from January 2022 through December 2032. Total future lease payments over the lease terms are approximately $1.7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operating or finance leases acquired on December 31, 2021 as part of the Questar Pipelines acquisition.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r>
      <w:tr>
        <w:trPr>
          <w:trHeight w:val="237"/>
        </w:trPr>
        <w:tc>
          <w:tcPr>
            <w:tcW w:w="6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Centuri:</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12,235</w:t>
            </w:r>
          </w:p>
        </w:tc>
      </w:tr>
      <w:tr>
        <w:trPr>
          <w:trHeight w:val="236"/>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Amortization of ROU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finance lease cost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lease cost - Southwest Gas Holdings,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30,154</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2021, 2020 and 2019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Southwest</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Centuri</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15,413</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3,547</w:t>
            </w:r>
          </w:p>
        </w:tc>
        <w:tc>
          <w:tcPr>
            <w:tcW w:w="40" w:type="dxa"/>
            <w:vAlign w:val="bottom"/>
          </w:tcPr>
          <w:p>
            <w:pPr>
              <w:spacing w:after="0"/>
              <w:rPr>
                <w:sz w:val="19"/>
                <w:szCs w:val="19"/>
                <w:color w:val="auto"/>
              </w:rPr>
            </w:pPr>
          </w:p>
        </w:tc>
      </w:tr>
      <w:tr>
        <w:trPr>
          <w:trHeight w:val="256"/>
        </w:trPr>
        <w:tc>
          <w:tcPr>
            <w:tcW w:w="60" w:type="dxa"/>
            <w:vAlign w:val="bottom"/>
          </w:tcPr>
          <w:p>
            <w:pPr>
              <w:spacing w:after="0"/>
              <w:rPr>
                <w:sz w:val="22"/>
                <w:szCs w:val="22"/>
                <w:color w:val="auto"/>
              </w:rPr>
            </w:pPr>
          </w:p>
        </w:tc>
        <w:tc>
          <w:tcPr>
            <w:tcW w:w="5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w:t>
            </w:r>
          </w:p>
        </w:tc>
        <w:tc>
          <w:tcPr>
            <w:tcW w:w="40" w:type="dxa"/>
            <w:vAlign w:val="bottom"/>
          </w:tcPr>
          <w:p>
            <w:pPr>
              <w:spacing w:after="0"/>
              <w:rPr>
                <w:sz w:val="20"/>
                <w:szCs w:val="20"/>
                <w:color w:val="auto"/>
              </w:rPr>
            </w:pPr>
          </w:p>
        </w:tc>
      </w:tr>
      <w:tr>
        <w:trPr>
          <w:trHeight w:val="890"/>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340" w:type="dxa"/>
            <w:vAlign w:val="bottom"/>
          </w:tcPr>
          <w:p>
            <w:pPr>
              <w:jc w:val="right"/>
              <w:ind w:right="91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0" w:type="dxa"/>
            <w:vAlign w:val="bottom"/>
            <w:tcBorders>
              <w:bottom w:val="single" w:sz="8" w:color="9A9A9A"/>
            </w:tcBorders>
          </w:tcPr>
          <w:p>
            <w:pPr>
              <w:spacing w:after="0"/>
              <w:rPr>
                <w:sz w:val="18"/>
                <w:szCs w:val="18"/>
                <w:color w:val="auto"/>
              </w:rPr>
            </w:pPr>
          </w:p>
        </w:tc>
        <w:tc>
          <w:tcPr>
            <w:tcW w:w="53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Southwest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Centuri</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12,889</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13,655</w:t>
            </w:r>
          </w:p>
        </w:tc>
        <w:tc>
          <w:tcPr>
            <w:tcW w:w="1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r>
      <w:tr>
        <w:trPr>
          <w:trHeight w:val="270"/>
        </w:trPr>
        <w:tc>
          <w:tcPr>
            <w:tcW w:w="5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tcPr>
          <w:p>
            <w:pPr>
              <w:spacing w:after="0"/>
              <w:rPr>
                <w:sz w:val="23"/>
                <w:szCs w:val="23"/>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w:t>
            </w:r>
          </w:p>
        </w:tc>
        <w:tc>
          <w:tcPr>
            <w:tcW w:w="140" w:type="dxa"/>
            <w:vAlign w:val="bottom"/>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0"/>
                <w:szCs w:val="20"/>
                <w:color w:val="auto"/>
              </w:rPr>
            </w:pPr>
          </w:p>
        </w:tc>
      </w:tr>
      <w:tr>
        <w:trPr>
          <w:trHeight w:val="458"/>
        </w:trPr>
        <w:tc>
          <w:tcPr>
            <w:tcW w:w="5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Southwest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Centuri</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1,278</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11,166</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12,444</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r>
      <w:tr>
        <w:trPr>
          <w:trHeight w:val="270"/>
        </w:trPr>
        <w:tc>
          <w:tcPr>
            <w:tcW w:w="5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24,687</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13,839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13,839</w:t>
            </w:r>
          </w:p>
        </w:tc>
      </w:tr>
      <w:tr>
        <w:trPr>
          <w:trHeight w:val="890"/>
        </w:trPr>
        <w:tc>
          <w:tcPr>
            <w:tcW w:w="5320" w:type="dxa"/>
            <w:vAlign w:val="bottom"/>
          </w:tcPr>
          <w:p>
            <w:pPr>
              <w:spacing w:after="0"/>
              <w:rPr>
                <w:sz w:val="24"/>
                <w:szCs w:val="24"/>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53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Supplemental information related to leases, including location in the Consolidated Balance Sheets,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2020</w:t>
            </w:r>
          </w:p>
        </w:tc>
      </w:tr>
      <w:tr>
        <w:trPr>
          <w:trHeight w:val="209"/>
        </w:trPr>
        <w:tc>
          <w:tcPr>
            <w:tcW w:w="7140" w:type="dxa"/>
            <w:vAlign w:val="bottom"/>
          </w:tcPr>
          <w:p>
            <w:pPr>
              <w:ind w:left="20"/>
              <w:spacing w:after="0"/>
              <w:rPr>
                <w:sz w:val="20"/>
                <w:szCs w:val="20"/>
                <w:color w:val="auto"/>
              </w:rPr>
            </w:pPr>
            <w:r>
              <w:rPr>
                <w:rFonts w:ascii="Arial" w:cs="Arial" w:eastAsia="Arial" w:hAnsi="Arial"/>
                <w:sz w:val="18"/>
                <w:szCs w:val="18"/>
                <w:color w:val="auto"/>
              </w:rPr>
              <w:t>Southwest:</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Net regulated operations plant</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2,195</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656</w:t>
            </w: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1,586</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r>
      <w:tr>
        <w:trPr>
          <w:trHeight w:val="257"/>
        </w:trPr>
        <w:tc>
          <w:tcPr>
            <w:tcW w:w="7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4"/>
        </w:trPr>
        <w:tc>
          <w:tcPr>
            <w:tcW w:w="7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property and investments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80,638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81,010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12,185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10,032</w:t>
            </w:r>
          </w:p>
        </w:tc>
      </w:tr>
      <w:tr>
        <w:trPr>
          <w:trHeight w:val="229"/>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72,930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75,247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85,115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85,279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Other property and investments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30,705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8,858</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202</w:t>
            </w: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deferred credits and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20,585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490</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29,443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Finance leases</w:t>
            </w: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7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r>
      <w:tr>
        <w:trPr>
          <w:trHeight w:val="230"/>
        </w:trPr>
        <w:tc>
          <w:tcPr>
            <w:tcW w:w="7140" w:type="dxa"/>
            <w:vAlign w:val="bottom"/>
          </w:tcPr>
          <w:p>
            <w:pPr>
              <w:ind w:left="300"/>
              <w:spacing w:after="0"/>
              <w:rPr>
                <w:sz w:val="20"/>
                <w:szCs w:val="20"/>
                <w:color w:val="auto"/>
              </w:rPr>
            </w:pPr>
            <w:r>
              <w:rPr>
                <w:rFonts w:ascii="Arial" w:cs="Arial" w:eastAsia="Arial" w:hAnsi="Arial"/>
                <w:sz w:val="18"/>
                <w:szCs w:val="18"/>
                <w:color w:val="auto"/>
              </w:rPr>
              <w:t>Finance leases</w:t>
            </w:r>
          </w:p>
        </w:tc>
        <w:tc>
          <w:tcPr>
            <w:tcW w:w="1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are schedules of maturities of lease liabilities as of December 31, 2021:</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Operating Leases</w:t>
            </w: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w w:val="99"/>
              </w:rPr>
              <w:t>Finance Leases</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w:t>
            </w: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9,494</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r>
      <w:tr>
        <w:trPr>
          <w:trHeight w:val="230"/>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6,476</w:t>
            </w:r>
          </w:p>
        </w:tc>
      </w:tr>
      <w:tr>
        <w:trPr>
          <w:trHeight w:val="229"/>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29"/>
        </w:trPr>
        <w:tc>
          <w:tcPr>
            <w:tcW w:w="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102,558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31,013</w:t>
            </w: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29,443</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distribution segment and Centuri encompasses the utility infrastructure services segment. The pipeline and storage segment related to Questar Pipelines was acquired on the last day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acts as an agent for state and local taxing authorities in the collection and remittance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Southwest generally offers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FERC. Southwest provides both the commodity and the related distribution service to nearly all of its approximate 2.2 million customers, and only several hundred customers (who are eligible to secure their own gas) subscribe to transportation-only service. Also, only a few hundred customers have contracts with stated periods.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7" w:name="page88"/>
    <w:bookmarkEnd w:id="87"/>
    <w:p>
      <w:pPr>
        <w:jc w:val="both"/>
        <w:spacing w:after="0" w:line="270" w:lineRule="auto"/>
        <w:rPr>
          <w:sz w:val="20"/>
          <w:szCs w:val="20"/>
          <w:color w:val="auto"/>
        </w:rPr>
      </w:pPr>
      <w:r>
        <w:rPr>
          <w:rFonts w:ascii="Arial" w:cs="Arial" w:eastAsia="Arial" w:hAnsi="Arial"/>
          <w:sz w:val="17"/>
          <w:szCs w:val="17"/>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recognition model. Rate structures under Southwest’s regulation for transportation customers include a combination of volumetric charges and monthly “fixed” charges (including charges commonly referred to as capacity charges, demand charges, or reservation charges) as part of the rate design of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billed through revenue from contracts with customers via existing rates. Such adjustments are recognized monthly in revenue and in the associated regulatory asset/liability accounts in advance of rate adjustments intended to collect or return amounts recognized. Revenues recognized for the adjustment to the benchmarks noted are required to be presented separately from revenues from contracts with customers, and as such, are provided below and identified as related to alternative revenue programs (which excludes recoveries from customers).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Gas operating revenues on the Consolidated Statements of Income of both the Company and Southwest include revenue from contracts with customers, which is shown below disaggregated by customer type, and various categories of revenue: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972,788</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Small commercial</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249,117</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 commercial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48,935</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Industrial/other</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22,074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92,380</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1,497,750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1,385,294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revenue program deferrals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 (a)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w:t>
            </w: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Gas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256" w:lineRule="auto"/>
        <w:tabs>
          <w:tab w:leader="none" w:pos="4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current customer rates that are expected to be returned to customers in future periods. Also includes the impacts of a temporary moratorium on late fees and disconnection for nonpayment during the COVID-19 pandemic and impacts between periods, once lifted; 2020 and 2019 include amounts related to tax reform savings reserves/adjustments.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(a method of recognition based on inputs). Some unit-price contracts contain caps that if encroached, trigger revenue and loss recognition similar to a fixed-price contract model.</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for its customers. These taxes are not included in Utility infrastructure services revenues. Management uses the net classification method to report taxes collected from customers to be remitted to governmental authorities.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Centuri has operations in the U.S. and Canada. The primary focus of Centuri operations is replacement of natural gas distribution pipe and electric service lines, as well as new infrastructure installations. In addition, Centuri performs certain industrial construction activities for various customers and industries. Centuri has two types of agreements with its customers: master services agreements (“MSAs”) and bid contracts. Most of Centuri’s customers supply many of their own materials in order for Centuri to complete its work under the contracts.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determines when a contract exists and revenue recognition may begin. Each work authorization is generally a single performance obligation as Centuri is performing a significant integration service.</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expended effort toward satisfaction of the performance obligation relative to the total expected effort to satisfy it in full. For unit-price contracts, an output method is used to measure progress towards satisfaction of a performance obligation (based on the completion of each unit that is required under the contract).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Actual revenues and project costs can vary, sometimes substantially, from previous estimates due to changes in a variety of factors, including unforeseen circumstances.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cost, and profit are recognized as necessary in the period determined.</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gas construction, electrical construction, and other construction. Gas construction includes work involving previously existing gas pipelines and the installation of new pipelines or service lines. Electrical construction includes work involving installation and maintenance of transmission and distribution lines, including storm restoration services. Other construction includes all other work and can include industrial and water utility services.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Gas infrastructure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1,302,340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1,261,160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1,238,974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power infrastructure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247,717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264,287</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7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Types: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Master services agreement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1,652,978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1,490,009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1,383,377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Bid contract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367,601</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1,750,978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Unit price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1,369,082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1,356,640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1,380,256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contracts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257,798</w:t>
            </w: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Utility infrastructure services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both of which are included within Accounts receivable, net of allowances, and provides information about amounts billed in excess of revenue earned on contracts (contract liabilities), which are included in Other current liabilities as of December 31, 2021 and 2020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214,774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96,996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These contract assets are recoverable from Centuri’s customers based upon various measures of performance, including achievement of certain milestones, completion of specified units or completion of a contract. In addition, many of Centuri’s time and materials arrangements are billed in arrears pursuant to contract terms that are standard within the industry, resulting in contract assets and/or unbilled receivables being recorded, as revenue is recognized in advance of billings. Due to the lag in invoicing associated with contractual provisions (or other economic or market conditions that may impact a customer’s business), Centuri’s ability to bill and subsequently collect amounts due may be impacted. These changes may result in the need to record an estimated valuation allowance to adjust contract asset balances to their net realizable value. During 2021, in connection with the acquisition of Riggs Distler, Centuri recorded $47.5 million of contract assets.</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amounts billed in excess of revenue earned (contract liability) primarily relate to the advance consideration received from customers for which work has not yet been completed. This contract liability balance decreased subsequent to December 31, 2020 due to revenue recognized of approximately $4.5 million that was included in this balance as of January 1, 2021, after which time it became earned and the balance was reduced. This decrease was offset by increases due to cash received, net of revenue recognized during the period related to contracts that commenced during the period, as well as $12.7 million of contract liabilities assumed related to the acquisition of Riggs Distler. See </w:t>
      </w:r>
      <w:r>
        <w:rPr>
          <w:rFonts w:ascii="Arial" w:cs="Arial" w:eastAsia="Arial" w:hAnsi="Arial"/>
          <w:sz w:val="16"/>
          <w:szCs w:val="16"/>
          <w:b w:val="1"/>
          <w:bCs w:val="1"/>
          <w:color w:val="auto"/>
        </w:rPr>
        <w:t>Note 15 - Business Acquisitions</w:t>
      </w:r>
      <w:r>
        <w:rPr>
          <w:rFonts w:ascii="Arial" w:cs="Arial" w:eastAsia="Arial" w:hAnsi="Arial"/>
          <w:sz w:val="16"/>
          <w:szCs w:val="16"/>
          <w:color w:val="auto"/>
        </w:rPr>
        <w:t xml:space="preserve"> for additional information.</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contracts that have an original duration of one year or less, Centuri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0" w:name="page91"/>
    <w:bookmarkEnd w:id="90"/>
    <w:p>
      <w:pPr>
        <w:jc w:val="both"/>
        <w:spacing w:after="0" w:line="279" w:lineRule="auto"/>
        <w:rPr>
          <w:sz w:val="20"/>
          <w:szCs w:val="20"/>
          <w:color w:val="auto"/>
        </w:rPr>
      </w:pPr>
      <w:r>
        <w:rPr>
          <w:rFonts w:ascii="Arial" w:cs="Arial" w:eastAsia="Arial" w:hAnsi="Arial"/>
          <w:sz w:val="17"/>
          <w:szCs w:val="17"/>
          <w:color w:val="auto"/>
        </w:rPr>
        <w:t>As of December 31, 2021, Centuri has 26 contracts with an original duration of more than one year. The aggregate amount of the transaction price allocated to the unsatisfied performance obligations of these contracts as of December 31, 2021 was $105.3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will be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8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273,778</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Related Allowances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Business activity with respect to natural gas utility operations is conducted with customers located within the three-state region of Arizona, Nevada, and California. Southwest’s accounts receivable are short-term in nature, with billing due dates customarily not extending beyond one month, with customers’ credit worthiness assessed upon account creation by evaluation of other utility service or their credit file, and related payment history. Although Southwest seeks generally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notice requirements for disconnection of service, and procedures for actual disconnection and/or reestablishment of service). After disconnection of service, accounts are customarily written off approximately two months after disconnection if the account remains inactive.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gas-cost-related portion of uncollectible accounts. Such amounts are deferred and collected through a surcharge in the ratemaking process. Southwest lifted the moratorium on disconnection of natural gas service for non-payment in Arizona and Nevada in September 2021, which was initiated (at the same time as a moratorium on late fees) in March 2020 in response to the COVID-19 pandemic. The moratorium on disconnection in California ended in November 2021. Southwest recommenced assessing late fees on past-due balances in Arizona and Nevada in April 2021, and in California in August 2021. Southwest is actively working with customers experiencing financial hardship by means of flexible payment options, partnering with assistance agencies and participating in state funded arrearage payment assistance programs. Management continues to monitor expected credit losses in light of the impact of COVID-19. The allowance as of December 31, 2021 reflects the expected impact from the pandemic on balances as of that date, including consideration of customers’ current and future ability to pay those amounts that are due.</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MountainWest’s accounts receivable are also short-term with billing due dates customarily not extending beyond one month. Accounts receivable acquired in the Questar Pipelines acquisition were recorded at their estimated realizable value on December 31, 2021. See </w:t>
      </w:r>
      <w:r>
        <w:rPr>
          <w:rFonts w:ascii="Arial" w:cs="Arial" w:eastAsia="Arial" w:hAnsi="Arial"/>
          <w:sz w:val="18"/>
          <w:szCs w:val="18"/>
          <w:b w:val="1"/>
          <w:bCs w:val="1"/>
          <w:color w:val="auto"/>
        </w:rPr>
        <w:t>Note 15 - Business Acquisitions</w:t>
      </w:r>
      <w:r>
        <w:rPr>
          <w:rFonts w:ascii="Arial" w:cs="Arial" w:eastAsia="Arial" w:hAnsi="Arial"/>
          <w:sz w:val="18"/>
          <w:szCs w:val="18"/>
          <w:color w:val="auto"/>
        </w:rPr>
        <w:t xml:space="preserve"> for additional information.</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accounts receivable are recorded at face amounts less an allowance for doubtful accounts. Centuri’s customers are generally investment-grade gas and electric utility companies for which Centuri has historically recognized an insignificant amount of write-offs. Centuri’s accounts receivable balances carry standard payment terms of up to 60 days. Centuri maintains an allowance that is estimated based on historical collection experience, current and estimated future economic and market conditions, and a review of the current status of each customer's accounts receivable balance. Account balances are monitored at least monthly, and are charged off against the allowance when management determines it is probable the balance will not be recovered. Centuri has not been significantly impacted, nor does it anticipate it will experience significant difficulty in collecting amounts due, given the nature of its customers, as a result of the current environment surrounding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The table below contains information about Southwest’s gas utility customer accounts receivable balance (net of allowance) at December 31, 2021 and 2020, and the percentage of customers in each of the three states, which was consistent with the prior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utility customer accounts receivable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The following table represents Southwest customers by state at December 31, 2021: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60" w:type="dxa"/>
            <w:vAlign w:val="bottom"/>
          </w:tcPr>
          <w:p>
            <w:pPr>
              <w:ind w:left="20"/>
              <w:spacing w:after="0"/>
              <w:rPr>
                <w:sz w:val="20"/>
                <w:szCs w:val="20"/>
                <w:color w:val="auto"/>
              </w:rPr>
            </w:pPr>
            <w:r>
              <w:rPr>
                <w:rFonts w:ascii="Arial" w:cs="Arial" w:eastAsia="Arial" w:hAnsi="Arial"/>
                <w:sz w:val="18"/>
                <w:szCs w:val="18"/>
                <w:color w:val="auto"/>
              </w:rPr>
              <w:t>Percent of customers by state: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Arizona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Nevada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418"/>
        </w:trPr>
        <w:tc>
          <w:tcPr>
            <w:tcW w:w="8460" w:type="dxa"/>
            <w:vAlign w:val="bottom"/>
          </w:tcPr>
          <w:p>
            <w:pPr>
              <w:spacing w:after="0"/>
              <w:rPr>
                <w:sz w:val="20"/>
                <w:szCs w:val="20"/>
                <w:color w:val="auto"/>
              </w:rPr>
            </w:pPr>
            <w:r>
              <w:rPr>
                <w:rFonts w:ascii="Arial" w:cs="Arial" w:eastAsia="Arial" w:hAnsi="Arial"/>
                <w:sz w:val="18"/>
                <w:szCs w:val="18"/>
                <w:color w:val="auto"/>
              </w:rPr>
              <w:t>Southwest activity in the allowance account for uncollectibles is summarized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Allowance for</w:t>
            </w:r>
          </w:p>
        </w:tc>
        <w:tc>
          <w:tcPr>
            <w:tcW w:w="0" w:type="dxa"/>
            <w:vAlign w:val="bottom"/>
          </w:tcPr>
          <w:p>
            <w:pPr>
              <w:spacing w:after="0"/>
              <w:rPr>
                <w:sz w:val="1"/>
                <w:szCs w:val="1"/>
                <w:color w:val="auto"/>
              </w:rPr>
            </w:pPr>
          </w:p>
        </w:tc>
      </w:tr>
      <w:tr>
        <w:trPr>
          <w:trHeight w:val="230"/>
        </w:trPr>
        <w:tc>
          <w:tcPr>
            <w:tcW w:w="8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Uncollectibles</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3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charged to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Accounts written off, less recoveries</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written off, less recoveries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the utility infrastructure services segment (Centuri) had $510.8 million in combined customer accounts and contracts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Both the allowance for uncollectibles and write-offs related to Centuri customers have been insignificant and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5 - Regulatory Assets and Liabilities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is subject to the regulation of the Arizona Corporation Commission (“ACC”), the Public Utilities Commission of Nevada (“PUCN”), the California Public Utilities Commission (“CPUC”), and the FERC. Questar Pipelines is subject to the regulation of the FERC. Accounting policies of both entities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 off. Regulatory liabilities are recorded if it is probable that revenues will be reduced for amounts that will be refunded to customers through the ratemaking process. Management records regulatory assets and liabilities based on decisions of the commissions noted above, including the issuance of regulatory orders and precedents established by these commissions. The regulated operations have generally been successful in seeking recovery of regulatory assets, and regularly file rate cases or other administrative filings in the various jurisdictions, in some cases, to establish the basis for recovering regulatory assets reflected in accounting records.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The following table represents existing regulatory assets and liabilities: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5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color w:val="auto"/>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5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7"/>
              </w:rPr>
              <w:t>Southwest Gas Holdings*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4"/>
              </w:rPr>
              <w:t>Southwest Gas Corporation</w:t>
            </w: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Accrued pension and other postretirement benefit costs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339,356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427,550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339,356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427,550</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purchased gas costs (2)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Settled interest rate hedges (3)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purchased gas costs (4)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Unamortized premium on reacquired debt (5)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17,124</w:t>
            </w: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absence time (9)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Margin, interest- and tax-tracking (10)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4,759</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(12)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r>
      <w:tr>
        <w:trPr>
          <w:trHeight w:val="223"/>
        </w:trPr>
        <w:tc>
          <w:tcPr>
            <w:tcW w:w="5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798,897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541,647</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Deferred purchased gas costs (2)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(54,636)</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removal costs (6)</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(404,000)</w:t>
            </w: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Unamortized gain on reacquired debt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(7,644)</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excess deferred/other taxes and gross-up (8)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(461,023)</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Margin, interest- and property tax-tracking (10)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(17,132)</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other postretirement benefit costs (11)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(12)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regulatory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(406,291)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*Southwest Gas Holdings, Inc. includes the regulatory assets and liabilities acquired as part of the Questar acquisition.</w:t>
      </w:r>
    </w:p>
    <w:p>
      <w:pPr>
        <w:spacing w:after="0" w:line="118" w:lineRule="exact"/>
        <w:rPr>
          <w:sz w:val="20"/>
          <w:szCs w:val="20"/>
          <w:color w:val="auto"/>
        </w:rPr>
      </w:pPr>
    </w:p>
    <w:p>
      <w:pPr>
        <w:ind w:left="180" w:hanging="10"/>
        <w:spacing w:after="0" w:line="258" w:lineRule="auto"/>
        <w:tabs>
          <w:tab w:leader="none" w:pos="6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Included in Deferred charges and other assets on the Consolidated Balance Sheets. Recovery period is greater than five years. (See </w:t>
      </w:r>
      <w:r>
        <w:rPr>
          <w:rFonts w:ascii="Arial" w:cs="Arial" w:eastAsia="Arial" w:hAnsi="Arial"/>
          <w:sz w:val="16"/>
          <w:szCs w:val="16"/>
          <w:b w:val="1"/>
          <w:bCs w:val="1"/>
          <w:color w:val="auto"/>
        </w:rPr>
        <w:t>Note 11 - Pension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Postretirement Benefits</w:t>
      </w:r>
      <w:r>
        <w:rPr>
          <w:rFonts w:ascii="Arial" w:cs="Arial" w:eastAsia="Arial" w:hAnsi="Arial"/>
          <w:sz w:val="16"/>
          <w:szCs w:val="16"/>
          <w:color w:val="auto"/>
        </w:rPr>
        <w:t>).</w:t>
      </w:r>
    </w:p>
    <w:p>
      <w:pPr>
        <w:ind w:left="660" w:hanging="490"/>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with interest.</w:t>
      </w:r>
    </w:p>
    <w:p>
      <w:pPr>
        <w:spacing w:after="0" w:line="5" w:lineRule="exact"/>
        <w:rPr>
          <w:rFonts w:ascii="Arial" w:cs="Arial" w:eastAsia="Arial" w:hAnsi="Arial"/>
          <w:sz w:val="16"/>
          <w:szCs w:val="16"/>
          <w:color w:val="auto"/>
        </w:rPr>
      </w:pPr>
    </w:p>
    <w:p>
      <w:pPr>
        <w:jc w:val="both"/>
        <w:ind w:left="180" w:hanging="10"/>
        <w:spacing w:after="0" w:line="262" w:lineRule="auto"/>
        <w:tabs>
          <w:tab w:leader="none" w:pos="666"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Reflects Questar Pipelines interest rate cash flow hedges entered into in association with the issuance of the $180 million principal balance 4.875% unsecured senior notes due in 2041 that are amortized to interest expense over the life of this debt instrument. The current portion is included in Prepaid and other current assets and the long-term portion is included in Deferred charges and other assets on the Company's December 31, 2021 Consolidated Balance Sheet.</w:t>
      </w:r>
    </w:p>
    <w:p>
      <w:pPr>
        <w:spacing w:after="0" w:line="2" w:lineRule="exact"/>
        <w:rPr>
          <w:rFonts w:ascii="Arial" w:cs="Arial" w:eastAsia="Arial" w:hAnsi="Arial"/>
          <w:sz w:val="15"/>
          <w:szCs w:val="15"/>
          <w:color w:val="auto"/>
        </w:rPr>
      </w:pPr>
    </w:p>
    <w:p>
      <w:pPr>
        <w:ind w:left="660" w:hanging="490"/>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 Balance recovered or refunded on an ongoing basis.</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 Recovered over life of debt instruments.</w:t>
      </w:r>
    </w:p>
    <w:p>
      <w:pPr>
        <w:spacing w:after="0" w:line="5" w:lineRule="exact"/>
        <w:rPr>
          <w:rFonts w:ascii="Arial" w:cs="Arial" w:eastAsia="Arial" w:hAnsi="Arial"/>
          <w:sz w:val="16"/>
          <w:szCs w:val="16"/>
          <w:color w:val="auto"/>
        </w:rPr>
      </w:pPr>
    </w:p>
    <w:p>
      <w:pPr>
        <w:jc w:val="both"/>
        <w:ind w:left="180" w:hanging="10"/>
        <w:spacing w:after="0" w:line="246" w:lineRule="auto"/>
        <w:tabs>
          <w:tab w:leader="none" w:pos="6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In 2021, substantially all incremental amounts relating to Questar Pipelines is also included in Other deferred credits and other long-term liabilities, except $2 million which is included in Other current liabilities on the Company’s Consolidated Balance Sheet.</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on the Consolidated Balance Sheets. Amortized over life of debt instruments.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jc w:val="both"/>
        <w:ind w:left="180" w:hanging="10"/>
        <w:spacing w:after="0" w:line="250" w:lineRule="auto"/>
        <w:tabs>
          <w:tab w:leader="none" w:pos="6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remeasurement/reduction of the net accumulated deferred income tax liability from U.S. tax reform. The reduction (excess accumulated deferred taxes, or “EADIT”)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$29 million in 2021 which is in Other current liabilities. Amount also includes difference in current taxes required to be returned to customers and a separate $2.6 million gross-up related to contributions in aid of construction.</w:t>
      </w:r>
    </w:p>
    <w:p>
      <w:pPr>
        <w:ind w:left="660" w:hanging="490"/>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recovery occurs on a one-year lag basis through the labor loading process. Included in Prepaid and other current assets on the Consolidated Balance</w:t>
      </w:r>
    </w:p>
    <w:p>
      <w:pPr>
        <w:spacing w:after="0" w:line="28"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6"/>
          <w:szCs w:val="16"/>
          <w:color w:val="auto"/>
        </w:rPr>
        <w:t>Sheets.</w:t>
      </w:r>
    </w:p>
    <w:p>
      <w:pPr>
        <w:spacing w:after="0" w:line="5" w:lineRule="exact"/>
        <w:rPr>
          <w:rFonts w:ascii="Arial" w:cs="Arial" w:eastAsia="Arial" w:hAnsi="Arial"/>
          <w:sz w:val="14"/>
          <w:szCs w:val="14"/>
          <w:color w:val="auto"/>
        </w:rPr>
      </w:pPr>
    </w:p>
    <w:p>
      <w:pPr>
        <w:jc w:val="both"/>
        <w:ind w:left="180" w:hanging="10"/>
        <w:spacing w:after="0" w:line="262" w:lineRule="auto"/>
        <w:tabs>
          <w:tab w:leader="none" w:pos="666"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Margin tracking/decoupling mechanisms are alternative revenue programs; revenue associated with under-collections (for the difference between authorized margin levels and amounts billed to customers through rates currently) is recognized as revenue so long as recovery is expected to take place within 24 months. Total category asset balances are included in Prepaid and other current assets and Deferred charges and other assets on the Consolidated Balance Sheets. Total category liability balances are included in Other current liabilities and Other deferred credits and other long-term liabilities.</w:t>
      </w:r>
    </w:p>
    <w:p>
      <w:pPr>
        <w:spacing w:after="0" w:line="2" w:lineRule="exact"/>
        <w:rPr>
          <w:rFonts w:ascii="Arial" w:cs="Arial" w:eastAsia="Arial" w:hAnsi="Arial"/>
          <w:sz w:val="15"/>
          <w:szCs w:val="15"/>
          <w:color w:val="auto"/>
        </w:rPr>
      </w:pPr>
    </w:p>
    <w:p>
      <w:pPr>
        <w:ind w:left="180" w:hanging="10"/>
        <w:spacing w:after="0" w:line="24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a regulatory liability for Questar Pipelines for the collection of postretirement benefit costs allowed in rates in excess of expenses incurred. Included in Other deferred credits and other long-term liabilities on the Company’s December 31, 2021 Consolidated Balance Sheet.</w:t>
      </w:r>
    </w:p>
    <w:p>
      <w:pPr>
        <w:jc w:val="both"/>
        <w:ind w:left="180" w:right="20" w:hanging="10"/>
        <w:spacing w:after="0" w:line="251" w:lineRule="auto"/>
        <w:tabs>
          <w:tab w:leader="none" w:pos="6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color w:val="auto"/>
              </w:rPr>
              <w:t>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716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20" w:type="dxa"/>
            <w:vAlign w:val="bottom"/>
          </w:tcPr>
          <w:p>
            <w:pPr>
              <w:spacing w:after="0"/>
              <w:rPr>
                <w:sz w:val="14"/>
                <w:szCs w:val="14"/>
                <w:color w:val="auto"/>
              </w:rPr>
            </w:pPr>
          </w:p>
        </w:tc>
        <w:tc>
          <w:tcPr>
            <w:tcW w:w="1980" w:type="dxa"/>
            <w:vAlign w:val="bottom"/>
            <w:gridSpan w:val="5"/>
            <w:vMerge w:val="restart"/>
          </w:tcPr>
          <w:p>
            <w:pPr>
              <w:spacing w:after="0"/>
              <w:rPr>
                <w:sz w:val="20"/>
                <w:szCs w:val="20"/>
                <w:color w:val="auto"/>
              </w:rPr>
            </w:pPr>
            <w:r>
              <w:rPr>
                <w:rFonts w:ascii="Arial" w:cs="Arial" w:eastAsia="Arial" w:hAnsi="Arial"/>
                <w:sz w:val="18"/>
                <w:szCs w:val="18"/>
                <w:color w:val="auto"/>
                <w:w w:val="99"/>
              </w:rPr>
              <w:t>Southwest Gas Holdings</w:t>
            </w:r>
          </w:p>
        </w:tc>
        <w:tc>
          <w:tcPr>
            <w:tcW w:w="200" w:type="dxa"/>
            <w:vAlign w:val="bottom"/>
          </w:tcPr>
          <w:p>
            <w:pPr>
              <w:spacing w:after="0"/>
              <w:rPr>
                <w:sz w:val="14"/>
                <w:szCs w:val="14"/>
                <w:color w:val="auto"/>
              </w:rPr>
            </w:pPr>
          </w:p>
        </w:tc>
        <w:tc>
          <w:tcPr>
            <w:tcW w:w="1780" w:type="dxa"/>
            <w:vAlign w:val="bottom"/>
            <w:gridSpan w:val="4"/>
          </w:tcPr>
          <w:p>
            <w:pPr>
              <w:jc w:val="right"/>
              <w:ind w:right="370"/>
              <w:spacing w:after="0" w:line="169" w:lineRule="exact"/>
              <w:rPr>
                <w:sz w:val="20"/>
                <w:szCs w:val="20"/>
                <w:color w:val="auto"/>
              </w:rPr>
            </w:pPr>
            <w:r>
              <w:rPr>
                <w:rFonts w:ascii="Arial" w:cs="Arial" w:eastAsia="Arial" w:hAnsi="Arial"/>
                <w:sz w:val="18"/>
                <w:szCs w:val="18"/>
                <w:color w:val="auto"/>
              </w:rPr>
              <w:t>Southwest Gas</w:t>
            </w:r>
          </w:p>
        </w:tc>
        <w:tc>
          <w:tcPr>
            <w:tcW w:w="0" w:type="dxa"/>
            <w:vAlign w:val="bottom"/>
          </w:tcPr>
          <w:p>
            <w:pPr>
              <w:spacing w:after="0"/>
              <w:rPr>
                <w:sz w:val="1"/>
                <w:szCs w:val="1"/>
                <w:color w:val="auto"/>
              </w:rPr>
            </w:pPr>
          </w:p>
        </w:tc>
      </w:tr>
      <w:tr>
        <w:trPr>
          <w:trHeight w:val="229"/>
        </w:trPr>
        <w:tc>
          <w:tcPr>
            <w:tcW w:w="7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4"/>
          </w:tcPr>
          <w:p>
            <w:pPr>
              <w:jc w:val="right"/>
              <w:ind w:right="47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Regulatory 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8"/>
                <w:szCs w:val="18"/>
                <w:color w:val="auto"/>
                <w:w w:val="93"/>
              </w:rPr>
              <w:t>State mandated public purpose programs (including low income and conservation programs)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15,239</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 (e)</w:t>
            </w:r>
          </w:p>
        </w:tc>
        <w:tc>
          <w:tcPr>
            <w:tcW w:w="1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Infrastructure replacement programs and similar (b) (e)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Environmental compliance programs (c) (e)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tracking mechanism (b)</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40" w:hanging="47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Included in Prepaid and other current assets on the Consolidated Balance Sheets.</w:t>
      </w:r>
    </w:p>
    <w:p>
      <w:pPr>
        <w:spacing w:after="0" w:line="19" w:lineRule="exact"/>
        <w:rPr>
          <w:rFonts w:ascii="Arial" w:cs="Arial" w:eastAsia="Arial" w:hAnsi="Arial"/>
          <w:sz w:val="16"/>
          <w:szCs w:val="16"/>
          <w:color w:val="auto"/>
        </w:rPr>
      </w:pPr>
    </w:p>
    <w:p>
      <w:pPr>
        <w:ind w:left="660" w:hanging="490"/>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Included in Deferred charges and other assets on the Consolidated Balance Sheets.</w:t>
      </w:r>
    </w:p>
    <w:p>
      <w:pPr>
        <w:spacing w:after="0" w:line="5" w:lineRule="exact"/>
        <w:rPr>
          <w:rFonts w:ascii="Arial" w:cs="Arial" w:eastAsia="Arial" w:hAnsi="Arial"/>
          <w:sz w:val="16"/>
          <w:szCs w:val="16"/>
          <w:color w:val="auto"/>
        </w:rPr>
      </w:pPr>
    </w:p>
    <w:p>
      <w:pPr>
        <w:jc w:val="both"/>
        <w:ind w:left="180" w:right="20" w:hanging="10"/>
        <w:spacing w:after="0" w:line="246" w:lineRule="auto"/>
        <w:tabs>
          <w:tab w:leader="none" w:pos="6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2021, approximately $5.8 million of these balances included in Prepaid and other current assets and $1 million included in Deferred charges and other assets on the Consolidated Balance Sheets. In 2020, approximately $4.2 million included in Prepaid and other current assets and $998,000 included in Deferred charges and other assets on the Consolidated Balance Sheets.</w:t>
      </w:r>
    </w:p>
    <w:p>
      <w:pPr>
        <w:spacing w:after="0" w:line="1" w:lineRule="exact"/>
        <w:rPr>
          <w:rFonts w:ascii="Arial" w:cs="Arial" w:eastAsia="Arial" w:hAnsi="Arial"/>
          <w:sz w:val="16"/>
          <w:szCs w:val="16"/>
          <w:color w:val="auto"/>
        </w:rPr>
      </w:pPr>
    </w:p>
    <w:p>
      <w:pPr>
        <w:jc w:val="both"/>
        <w:ind w:left="180" w:hanging="10"/>
        <w:spacing w:after="0" w:line="246"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2021, for Southwest Gas Corporation, $6.7 million included in Prepaid and other current assets and $15.2 million included in Deferred charges and other assets on the Consolidated Balance Sheets. For the Company in 2021, $7.7 million included in Prepaid and other current assets and $15.6 million included in Deferred charges and other assets on the Consolidated Balance Sheets. In 2020, $3.6 million included in Prepaid and other current assets and $14.4 million included in Deferred charges and other assets on the Consolidated Balance Sheets.</w:t>
      </w:r>
    </w:p>
    <w:p>
      <w:pPr>
        <w:spacing w:after="0" w:line="1" w:lineRule="exact"/>
        <w:rPr>
          <w:rFonts w:ascii="Arial" w:cs="Arial" w:eastAsia="Arial" w:hAnsi="Arial"/>
          <w:sz w:val="16"/>
          <w:szCs w:val="16"/>
          <w:color w:val="auto"/>
        </w:rPr>
      </w:pPr>
    </w:p>
    <w:p>
      <w:pPr>
        <w:ind w:left="640" w:hanging="47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Balance recovered or refunded on an ongoing basis, generally with interest.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color w:val="auto"/>
              </w:rPr>
              <w:t>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14"/>
                <w:szCs w:val="14"/>
                <w:color w:val="auto"/>
              </w:rPr>
            </w:pPr>
          </w:p>
        </w:tc>
        <w:tc>
          <w:tcPr>
            <w:tcW w:w="1980" w:type="dxa"/>
            <w:vAlign w:val="bottom"/>
            <w:gridSpan w:val="5"/>
            <w:vMerge w:val="restart"/>
          </w:tcPr>
          <w:p>
            <w:pPr>
              <w:spacing w:after="0"/>
              <w:rPr>
                <w:sz w:val="20"/>
                <w:szCs w:val="20"/>
                <w:color w:val="auto"/>
              </w:rPr>
            </w:pPr>
            <w:r>
              <w:rPr>
                <w:rFonts w:ascii="Arial" w:cs="Arial" w:eastAsia="Arial" w:hAnsi="Arial"/>
                <w:sz w:val="18"/>
                <w:szCs w:val="18"/>
                <w:color w:val="auto"/>
                <w:w w:val="99"/>
              </w:rPr>
              <w:t>Southwest Gas Holdings</w:t>
            </w:r>
          </w:p>
        </w:tc>
        <w:tc>
          <w:tcPr>
            <w:tcW w:w="200" w:type="dxa"/>
            <w:vAlign w:val="bottom"/>
          </w:tcPr>
          <w:p>
            <w:pPr>
              <w:spacing w:after="0"/>
              <w:rPr>
                <w:sz w:val="14"/>
                <w:szCs w:val="14"/>
                <w:color w:val="auto"/>
              </w:rPr>
            </w:pPr>
          </w:p>
        </w:tc>
        <w:tc>
          <w:tcPr>
            <w:tcW w:w="1820" w:type="dxa"/>
            <w:vAlign w:val="bottom"/>
            <w:gridSpan w:val="4"/>
          </w:tcPr>
          <w:p>
            <w:pPr>
              <w:jc w:val="right"/>
              <w:ind w:right="370"/>
              <w:spacing w:after="0" w:line="169" w:lineRule="exact"/>
              <w:rPr>
                <w:sz w:val="20"/>
                <w:szCs w:val="20"/>
                <w:color w:val="auto"/>
              </w:rPr>
            </w:pPr>
            <w:r>
              <w:rPr>
                <w:rFonts w:ascii="Arial" w:cs="Arial" w:eastAsia="Arial" w:hAnsi="Arial"/>
                <w:sz w:val="18"/>
                <w:szCs w:val="18"/>
                <w:color w:val="auto"/>
              </w:rPr>
              <w:t>Southwest Gas</w:t>
            </w:r>
          </w:p>
        </w:tc>
        <w:tc>
          <w:tcPr>
            <w:tcW w:w="0" w:type="dxa"/>
            <w:vAlign w:val="bottom"/>
          </w:tcPr>
          <w:p>
            <w:pPr>
              <w:spacing w:after="0"/>
              <w:rPr>
                <w:sz w:val="1"/>
                <w:szCs w:val="1"/>
                <w:color w:val="auto"/>
              </w:rPr>
            </w:pPr>
          </w:p>
        </w:tc>
      </w:tr>
      <w:tr>
        <w:trPr>
          <w:trHeight w:val="230"/>
        </w:trPr>
        <w:tc>
          <w:tcPr>
            <w:tcW w:w="7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4"/>
          </w:tcPr>
          <w:p>
            <w:pPr>
              <w:jc w:val="right"/>
              <w:ind w:right="49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Regulatory Liabilities: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State mandated public purpose programs (including low income and conservation programs)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 (c)</w:t>
            </w:r>
          </w:p>
        </w:tc>
        <w:tc>
          <w:tcPr>
            <w:tcW w:w="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Environmental compliance programs (c) (d)</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(b) (c)</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40" w:hanging="470"/>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Other current liabilities on the Consolidated Balance Sheets.</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Other deferred credits and other long-term liabilities, except $13,000 which is included included in Other current liabilities on the Consolidated Balance Sheets.</w:t>
      </w:r>
    </w:p>
    <w:p>
      <w:pPr>
        <w:ind w:left="640" w:hanging="470"/>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Balance typically recovered or refunded on an ongoing basis, generally with interest.</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94" w:name="page95"/>
    <w:bookmarkEnd w:id="94"/>
    <w:p>
      <w:pPr>
        <w:ind w:left="660" w:hanging="490"/>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2021 and 2020, included in Other current liabilities on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 ("AOCI")</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provides insight into amounts impacting the Company’s Other comprehensive income (loss), both before and after-tax impacts, within the Consolidated Statements of Comprehensive Income, which also impact Accumulated other comprehensive income (“AOCI”) in the Consolidated Balance Sheets and the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color w:val="auto"/>
              </w:rPr>
              <w:t>Year Ended December 31,</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Before-</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color w:val="auto"/>
              </w:rPr>
              <w:t>Tax (Expense)</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vMerge w:val="restart"/>
          </w:tcPr>
          <w:p>
            <w:pPr>
              <w:jc w:val="center"/>
              <w:ind w:right="48"/>
              <w:spacing w:after="0"/>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or</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3080" w:type="dxa"/>
            <w:vAlign w:val="bottom"/>
          </w:tcPr>
          <w:p>
            <w:pPr>
              <w:ind w:left="20"/>
              <w:spacing w:after="0"/>
              <w:rPr>
                <w:sz w:val="20"/>
                <w:szCs w:val="20"/>
                <w:color w:val="auto"/>
              </w:rPr>
            </w:pPr>
            <w:r>
              <w:rPr>
                <w:rFonts w:ascii="Arial" w:cs="Arial" w:eastAsia="Arial" w:hAnsi="Arial"/>
                <w:sz w:val="13"/>
                <w:szCs w:val="13"/>
                <w:color w:val="auto"/>
              </w:rPr>
              <w:t>(Thousands of dollars)</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Benefit (1)</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14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59,176</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44,974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(57,539)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(71,087)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17,061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(54,026)</w:t>
            </w: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86"/>
        </w:trPr>
        <w:tc>
          <w:tcPr>
            <w:tcW w:w="3080" w:type="dxa"/>
            <w:vAlign w:val="bottom"/>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44,597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33,894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28,751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17,766</w:t>
            </w: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(67,027)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28,077</w:t>
            </w:r>
          </w:p>
        </w:tc>
        <w:tc>
          <w:tcPr>
            <w:tcW w:w="0" w:type="dxa"/>
            <w:vAlign w:val="bottom"/>
          </w:tcPr>
          <w:p>
            <w:pPr>
              <w:spacing w:after="0"/>
              <w:rPr>
                <w:sz w:val="1"/>
                <w:szCs w:val="1"/>
                <w:color w:val="auto"/>
              </w:rPr>
            </w:pPr>
          </w:p>
        </w:tc>
      </w:tr>
      <w:tr>
        <w:trPr>
          <w:trHeight w:val="118"/>
        </w:trPr>
        <w:tc>
          <w:tcPr>
            <w:tcW w:w="308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color w:val="auto"/>
              </w:rPr>
              <w:t>Pension plans other comprehensive income</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12,570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8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79"/>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18"/>
        </w:trPr>
        <w:tc>
          <w:tcPr>
            <w:tcW w:w="30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Total other comprehensive income (loss) –</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18,712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(6,102)</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15"/>
        </w:trPr>
        <w:tc>
          <w:tcPr>
            <w:tcW w:w="3080" w:type="dxa"/>
            <w:vAlign w:val="bottom"/>
          </w:tcPr>
          <w:p>
            <w:pPr>
              <w:ind w:left="360"/>
              <w:spacing w:after="0" w:line="115" w:lineRule="exact"/>
              <w:rPr>
                <w:sz w:val="20"/>
                <w:szCs w:val="20"/>
                <w:color w:val="auto"/>
              </w:rPr>
            </w:pPr>
            <w:r>
              <w:rPr>
                <w:rFonts w:ascii="Arial" w:cs="Arial" w:eastAsia="Arial" w:hAnsi="Arial"/>
                <w:sz w:val="13"/>
                <w:szCs w:val="13"/>
                <w:color w:val="auto"/>
              </w:rPr>
              <w:t>Foreign currency other comprehensive</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6"/>
        </w:trPr>
        <w:tc>
          <w:tcPr>
            <w:tcW w:w="3080" w:type="dxa"/>
            <w:vAlign w:val="bottom"/>
          </w:tcPr>
          <w:p>
            <w:pPr>
              <w:ind w:left="440"/>
              <w:spacing w:after="0"/>
              <w:rPr>
                <w:sz w:val="20"/>
                <w:szCs w:val="20"/>
                <w:color w:val="auto"/>
              </w:rPr>
            </w:pPr>
            <w:r>
              <w:rPr>
                <w:rFonts w:ascii="Arial" w:cs="Arial" w:eastAsia="Arial" w:hAnsi="Arial"/>
                <w:sz w:val="14"/>
                <w:szCs w:val="14"/>
                <w:color w:val="auto"/>
              </w:rPr>
              <w:t>income (loss)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8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Total other comprehensive income (loss) –</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18,732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14,242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(6,159)</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182"/>
        </w:trPr>
        <w:tc>
          <w:tcPr>
            <w:tcW w:w="3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Southwest Gas Holdings, Inc.</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315" w:lineRule="auto"/>
        <w:tabs>
          <w:tab w:leader="none" w:pos="40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Tax amounts are calculated using a 24% rate.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in Other comprehensive income (loss).</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$416,000 of realized losses (net of tax) related to the remaining balance of Southwest’s previously settled FSIRS, included in AOCI at December 31, 2021, will be reclassified into interest expense within the next 3 months (the remainder of the amortization period for the balance) as the related interest payments on long-term debt occur.</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The following table represents a rollforward of AOCI, presented on the Company’s Consolidated Balance Sheets and its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color w:val="auto"/>
                <w:w w:val="95"/>
              </w:rPr>
              <w:t>Defined Benefit Plans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2"/>
              </w:rPr>
              <w:t>FSIRS</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color w:val="auto"/>
              </w:rPr>
              <w:t>Foreign Currency Items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After-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color w:val="auto"/>
              </w:rPr>
              <w:t>Before-Tax</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color w:val="auto"/>
              </w:rPr>
              <w:t>After-Tax</w:t>
            </w: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 (4)</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 (4)</w:t>
            </w:r>
          </w:p>
        </w:tc>
        <w:tc>
          <w:tcPr>
            <w:tcW w:w="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Benefit</w:t>
            </w:r>
          </w:p>
        </w:tc>
        <w:tc>
          <w:tcPr>
            <w:tcW w:w="120" w:type="dxa"/>
            <w:vAlign w:val="bottom"/>
          </w:tcPr>
          <w:p>
            <w:pPr>
              <w:spacing w:after="0"/>
              <w:rPr>
                <w:sz w:val="16"/>
                <w:szCs w:val="16"/>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Beginning Balance AOCI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18,653</w:t>
            </w: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rPr>
                <w:sz w:val="20"/>
                <w:szCs w:val="20"/>
                <w:color w:val="auto"/>
              </w:rPr>
            </w:pPr>
            <w:r>
              <w:rPr>
                <w:rFonts w:ascii="Arial" w:cs="Arial" w:eastAsia="Arial" w:hAnsi="Arial"/>
                <w:sz w:val="14"/>
                <w:szCs w:val="14"/>
                <w:color w:val="auto"/>
              </w:rPr>
              <w:t>Net actuarial gain/(loss)</w:t>
            </w: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59,176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44,974</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adjustments</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15"/>
        </w:trPr>
        <w:tc>
          <w:tcPr>
            <w:tcW w:w="2740" w:type="dxa"/>
            <w:vAlign w:val="bottom"/>
          </w:tcPr>
          <w:p>
            <w:pPr>
              <w:ind w:left="60"/>
              <w:spacing w:after="0" w:line="115" w:lineRule="exact"/>
              <w:rPr>
                <w:sz w:val="20"/>
                <w:szCs w:val="20"/>
                <w:color w:val="auto"/>
              </w:rPr>
            </w:pPr>
            <w:r>
              <w:rPr>
                <w:rFonts w:ascii="Arial" w:cs="Arial" w:eastAsia="Arial" w:hAnsi="Arial"/>
                <w:sz w:val="13"/>
                <w:szCs w:val="13"/>
                <w:color w:val="auto"/>
              </w:rPr>
              <w:t>Other comprehensive income before</w:t>
            </w: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59,176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44,994</w:t>
            </w: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FSIRS amount reclassified from AOCI (1)</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Amortization of prior service cost (2)</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net actuarial loss (2)</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33,894</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Regulatory adjustment (3)</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(88,194)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(67,027)</w:t>
            </w:r>
          </w:p>
        </w:tc>
        <w:tc>
          <w:tcPr>
            <w:tcW w:w="0" w:type="dxa"/>
            <w:vAlign w:val="bottom"/>
          </w:tcPr>
          <w:p>
            <w:pPr>
              <w:spacing w:after="0"/>
              <w:rPr>
                <w:sz w:val="1"/>
                <w:szCs w:val="1"/>
                <w:color w:val="auto"/>
              </w:rPr>
            </w:pPr>
          </w:p>
        </w:tc>
      </w:tr>
      <w:tr>
        <w:trPr>
          <w:trHeight w:val="118"/>
        </w:trPr>
        <w:tc>
          <w:tcPr>
            <w:tcW w:w="27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Net current period other comprehensive</w:t>
            </w: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6"/>
              </w:rPr>
              <w:t>income (loss) attributable to Southwest Gas</w:t>
            </w: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12,570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14,242</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Holdings, Inc.</w:t>
            </w: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rPr>
                <w:sz w:val="20"/>
                <w:szCs w:val="20"/>
                <w:color w:val="auto"/>
              </w:rPr>
            </w:pPr>
            <w:r>
              <w:rPr>
                <w:rFonts w:ascii="Arial" w:cs="Arial" w:eastAsia="Arial" w:hAnsi="Arial"/>
                <w:sz w:val="14"/>
                <w:szCs w:val="14"/>
                <w:color w:val="auto"/>
              </w:rPr>
              <w:t>Ending Balance AOCI December 31, 2021</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(61,182)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(46,497)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(46,761)</w:t>
            </w: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Consolidated Statements of Income.</w:t>
      </w:r>
    </w:p>
    <w:p>
      <w:pPr>
        <w:spacing w:after="0" w:line="22" w:lineRule="exact"/>
        <w:rPr>
          <w:rFonts w:ascii="Arial" w:cs="Arial" w:eastAsia="Arial" w:hAnsi="Arial"/>
          <w:sz w:val="16"/>
          <w:szCs w:val="16"/>
          <w:color w:val="auto"/>
        </w:rPr>
      </w:pPr>
    </w:p>
    <w:p>
      <w:pPr>
        <w:ind w:left="180" w:hanging="10"/>
        <w:spacing w:after="0" w:line="253"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right="20" w:hanging="10"/>
        <w:spacing w:after="0" w:line="257"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Consolidated Balance Sheets).</w:t>
      </w:r>
    </w:p>
    <w:p>
      <w:pPr>
        <w:ind w:left="520" w:hanging="350"/>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Defined Benefit Plans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2"/>
              </w:rPr>
              <w:t>FSIRS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After-</w:t>
            </w:r>
          </w:p>
        </w:tc>
        <w:tc>
          <w:tcPr>
            <w:tcW w:w="14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Before-</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After-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w w:val="92"/>
              </w:rPr>
              <w:t>Before-Tax</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3"/>
                <w:szCs w:val="13"/>
                <w:color w:val="auto"/>
              </w:rPr>
              <w:t>(Thousands of dollars)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Benefit (9)</w:t>
            </w:r>
          </w:p>
        </w:tc>
        <w:tc>
          <w:tcPr>
            <w:tcW w:w="16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2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18,653</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actuarial gain/(loss)</w:t>
            </w: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59,176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44,974</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44,974</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FSIRS amount reclassified from AOCI (6)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Amortization of net actuarial loss (7)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33,894</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(67,027)</w:t>
            </w:r>
          </w:p>
        </w:tc>
        <w:tc>
          <w:tcPr>
            <w:tcW w:w="0" w:type="dxa"/>
            <w:vAlign w:val="bottom"/>
          </w:tcPr>
          <w:p>
            <w:pPr>
              <w:spacing w:after="0"/>
              <w:rPr>
                <w:sz w:val="1"/>
                <w:szCs w:val="1"/>
                <w:color w:val="auto"/>
              </w:rPr>
            </w:pPr>
          </w:p>
        </w:tc>
      </w:tr>
      <w:tr>
        <w:trPr>
          <w:trHeight w:val="115"/>
        </w:trPr>
        <w:tc>
          <w:tcPr>
            <w:tcW w:w="4080" w:type="dxa"/>
            <w:vAlign w:val="bottom"/>
          </w:tcPr>
          <w:p>
            <w:pPr>
              <w:ind w:left="20"/>
              <w:spacing w:after="0" w:line="115" w:lineRule="exact"/>
              <w:rPr>
                <w:sz w:val="20"/>
                <w:szCs w:val="20"/>
                <w:color w:val="auto"/>
              </w:rPr>
            </w:pPr>
            <w:r>
              <w:rPr>
                <w:rFonts w:ascii="Arial" w:cs="Arial" w:eastAsia="Arial" w:hAnsi="Arial"/>
                <w:sz w:val="13"/>
                <w:szCs w:val="13"/>
                <w:color w:val="auto"/>
              </w:rPr>
              <w:t>Net current period other comprehensive income (loss) attributable to</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(3,968)</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12,570</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14,222</w:t>
            </w:r>
          </w:p>
        </w:tc>
        <w:tc>
          <w:tcPr>
            <w:tcW w:w="0" w:type="dxa"/>
            <w:vAlign w:val="bottom"/>
          </w:tcPr>
          <w:p>
            <w:pPr>
              <w:spacing w:after="0"/>
              <w:rPr>
                <w:sz w:val="1"/>
                <w:szCs w:val="1"/>
                <w:color w:val="auto"/>
              </w:rPr>
            </w:pPr>
          </w:p>
        </w:tc>
      </w:tr>
      <w:tr>
        <w:trPr>
          <w:trHeight w:val="186"/>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Southwest Gas Corporation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(46,913)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hanging="350"/>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Consolidated Statements of Income.</w:t>
      </w:r>
    </w:p>
    <w:p>
      <w:pPr>
        <w:spacing w:after="0" w:line="19" w:lineRule="exact"/>
        <w:rPr>
          <w:rFonts w:ascii="Arial" w:cs="Arial" w:eastAsia="Arial" w:hAnsi="Arial"/>
          <w:sz w:val="16"/>
          <w:szCs w:val="16"/>
          <w:color w:val="auto"/>
        </w:rPr>
      </w:pPr>
    </w:p>
    <w:p>
      <w:pPr>
        <w:ind w:left="180" w:hanging="10"/>
        <w:spacing w:after="0" w:line="246" w:lineRule="auto"/>
        <w:tabs>
          <w:tab w:leader="none" w:pos="5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11 - Pension and Other Postretirement Benefits</w:t>
      </w:r>
      <w:r>
        <w:rPr>
          <w:rFonts w:ascii="Arial" w:cs="Arial" w:eastAsia="Arial" w:hAnsi="Arial"/>
          <w:sz w:val="16"/>
          <w:szCs w:val="16"/>
          <w:color w:val="auto"/>
        </w:rPr>
        <w:t xml:space="preserve"> for additional details).</w:t>
      </w:r>
    </w:p>
    <w:p>
      <w:pPr>
        <w:ind w:left="180" w:hanging="10"/>
        <w:spacing w:after="0" w:line="246" w:lineRule="auto"/>
        <w:tabs>
          <w:tab w:leader="none" w:pos="5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Deferred charges and other assets on Southwest’s Consolidated Balance Sheets).</w:t>
      </w:r>
    </w:p>
    <w:p>
      <w:pPr>
        <w:ind w:left="520" w:hanging="350"/>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6" w:name="page97"/>
    <w:bookmarkEnd w:id="96"/>
    <w:p>
      <w:pPr>
        <w:ind w:right="520"/>
        <w:spacing w:after="0" w:line="273"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(502,783)</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427,550</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(77,720)</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11 - Pension and Other Postretirement Benefits</w:t>
      </w:r>
      <w:r>
        <w:rPr>
          <w:rFonts w:ascii="Arial" w:cs="Arial" w:eastAsia="Arial" w:hAnsi="Arial"/>
          <w:sz w:val="18"/>
          <w:szCs w:val="18"/>
          <w:color w:val="auto"/>
        </w:rPr>
        <w:t xml:space="preserve"> for more information on the defined benefit pension plans and </w:t>
      </w:r>
      <w:r>
        <w:rPr>
          <w:rFonts w:ascii="Arial" w:cs="Arial" w:eastAsia="Arial" w:hAnsi="Arial"/>
          <w:sz w:val="18"/>
          <w:szCs w:val="18"/>
          <w:b w:val="1"/>
          <w:bCs w:val="1"/>
          <w:color w:val="auto"/>
        </w:rPr>
        <w:t>Note 1 - Background,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color w:val="auto"/>
        </w:rPr>
        <w:t>for more information on the FSIRS.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awards to be issued in shares of Southwest Gas Holdings, Inc.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There was no activity in the program during the quarter ended December 31, 2021. The following table provides the life-to-date activity under the Equity Shelf Program for the period ended December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158,180,343</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(1,581,803)</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156,598,540</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2,302,407</w:t>
            </w:r>
          </w:p>
        </w:tc>
        <w:tc>
          <w:tcPr>
            <w:tcW w:w="0" w:type="dxa"/>
            <w:vAlign w:val="bottom"/>
          </w:tcPr>
          <w:p>
            <w:pPr>
              <w:spacing w:after="0"/>
              <w:rPr>
                <w:sz w:val="1"/>
                <w:szCs w:val="1"/>
                <w:color w:val="auto"/>
              </w:rPr>
            </w:pP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the Company had up to $341,819,657 of common stock available for future issuance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twelve months ended December 31, 2021 were contributed to, and reflected in the records of, Southwest (as a capital contribution from Southwest Gas Holdings, Inc.).</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Aside from the equity shelf registration, in December 2020, the Company and Southwest jointly filed with the SEC an automatic shelf registration statement (File No. 333-251074),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depository shares, warrants to purchase common stock, preferred stock or depository shares issued by the Company or debt securities issued by the Company or Southwest, units and rights. Additionally as part of the Universal Shelf, Southwest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March 31, 2021, the Company sold essentially all of the remaining common stock available for sale under a previously effective equity shelf program.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During 2021, the Company issued approximately 48,000 shares of common stock through the Restricted Stock/Unit Plan and Omnibus Incentive Plan.</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2021, the Company issued 173,000 shares of common stock through the Dividend Reinvestment and Stock Purchase Plan, raising proceeds of approximately $11.8 million.</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7" w:name="page98"/>
    <w:bookmarkEnd w:id="97"/>
    <w:p>
      <w:pPr>
        <w:jc w:val="both"/>
        <w:spacing w:after="0" w:line="342" w:lineRule="auto"/>
        <w:rPr>
          <w:sz w:val="20"/>
          <w:szCs w:val="20"/>
          <w:color w:val="auto"/>
        </w:rPr>
      </w:pPr>
      <w:r>
        <w:rPr>
          <w:rFonts w:ascii="Arial" w:cs="Arial" w:eastAsia="Arial" w:hAnsi="Arial"/>
          <w:sz w:val="16"/>
          <w:szCs w:val="16"/>
          <w:color w:val="auto"/>
        </w:rPr>
        <w:t>As of December 31, 2021, there were 4.3 million shares of common stock registered and available for issuance under the provisions of the various stock issuance plans, which does not include the amount of common stock available that is separately disclosed with respect to the Equity Shelf Program above.</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10, 2021, the Company’s Board authorized and declared a dividend of one preferred stock purchase right (a “Right”) for each share of common stock outstanding, $1 par value per share, of the Company to stockholders of record at the close of business on October 21, 2021. Each right entitles the registered holder to purchase from the Company one ten-thousandth (a “unit”) of a share of Series A Junior Participating Preferred Stock, no par value per share, of the Company at a purchase price of $321.70 per unit, subject to adjustment. Generally, the Rights become exercisable in the event any person or group of affiliated or associated persons acquires beneficial ownership of 10% (20% in the case of a passive institutional investor) or more of the Company’s common stock without the approval of the Board, and until such time, are inseparable from and trade with the Company’s common stock. The Rights have a de minimis fair value. The Rights were issued pursuant to the Rights Agreement dated October 10, 2021 (the “Rights Agreement”), between the Company and Equiniti Trust Company, as rights agent. The Rights expire at the close of business on October 9, 2022 or upon an earlier merger or other acquisition transaction involving the Company, redemption, or exchange as provided in the Rights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debt is recognized in the Company’s and Southwest’s Consolidated Balance Sheets generally at the carrying value of the obligations outstanding. However, details surrounding the fair value and individual carrying values of instruments are discussed below and provided in the table that follows.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Carrying amounts of long-term debt and related estimated fair values as of December 31, 2021 and 2020 are disclosed in the following table. The fair value hierarchy is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9"/>
              </w:rPr>
              <w:t>Carrying</w:t>
            </w:r>
          </w:p>
        </w:tc>
        <w:tc>
          <w:tcPr>
            <w:tcW w:w="34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166,380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174,858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3.875%, due 2022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258,825</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4.875%, due 2043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307,538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317,190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 due 2046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347,046</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344,553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4.15%, due 2049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370,278</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2.2%, due 2030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440,838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474,552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3.18%, due 2051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7.78% series, due 2022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33,802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(19,959)</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2,387,541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2,089,678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Tax-exempt Series A, due 2028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2003 Series A, due 2038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2008 Series A, due 2038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 Series A, due 2039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198,062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 total 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2,440,603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Southwest Gas Holdings, Inc.: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term loan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1,117,138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1,117,841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103,329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103,749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26,626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26,645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MountainWest unsecured senior notes, 3.53%, due in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MountainWest unsecured senior notes, 4.875%, due in 2041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199,926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MountainWest unsecured senior notes, 3.91%, due in 2038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Other debt obligations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51,665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81,973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Holdings, Inc. total 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4,115,684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2,732,200</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99" w:name="page100"/>
    <w:bookmarkEnd w:id="99"/>
    <w:p>
      <w:pPr>
        <w:jc w:val="both"/>
        <w:spacing w:after="0" w:line="271" w:lineRule="auto"/>
        <w:rPr>
          <w:sz w:val="20"/>
          <w:szCs w:val="20"/>
          <w:color w:val="auto"/>
        </w:rPr>
      </w:pPr>
      <w:r>
        <w:rPr>
          <w:rFonts w:ascii="Arial" w:cs="Arial" w:eastAsia="Arial" w:hAnsi="Arial"/>
          <w:sz w:val="17"/>
          <w:szCs w:val="17"/>
          <w:color w:val="auto"/>
        </w:rPr>
        <w:t>The fair values of Southwest's and the Company’s revolving credit facilities and Southwest’s Industrial Development Revenue Bonds (“IDRBs”) are categorized as Level 1 based on the FASB’s fair value hierarchy, due to the ability to access similar debt arrangements at measurement dates with comparable terms, including variable/market rates. Additionally, Southwest’s revolving credit facility and IDRBs have interest rates that reset frequently. The fair values of Southwest’s debentures (which include senior and medium-term notes) and the Company's term loan facility and unsecured senior notes as of December 31, 2021 were determined utilizing a market-based valuation approach, where fair values are determined based on evaluated pricing data, and as such are categorized as Level 2 in the hierarchy. Prior to amending its secured revolving credit and term loan facility in the third quarter 2021 (see below), the Company’s credit facility as it relates to Centuri was categorized as Level 3, as fair values were based on a conventional discounted cash flow methodology utilizing current market pricing yield curves.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(as updated per its amended agreement below), plus in each case an applicable margin that is determined based on Southwest’s senior unsecured debt rating. At December 31, 2021, $130 million was outstanding on the long-term portion (no borrowings were outstanding under the commercial paper program discussed below). The effective interest rate on the long-term portion of the credit facility was 1.24% at December 31, 2021. Borrowings under the credit facility ranged from none at various times throughout 2021 to a high of $275 million during the first quarter of 2021.</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28, 2021, Southwest amended its credit facility agreement; total borrowing capacity under the amended agreement remained at $400 million. The amended agreement replaced the LIBOR interest rate benchmark with the SOFR interest rate benchmark. Under the amended agreement, the applicable margin ranges from 0.750% to 1.500% for loans bearing interest with reference to SOFR and from 0.000% to 0.500% for loans bearing interest with reference to an alternative base rate. At December 31, 2021, the applicable margin is 1.125% for loans with reference to SOFR and 0.125% for loans bearing interest with reference to the alternative base rate. Southwest is also required to pay a commitment fee on the unfunded portion of the commitments based on its senior unsecured long-term debt rating. The commitment fee on the unfunded portion of the commitments ranges from 0.075% to 0.200% per annum, and was not significant for the year ended December 31, 2021. The amended agreement contains certain representations and warranties and affirmative and negative covenants similar to those contained in the previous agreement. In addition, the amended agreement contains a financial covenant requiring Southwest to maintain a ratio of funded debt to total capitalization not to exceed 0.70 to 1.00 as of the end of any quarter of any fiscal year.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current revolving credit facility and, therefore, do not represent additional borrowing capacity. Borrowings under the commercial paper program are designated as long-term debt. Interest rates for the program are calculated at the then current commercial paper rate. At December 31, 2021, as noted above, no borrowings were outstanding under the commercial paper program.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Southwest issued $300 million aggregate principal amount of 3.18% Senior Notes at a discount of 0.019%. The notes will mature in August 2051. Southwest used the net proceeds from the offering to repay the outstanding balance under its credit facility, with the remaining net proceeds used for general corporate purposes.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August 27, 2021, Centuri, in association with the acquisition of Riggs Distler (see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entered into an amended and restated credit agreement. The agreement provided for a $1.145 billion secured term loan facility, at a discount of 1.00%, and a $400 million secured revolving credit facility; the combined facility, in addition to funding the Riggs Distler acquisition, refinanced the previous $590 million loan facility. This multi-currency facility allows the borrower to request loan advances in either Canadian dollars or U.S. dollars. Amounts borrowed and repaid under the revolving line of credit portion of the facility are available to be re-borrowed.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The term loan facility matures on August 27, 2028 and the revolving credit facility matures on August 27, 2026.</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rates for the term loan facility and the revolving credit facility are based on either a “base rate” or LIBOR, plus an applicable margin in either case. The term loan facility is also subject to a LIBOR floor of 0.50%. Furthermore, Centuri Canada Division Inc. may borrow under the revolving credit facility with interest rates based on either a “base rate” or the Canadian Dealer Offered Rate (“CDOR”) plus the applicable margin, at the borrower’s option. The margin for the term loan facility will be 1.50% for base rate loans and 2.50% for LIBOR loans. The margin for the revolving credit facility ranges from 0.0% to 1.25% for base rate loans and from 1.00% to 2.25% for LIBOR loans, depending on Centuri’s net leverage ratio. Upon the occurrence of certain events providing for a transition away from LIBOR, or if LIBOR is no longer a widely recognized benchmark rate, Centuri may further amend the credit agreement with a replacement rate as set forth in the amended agreement. Centuri is also required to pay a commitment fee on the unused portion of the commitments. The commitment fee ranges from</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18"/>
          <w:szCs w:val="18"/>
          <w:color w:val="auto"/>
        </w:rPr>
        <w:t>0.150% to 0.35% per annum. The credit agreement contains certain customary representations and warranties, affirmative and negative covenants, and events of default. There are no financial covenants related to the term loan facility. The revolving credit facility requires Centuri to maintain a maximum total net leverage ratio of 5.50 to 1.00 with a step-down to 4.75 to 1.0 on December 31, 2022, and a step-down to 4.00 to 1.00 on December 31, 2023; provided, however, Centuri may elect to increase the maximum total net leverage ratio up to 4.50 to 1.00 in connection with certain material acquisitions, with such increase being applicable for one year following such acquisition; and the agreement also requires Centuri to maintain a minimum interest coverage ratio of 2.50 to 1.00. Centuri’s assets securing the facility at December 31, 2021 totaled $2.5 billion. Borrowings under the secured revolving credit portion of the facility ranged from a low of $103 million to a high of $116 million both during the fourth quarter of 2021. At December 31, 2021, $1.220 billion in borrowings were outstanding under Centuri’s combined secured revolving credit and term loan facility after having, among other things, funded the acquisition of Riggs.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outstanding are considered long-term borrowings. The effective interest rate on the secured revolving credit and term loan facility was 3.0% at December 31, 2021.</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December 31, 2021, the Company assumed a total of $449.7 million (the fair value on the acquisition date of $430 million in aggregate principal related to the debt) consisting of two private placement unsecured senior notes and public unsecured senior notes upon completion of the Questar Pipelines acquisition. Interest rates on the notes range from 3.53% to 4.875%, as depicted in the table above. The Company recorded the assumed debt at fair value as part of the purchase price allocation. See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xml:space="preserve"> for additional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The effective interest rates on Southwest’s variable-rate IDRBs are included in the table below:</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2003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2008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0.90 %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0.83 %</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0.76 %</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Tax-exempt Series A</w:t>
            </w:r>
          </w:p>
        </w:tc>
        <w:tc>
          <w:tcPr>
            <w:tcW w:w="1240" w:type="dxa"/>
            <w:vAlign w:val="bottom"/>
          </w:tcPr>
          <w:p>
            <w:pPr>
              <w:jc w:val="right"/>
              <w:spacing w:after="0"/>
              <w:rPr>
                <w:sz w:val="20"/>
                <w:szCs w:val="20"/>
                <w:color w:val="auto"/>
              </w:rPr>
            </w:pPr>
            <w:r>
              <w:rPr>
                <w:rFonts w:ascii="Arial" w:cs="Arial" w:eastAsia="Arial" w:hAnsi="Arial"/>
                <w:sz w:val="18"/>
                <w:szCs w:val="18"/>
                <w:color w:val="auto"/>
              </w:rPr>
              <w:t>0.92 %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0.87 %</w:t>
            </w:r>
          </w:p>
        </w:tc>
      </w:tr>
    </w:tbl>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Nevada, interest fluctuations due to changing interest rates on Southwest’s 2003 Series A, 2008 Series A, and 2009 Series A variable-rate IDRBs are tracked and recovered from customers through a variable interest expense recovery mechanism.</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None of Southwest’s debt instruments have credit triggers or other clauses that result in default if bond ratings are lowered by rating agencies. Interest and fees on certain debt instruments are subject to adjustment depending on Southwest’s bond ratings. Certain debt instruments are subject to a leverage ratio cap and the 6.1% Notes due 2041 are also subject to a minimum net worth requirement. At December 31, 2021, Southwest was in compliance with all of its covenants. Under the most restrictive of the financial covenants, approximately $2.9 billion in additional debt could be issued while still meeting the leverage ratio requirement. Relating to the minimum net worth requirement, as of December 31, 2021, there is at least $2 billion of cushion in equity. No specific dividend restrictions exist under the collective covenants. None of the debt instruments contain material adverse change clauses.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Centuri debt instruments have leverage ratio caps and fixed charge ratio coverage requirements. At December 31, 2021, Centuri was in compliance with all of its covenants. Under the most restrictive of the covenants, Centuri could issue over $320 million in additional debt and meet the leverage ratio requirement. Centuri has at least $181 million of cushion relating to the minimum fixed charge ratio coverage requirement. Centuri’s covenants limit its ability to provide cash dividends to Southwest Gas Holdings, Inc., its parent. The dividend restriction is equal to a calculated available amount generally defined as 50% of its rolling twelve-month consolidated net income adjusted for certain items, such as parent contribution inflows, Linetec redeemable noncontrolling interest payments, or dividend payments, among other adjustments, as applicable.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Estimated maturities of long-term debt for the next five years 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Debentures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Revolving credit facility and commercial paper</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23"/>
        </w:trPr>
        <w:tc>
          <w:tcPr>
            <w:tcW w:w="3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480,000</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Centuri secured term loan facility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57,250</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Centuri secured revolving credit facility</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w:t>
            </w:r>
          </w:p>
        </w:tc>
      </w:tr>
      <w:tr>
        <w:trPr>
          <w:trHeight w:val="229"/>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debt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49,772</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690,351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Gas Holdings, Inc. has a $200 million credit facility that is primarily used for short-term financing needs. Interest rates for this facility are calculated at either SOFR or the “alternate base rate” (as updated per its amended agreement below), plus in each case an applicable margin that is determined based on the Company’s senior unsecured debt rating. Borrowings under the credit facility ranged from a low of $22 million during the fourth quarter of 2021 to a high of $59 million during the fourth quarter of 2021. There was $59 million and $50 million outstanding under this facility with a weighted average interest rate of 1.323% and 1.225% at December 31, 2021 and 2020, respectively.</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28, 2021, Southwest Gas Holdings, Inc. amended its existing credit facility. The amendment extended the maturity date of the credit facility to December 28, 2026, increased the total commitment amount from $100 million to $200 million, increased the amount which the total commitment may be increased (from $200 million to $300 million), and replaced the LIBOR interest rate benchmark with the SOFR interest rate benchmark. Interest rate benchmarks (SOFR or an alternative) as well as related ranges, including with regard to the applicable margin, largely mirror those included in Southwest’s amended facility agreement noted above, determined in this case based on Southwest Gas Holdings, Inc.’s senior unsecured long-term debt rating. At December 31, 2021, the applicable margin is 1.250% for loans bearing interest with reference to SOFR and 0.250% for loans bearing interest with reference to the alternative base rate. The commitment fee rates, terms and covenants, noted above for Southwest are also applicable to Southwest Gas Holdings, Inc. in its amended credit facility, including the noted ratio of funded debt to total capitalization as of the end of any quarter of any fiscal year. The commitment fee under this credit facility was not significant for the year ended December 31, 2021.</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2021, Southwest entered into a $250 million Term Loan that matures March 22, 2022. The proceeds were used to fund the increased cost of natural gas supply during the month of February 2021, caused by extreme weather conditions in the central U.S. (see Deferred Purchased Gas Costs in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 Interest rates for the term loan are calculated at either LIBOR</w:t>
      </w:r>
      <w:r>
        <w:rPr>
          <w:rFonts w:ascii="Arial" w:cs="Arial" w:eastAsia="Arial" w:hAnsi="Arial"/>
          <w:sz w:val="16"/>
          <w:szCs w:val="16"/>
          <w:b w:val="1"/>
          <w:bCs w:val="1"/>
          <w:color w:val="auto"/>
        </w:rPr>
        <w:t xml:space="preserve"> </w:t>
      </w:r>
      <w:r>
        <w:rPr>
          <w:rFonts w:ascii="Arial" w:cs="Arial" w:eastAsia="Arial" w:hAnsi="Arial"/>
          <w:sz w:val="16"/>
          <w:szCs w:val="16"/>
          <w:color w:val="auto"/>
        </w:rPr>
        <w:t>or an “alternate base rate,” plus in each case an applicable margin that is determined based on Southwest’s senior unsecured long-term debt rating. The applicable margin ranges from 0.550% to 1.000% for loans bearing interest with reference to LIBOR and 0.000% for loans bearing interest with reference to an alternate base rate. The agreement contains a financial covenant requiring Southwest to maintain a ratio of funded debt to total capitalization not to exceed 0.70 to 1.00 as of the end of any quarter of any fiscal year. The weighted average interest rate at December 31, 2021 was 0.800%.</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November 2021, the Company entered into a term loan credit agreement (the “Credit Agreement”). The Credit Agreement provided for a $1.6 billion delayed-draw term loan (the “Term Loan Facility”) to fund and pay fees, commissions, and expenses related to the Term Loan Facility and the acquisition by the Company of the equity interests in Questar Pipelines (refer to </w:t>
      </w:r>
      <w:r>
        <w:rPr>
          <w:rFonts w:ascii="Arial" w:cs="Arial" w:eastAsia="Arial" w:hAnsi="Arial"/>
          <w:sz w:val="17"/>
          <w:szCs w:val="17"/>
          <w:b w:val="1"/>
          <w:bCs w:val="1"/>
          <w:color w:val="auto"/>
        </w:rPr>
        <w:t>Note 15 - Business Acquisitions)</w:t>
      </w:r>
      <w:r>
        <w:rPr>
          <w:rFonts w:ascii="Arial" w:cs="Arial" w:eastAsia="Arial" w:hAnsi="Arial"/>
          <w:sz w:val="17"/>
          <w:szCs w:val="17"/>
          <w:color w:val="auto"/>
        </w:rPr>
        <w:t>. The Term Loan Facility was funded on December 31, 2021, and matures on December 30, 2022. The interest rate for the Term Loan Facility is based on either “base rate” or LIBOR, plus an applicable margin in either case. The applicable margin for the Term Loan Facility is 0% to 0.50% for base rate loans and 0.75% to 1.50% for LIBOR loans, depending on the applicable pricing level in effect. Each of the interest rate spreads will increase by 0.25% at certain time intervals after the funding date. The commitment fee ranges from 0.060% to 0.175% per calendar quarter commencing January 3, 2022, depending on the applicable pricing level in effect. The pricing levels are based on the Company’s senior debt ratings. The interest rate is subject to customary benchmark replacement provisions. The weighted average interest rate at December 31, 2021 was 1.354%.</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representations and warranties, affirmative, negative, and financial covenants and events of default substantially similar to the Company’s existing credit facility. Subject to certain exceptions, after the funding date, the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2" w:name="page103"/>
    <w:bookmarkEnd w:id="102"/>
    <w:p>
      <w:pPr>
        <w:jc w:val="both"/>
        <w:spacing w:after="0" w:line="277" w:lineRule="auto"/>
        <w:rPr>
          <w:sz w:val="20"/>
          <w:szCs w:val="20"/>
          <w:color w:val="auto"/>
        </w:rPr>
      </w:pPr>
      <w:r>
        <w:rPr>
          <w:rFonts w:ascii="Arial" w:cs="Arial" w:eastAsia="Arial" w:hAnsi="Arial"/>
          <w:sz w:val="18"/>
          <w:szCs w:val="18"/>
          <w:color w:val="auto"/>
        </w:rPr>
        <w:t>Company must make a mandatory prepayment from 100% of the net cash proceeds received by the Company or any of its subsidiaries from any debt offerings or equity issuances and/or 100% of the committed amount under any specified acquisition financings.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Southwest Holdings, Inc. was in compliance with all of its credit facility and 364-day Term Loan covenants. Interest and fees on the credit facility and 364-day Term Loan are subject to adjustment depending on its senior debt ratings. The credit facility and 364-day Term Loan are subject to a leverage ratio cap. Under the most restrictive of the financial covenants, approximately $1 billion in additional debt could be issued while still meeting the leverage ratio requirement. No specific dividend restrictions exist under the collective covenants. The credit facility and 364-day Term Loan do not contain material adverse change clauses.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indicated above, under Southwest’s $400 million credit facility, $250 million has been designated by management for working capital purposes. Southwest had no short-term borrowings outstanding at December 31, 2021 and $57 million of short-term borrowings outstanding with weighted average interest rate of 1.10%, at December 31, 2020.</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borrowing of $1.6 billion under the 364-day Term Loan, noted above, to temporarily finance the acquisition of Questar Pipelines created a negative working capital condition of approximately $1.5 billion. At December 31, 2021, total short-term debt was $1.909 billion and current maturities of long-term debt were $297 million. As of March 1, 2022, the Company does not have sufficient liquidity or capital resources to repay this debt at maturity without issuing new debt or equity. Management intends to satisfy these obligations through (i) the issuance of $900 million to $1 billion of equity and equity-linked instruments, (ii) the issuance of approximately $600 million to $700 million of long-term debt to permanently refinance the remaining portion of the 364-day Term Loan, and (iii) the issuance of approximately $600 million of bonds to refinance other current maturities of long-term debt obligations, and for other purposes.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its refinancing plan is probable based on the Company’s ability to generate consistent cash flows, its current credit ratings, its relationships with its lenders and its prior history of successfully raising debt and equity necessary to fund its acquisitions and operations. As such, management has concluded that the Company can satisfy its obligations for at least the next twelve months from the issuance date of these financial statements.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ability to access the capital markets or to otherwise obtain sufficient financing may be affected by future conditions. If the Company is unable to execute its plan to issue equity or refinance debt obligations, the Company’s credit facility could be terminated and amounts due under its revolver and other borrowing arrangements could be declared immediately due and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rates established at LIBOR are scheduled to be discontinued as a benchmark or reference rate after 2021, while other LIBOR-based rates are scheduled to be discontinued after June 2023. As of December 31, 2021, Southwest had $250 million in outstanding borrowings under its Term Loan and $130 million outstanding under its credit facility. At the same time, the Company had $3.2 billion in aggregate outstanding borrowings under Centuri’s combined facility, the Company’s Term Loan Facility, Southwest’s Term Loan, and credit facilities that have interest rates with reference to LIBOR and maturity dates that extend beyond 2021. The Southwest and Southwest Gas Holdings credit facilities were amended on December 28, 2021 to replace LIBOR interest rate benchmarks with SOFR interest rate benchmarks; however, amounts outstanding at December 31, 2021 under these credit facilities were referenced to LIBOR and subsequently repaid shortly after year end. In order to mitigate the impact on financial condition and results of operations to the Company and Southwest, management will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2021, the following share-based compensation plans existed at the Company: an omnibus incentive plan and a restricted stock/unit plan. All share grants in 2021, including time-lapse restricted stock units and performance shares, occurred under the omnibus incentive plan. The table below shows total share-based plan compensation expense which was recognized in the Consolidated Statements of Income: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Share-based compensation plan expense, net of related tax benefits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Share-based compensation plan related tax benefits</w:t>
            </w: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890"/>
        </w:trPr>
        <w:tc>
          <w:tcPr>
            <w:tcW w:w="5180" w:type="dxa"/>
            <w:vAlign w:val="bottom"/>
          </w:tcPr>
          <w:p>
            <w:pPr>
              <w:spacing w:after="0"/>
              <w:rPr>
                <w:sz w:val="24"/>
                <w:szCs w:val="24"/>
                <w:color w:val="auto"/>
              </w:rPr>
            </w:pPr>
          </w:p>
        </w:tc>
        <w:tc>
          <w:tcPr>
            <w:tcW w:w="2520" w:type="dxa"/>
            <w:vAlign w:val="bottom"/>
          </w:tcPr>
          <w:p>
            <w:pPr>
              <w:jc w:val="right"/>
              <w:ind w:right="191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5180" w:type="dxa"/>
            <w:vAlign w:val="bottom"/>
            <w:tcBorders>
              <w:bottom w:val="single" w:sz="8" w:color="9A9A9A"/>
            </w:tcBorders>
          </w:tcPr>
          <w:p>
            <w:pPr>
              <w:spacing w:after="0"/>
              <w:rPr>
                <w:sz w:val="17"/>
                <w:szCs w:val="17"/>
                <w:color w:val="auto"/>
              </w:rPr>
            </w:pPr>
          </w:p>
        </w:tc>
        <w:tc>
          <w:tcPr>
            <w:tcW w:w="2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Omnibus Incentive Plan</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omnibus incentive plan is used to promote the long-term growth and profitability of the Company, including its subsidiaries,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shares, and other equity-based and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 of Directors.</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Performance-based incentive opportunities under the omnibus plan were granted to all officers of Southwest in the form of performance shares and are based, depending on the officer, on consolidated earnings per share, utility net income, and utility return on equity, with an adjustment based on relative total shareholder return, in each case, measured over a three-year performance period. Like other restricted stock/unit programs, shares are restricted based on vesting, and in this case, further subject to future performance determinations against relevant benchmarks. Southwest recorded $3.4 million, $2.8 million, and $2.3 million of estimated compensation expense associated with these shares during 2021, 2020, and 2019,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Stock/Units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stock/units under the restricted stock/unit plan were previously granted to attract, motivate, retain, and reward key employees of the Company with an incentive to attain high levels of individual performance and improved financial performance. The legacy plan was also established to attract, motivate, and retain experienced and knowledgeable directors. As noted above, grants of restricted stock during 2021, were granted under the omnibus incentive plan. All remaining shares under the legacy restricted stock/unit plan (in regard to employees) were issued during 2021; remaining unissued legacy program shares relate solely to directors, and such shares were immediately vested at the time of grant, with distribution to occur when service on the Board ends. No new grants are made under the legacy plan, as all future stock-based incentive compensation, including with regard to restricted stock, is granted under programs of the omnibus incentive plan, which for directors, with advance election, issuance may occur upon grant. Conversely, with regard to management, grants under the omnibus plan are of time-lapse character, with graded vesting (and issuance in the form of common stock) occurring, 40% at the end of year one and 30% at the end of years two and three.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restricted stock/units programs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000" w:type="dxa"/>
            <w:vAlign w:val="bottom"/>
          </w:tcPr>
          <w:p>
            <w:pPr>
              <w:jc w:val="center"/>
              <w:ind w:left="259"/>
              <w:spacing w:after="0"/>
              <w:rPr>
                <w:sz w:val="20"/>
                <w:szCs w:val="20"/>
                <w:color w:val="auto"/>
              </w:rPr>
            </w:pPr>
            <w:r>
              <w:rPr>
                <w:rFonts w:ascii="Arial" w:cs="Arial" w:eastAsia="Arial" w:hAnsi="Arial"/>
                <w:sz w:val="16"/>
                <w:szCs w:val="16"/>
                <w:color w:val="auto"/>
                <w:w w:val="91"/>
              </w:rPr>
              <w:t>Restricted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Weighted-</w:t>
            </w:r>
          </w:p>
        </w:tc>
        <w:tc>
          <w:tcPr>
            <w:tcW w:w="0" w:type="dxa"/>
            <w:vAlign w:val="bottom"/>
          </w:tcPr>
          <w:p>
            <w:pPr>
              <w:spacing w:after="0"/>
              <w:rPr>
                <w:sz w:val="1"/>
                <w:szCs w:val="1"/>
                <w:color w:val="auto"/>
              </w:rPr>
            </w:pPr>
          </w:p>
        </w:tc>
      </w:tr>
      <w:tr>
        <w:trPr>
          <w:trHeight w:val="162"/>
        </w:trPr>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(Thousands of shares)</w:t>
            </w:r>
          </w:p>
        </w:tc>
        <w:tc>
          <w:tcPr>
            <w:tcW w:w="1000" w:type="dxa"/>
            <w:vAlign w:val="bottom"/>
          </w:tcPr>
          <w:p>
            <w:pPr>
              <w:jc w:val="center"/>
              <w:ind w:left="259"/>
              <w:spacing w:after="0" w:line="162" w:lineRule="exact"/>
              <w:rPr>
                <w:sz w:val="20"/>
                <w:szCs w:val="20"/>
                <w:color w:val="auto"/>
              </w:rPr>
            </w:pPr>
            <w:r>
              <w:rPr>
                <w:rFonts w:ascii="Arial" w:cs="Arial" w:eastAsia="Arial" w:hAnsi="Arial"/>
                <w:sz w:val="16"/>
                <w:szCs w:val="16"/>
                <w:color w:val="auto"/>
                <w:w w:val="94"/>
              </w:rPr>
              <w:t>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spacing w:after="0" w:line="162" w:lineRule="exact"/>
              <w:rPr>
                <w:sz w:val="20"/>
                <w:szCs w:val="20"/>
                <w:color w:val="auto"/>
              </w:rPr>
            </w:pPr>
            <w:r>
              <w:rPr>
                <w:rFonts w:ascii="Arial" w:cs="Arial" w:eastAsia="Arial" w:hAnsi="Arial"/>
                <w:sz w:val="16"/>
                <w:szCs w:val="16"/>
                <w:color w:val="auto"/>
                <w:w w:val="92"/>
              </w:rPr>
              <w:t>average grant date</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5"/>
              </w:rPr>
              <w:t>Units (1)</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Nonvested/unissued at December 31, 2020</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401</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62.23</w:t>
            </w: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65.38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 (2)</w:t>
            </w: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Nonvested/unissued at December 31, 2021</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0"/>
        <w:spacing w:after="0" w:line="255" w:lineRule="auto"/>
        <w:tabs>
          <w:tab w:leader="none" w:pos="6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performance shares includes 120,400 granted and 31,400 vested and issued, which was derived by assuming that target performance will be achieved during the relevant performance period.</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shares for retiree payouts and those converted for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all restricted stock/units granted in 2020 and 2019 was $62.23 and $81.75,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total compensation cost related to all nonvested omnibus shares not yet recognized is $5.2 million, which is expected to be recognized over a weighted average period of 1.7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and Southwest are defendants in miscellaneous legal proceedings. They are also parties to various regulatory proceedings. The ultimate dispositions of these proceedings are not presently determinable; however, it is the opinion of management that no litigation or regulatory proceeding to which the Company and Southwest are currently subject will have a material adverse impact on their financial position, results of operations, or cash flows.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liability insurance that covers both Southwest and Questar Pipelines for various risks associated with the operation of the natural gas pipelines and facilities. In connection with these liability insurance policies, each entity is responsible for an initial deductible or self-insured retention amount per incident, after which the insurance carriers would be responsible for amounts up to the policy limits. For the policy year August 2021 to July 2022, these liability insurance policies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4" w:name="page105"/>
    <w:bookmarkEnd w:id="104"/>
    <w:p>
      <w:pPr>
        <w:jc w:val="both"/>
        <w:spacing w:after="0" w:line="277" w:lineRule="auto"/>
        <w:rPr>
          <w:sz w:val="20"/>
          <w:szCs w:val="20"/>
          <w:color w:val="auto"/>
        </w:rPr>
      </w:pPr>
      <w:r>
        <w:rPr>
          <w:rFonts w:ascii="Arial" w:cs="Arial" w:eastAsia="Arial" w:hAnsi="Arial"/>
          <w:sz w:val="18"/>
          <w:szCs w:val="18"/>
          <w:color w:val="auto"/>
        </w:rPr>
        <w:t>require Southwest or Questar Pipelines, as applicable, to be responsible for the first $1 million (self-insured retention) of each incident plus the first $4 million in aggregate claims above its self-insured retention in the policy year.</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maintains liability insurance for various risks associated with its operations. In connection with these liability insurance policies, Centuri is responsible for an initial deductible or self-insured retention amount per occurrence, after which the insurance carriers would be responsible for amounts up to the policy limits. For the policy year May 2021 to April 2022, Centuri is responsible for the first $750,000 (self-insured retention) per occurrence under these liability insurance policies.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2021, natural gas pipe operated by Southwest was involved in an explosion that injured four individuals and damaged property. The explosion was caused by a leak in the pipe, and is under investigation. One of the individuals and his family have formally filed a legal claim against Southwest and other parties. If Southwest is deemed fully or partially responsible, Southwest estimates its exposure could be as much as $5 million (the maximum noted above). For the year ended December 31, 2021, pursuant to Accounting Standards Codification 450, Contingencies, Southwest recorded a $5 million liability related to this incident reflecting the maximum noted above; an estimate of actual loss greater than this exposure (to be covered by insurance) cannot be estimated as of the date these financial statements are issued.</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29, 2021, Icahn Partners LP and Icahn Master Fund LP (collectively, “Icahn”) commenced an action in the Court of Chancery for the State of Delaware. The action is captioned Icahn Partners LP, et al. v. John P. Hester, et al., C.A. No. 2021-1031-KSJM (Del. Ch.). The complaint names the Company and the individual members of the Board as defendants. The complaint seeks to allege breach of fiduciary duty claims and, among other things, seeks declaratory and injunctive relief to (1) limit the scope and manner of certain equity issuances by the Company; (2) allow Icahn to proceed with a Special Meeting proposal at the Company’s 2022 Annual Meeting; and (3) require the Board to approve Icahn’s slate of nominees as “continuing directors” under certain of the Company’s debt instruments. After filing the complaint, Icahn sought a temporary restraining order to prohibit defendants from making certain equity issuances. On December 21, 2021, the Court denied Icahn’s request. On January 19, 2022, the defendants filed a motion to dismiss the claims that were subject to Icahn’s motion for a temporary restraining order. The same day, the defendants filed an answer, denying the remaining claims in Icahn’s complaint. A hearing on the claim regarding a proposal for a Special Meeting is set for March 15, 2022. The Company believes that the claims lack merit and intends to vigorously defend against them.</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18, 2021, the City Pension Fund for Firefighters and Police Officers in the City of Miami Beach commenced a putative class action lawsuit in the Court of Chancery for the State of Delaware on behalf of a putative class of persons who purchased the Company’s stock. The action is captioned City Pension Fund for Firefighters and Police Officers in the City of Miami Beach v. Robert L. Boughner, et al., C.A. No. 2021-0990-KSJM (Del. Ch.). The complaint was later amended on November 30, 2021. The amended complaint names the Company and the individual members of the Board as defendants. The complaint seeks to assert breach of fiduciary duty claims, alleging that the Board’s recommendation that stockholders reject Icahn’s tender offer to purchase shares of the Company’s common stock omitted material information about the Company’s financial analysis; and seeks to have the Board approve Icahn’s slate of nominees as “continuing directors” under certain of the Company’s debt instruments. The Company believes that the claims lack merit and intends to vigorously defend against them.</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an assessment process of commitments and contingencies of any kind, the Company and Southwest may determine that certain costs are likely to be incurred in the future related to specific legal matters. In these circumstances and in accordance with accounting policies, the Company and Southwest will make an accrual, as necessary.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Investment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Employees’ Investment Plan (“EIP”) is offered to eligible employees of Southwest through deduction of a percentage of base compensation, subject to IRS limitations. The EIP provides for purchases of various mutual fund investments and Company common stock. One-half of amounts deferred by existing employees as of December 31, 2021 are matched, up to a maximum matching contribution of 3.5% of an employee’s annual compensation. Employees hired on or after January 1, 2022, will be eligible for enhanced defined contributions as part of the EIP rather than participating in the defined benefit qualified retirement plan. The change is not applicable to employees hired on or before December 31, 2021. Enhanced EIP benefits for employees hired after 2021 will include employer contributions of 3% plus a matching contribution (dollar-for-dollar) up to 7% of eligible compensation. There are no employer matching contributions for officer deferrals into the EIP. Contributions to the plan by Southwest were $6.1 million, $5.9 million, and $5.7 million for 2021, 2020, and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deferred compensation plan is offered to all officers of Southwest and a separate deferred compensation plan is offered to members of the Company’s Board of Directors. The plans provide the opportunity to defer up to 100% of annual cash</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5" w:name="page106"/>
    <w:bookmarkEnd w:id="105"/>
    <w:p>
      <w:pPr>
        <w:jc w:val="both"/>
        <w:spacing w:after="0" w:line="279" w:lineRule="auto"/>
        <w:rPr>
          <w:sz w:val="20"/>
          <w:szCs w:val="20"/>
          <w:color w:val="auto"/>
        </w:rPr>
      </w:pPr>
      <w:r>
        <w:rPr>
          <w:rFonts w:ascii="Arial" w:cs="Arial" w:eastAsia="Arial" w:hAnsi="Arial"/>
          <w:sz w:val="17"/>
          <w:szCs w:val="17"/>
          <w:color w:val="auto"/>
        </w:rPr>
        <w:t>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noncontributory qualified retirement plan with defined benefits covering substantially all Southwest employees hired on or before December 31, 2021 is available, in addition to a separate unfunded supplemental executive retirement plan (“SERP”), which is limited to Southwest’s officers. Postretirement benefits other than pensions (“PBOP”) are provided to qualified retirees for health care, dental, and life insurance benefits. The defined benefit qualified retirement plan, SERP, and PBOP are not available to Southwest employees hired on or after January 1, 2022. As noted above, employees hired on or after that date, are eligible for enhanced contributions to the EIP.</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Accumulated other comprehensive income under Stockholders’ equity, net of tax, until they are amortized as a component of net periodic benefit cost.</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regulatory asset has been established for the portion of the total amounts otherwise chargeable to Accumulated other comprehensive income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qualified retirement plan invests the majority of its plan assets in common collective trusts, which include a well-diversified portfolio of domestic and international equity securities and fixed income securities, and are managed by a professional investment manager appointed by Southwest. The investment manager has full discretionary authority to direct the investment of plan assets held in trust within the specific guidelines prescribed by Southwest through the plan’s investment policy statement. In 2016, Southwest adopted a liability driven investment (“LDI”) strategy for part of the portfolio, a form of investing designed to better match the movement in pension plan assets with the impact of interest rate changes and inflation assumption changes on the pension plan liability. The implementation of the LDI strategy will be phased in over time by using a glide path. The glide path is designed to increase the allocation of the plan’s assets to fixed income securities, as the funded status of the plan increases, in order to more closely match the duration of the plan assets to that of the plan liability. Pension plan assets are held in a Master Trust. The pension plan funding policy is in compliance with the federal government’s funding requirements.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qualified retirement plan. In determining the discount rate, management matches the plan’s projected cash flows to a spot-rate yield curve based on highly rated corporate bonds. Changes to the discount rate from year-to-year, if any, are generally made in increments of 25 basis points.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there continues to persist an historically low interest rate environment, there was a 25 basis point increase in the discount rate between years, as reflected below. The discount rate was a significant contributor to the actuarial losses for the qualified retirement plan, SERP, and PBOP plans in the previous year, when the discount rate, instead, dropped 75 basis points. The methodology utilized to determine the discount rate was consistent with prior years. The weighted-average rate of compensation increased from the prior year by 25 basis points. The asset return assumption (which impacts the following year’s expense) remained consistent with the prior year. The rates are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r>
      <w:tr>
        <w:trPr>
          <w:trHeight w:val="223"/>
        </w:trPr>
        <w:tc>
          <w:tcPr>
            <w:tcW w:w="45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Weighted-average rate of compensation increase</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return assumption</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891"/>
        </w:trPr>
        <w:tc>
          <w:tcPr>
            <w:tcW w:w="4520" w:type="dxa"/>
            <w:vAlign w:val="bottom"/>
          </w:tcPr>
          <w:p>
            <w:pPr>
              <w:spacing w:after="0"/>
              <w:rPr>
                <w:sz w:val="24"/>
                <w:szCs w:val="24"/>
                <w:color w:val="auto"/>
              </w:rPr>
            </w:pPr>
          </w:p>
        </w:tc>
        <w:tc>
          <w:tcPr>
            <w:tcW w:w="4120" w:type="dxa"/>
            <w:vAlign w:val="bottom"/>
          </w:tcPr>
          <w:p>
            <w:pPr>
              <w:jc w:val="right"/>
              <w:ind w:right="2850"/>
              <w:spacing w:after="0"/>
              <w:rPr>
                <w:sz w:val="20"/>
                <w:szCs w:val="20"/>
                <w:color w:val="auto"/>
              </w:rPr>
            </w:pPr>
            <w:r>
              <w:rPr>
                <w:rFonts w:ascii="Arial" w:cs="Arial" w:eastAsia="Arial" w:hAnsi="Arial"/>
                <w:sz w:val="18"/>
                <w:szCs w:val="18"/>
                <w:color w:val="auto"/>
              </w:rPr>
              <w:t>66</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4520" w:type="dxa"/>
            <w:vAlign w:val="bottom"/>
            <w:tcBorders>
              <w:bottom w:val="single" w:sz="8" w:color="9A9A9A"/>
            </w:tcBorders>
          </w:tcPr>
          <w:p>
            <w:pPr>
              <w:spacing w:after="0"/>
              <w:rPr>
                <w:sz w:val="17"/>
                <w:szCs w:val="17"/>
                <w:color w:val="auto"/>
              </w:rPr>
            </w:pPr>
          </w:p>
        </w:tc>
        <w:tc>
          <w:tcPr>
            <w:tcW w:w="41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Future years’ expense level movements (up or down) will continue to be greatly influenced by long-term interest rates, asset returns, and funding levels.</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retirement plan, SERP, and PBOP funded statuses and amounts recognized on the Consolidated Balance Sheets and Consolidated Statements of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Year Ended December 31,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2"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color w:val="auto"/>
              </w:rPr>
              <w:t>PBOP</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2" w:lineRule="exact"/>
              <w:rPr>
                <w:sz w:val="20"/>
                <w:szCs w:val="20"/>
                <w:color w:val="auto"/>
              </w:rPr>
            </w:pPr>
            <w:r>
              <w:rPr>
                <w:rFonts w:ascii="Arial" w:cs="Arial" w:eastAsia="Arial" w:hAnsi="Arial"/>
                <w:sz w:val="14"/>
                <w:szCs w:val="14"/>
                <w:color w:val="auto"/>
                <w:w w:val="97"/>
              </w:rPr>
              <w:t>Qualified</w:t>
            </w:r>
          </w:p>
        </w:tc>
        <w:tc>
          <w:tcPr>
            <w:tcW w:w="1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SERP</w:t>
            </w:r>
          </w:p>
        </w:tc>
        <w:tc>
          <w:tcPr>
            <w:tcW w:w="220" w:type="dxa"/>
            <w:vAlign w:val="bottom"/>
          </w:tcPr>
          <w:p>
            <w:pPr>
              <w:spacing w:after="0"/>
              <w:rPr>
                <w:sz w:val="11"/>
                <w:szCs w:val="11"/>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color w:val="auto"/>
              </w:rPr>
              <w:t>PBOP</w:t>
            </w: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Retirement Plan</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benefit obligations:</w:t>
            </w: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140"/>
              <w:spacing w:after="0" w:line="135" w:lineRule="exact"/>
              <w:rPr>
                <w:sz w:val="20"/>
                <w:szCs w:val="20"/>
                <w:color w:val="auto"/>
              </w:rPr>
            </w:pPr>
            <w:r>
              <w:rPr>
                <w:rFonts w:ascii="Arial" w:cs="Arial" w:eastAsia="Arial" w:hAnsi="Arial"/>
                <w:sz w:val="14"/>
                <w:szCs w:val="14"/>
                <w:color w:val="auto"/>
              </w:rPr>
              <w:t>Benefit obligation for service rendered to date at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1,499,239</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53,631</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82,205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1,329,577</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47,397</w:t>
            </w:r>
          </w:p>
        </w:tc>
        <w:tc>
          <w:tcPr>
            <w:tcW w:w="12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76,111</w:t>
            </w:r>
          </w:p>
        </w:tc>
        <w:tc>
          <w:tcPr>
            <w:tcW w:w="0" w:type="dxa"/>
            <w:vAlign w:val="bottom"/>
          </w:tcPr>
          <w:p>
            <w:pPr>
              <w:spacing w:after="0"/>
              <w:rPr>
                <w:sz w:val="1"/>
                <w:szCs w:val="1"/>
                <w:color w:val="auto"/>
              </w:rPr>
            </w:pPr>
          </w:p>
        </w:tc>
      </w:tr>
      <w:tr>
        <w:trPr>
          <w:trHeight w:val="186"/>
        </w:trPr>
        <w:tc>
          <w:tcPr>
            <w:tcW w:w="3540" w:type="dxa"/>
            <w:vAlign w:val="bottom"/>
          </w:tcPr>
          <w:p>
            <w:pPr>
              <w:ind w:left="300"/>
              <w:spacing w:after="0"/>
              <w:rPr>
                <w:sz w:val="20"/>
                <w:szCs w:val="20"/>
                <w:color w:val="auto"/>
              </w:rPr>
            </w:pPr>
            <w:r>
              <w:rPr>
                <w:rFonts w:ascii="Arial" w:cs="Arial" w:eastAsia="Arial" w:hAnsi="Arial"/>
                <w:sz w:val="14"/>
                <w:szCs w:val="14"/>
                <w:color w:val="auto"/>
              </w:rPr>
              <w:t>beginning of year (PBO/PBO/APBO)</w:t>
            </w:r>
          </w:p>
        </w:tc>
        <w:tc>
          <w:tcPr>
            <w:tcW w:w="1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41,159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34,299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40,432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45,555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loss (gain)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145,440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(58,541)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(2,999)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(4,616)</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 obligation at end of year (PBO/PBO/APBO)</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1,531,197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49,530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84,226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1,499,239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53,631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82,205</w:t>
            </w:r>
          </w:p>
        </w:tc>
        <w:tc>
          <w:tcPr>
            <w:tcW w:w="0" w:type="dxa"/>
            <w:vAlign w:val="bottom"/>
          </w:tcPr>
          <w:p>
            <w:pPr>
              <w:spacing w:after="0"/>
              <w:rPr>
                <w:sz w:val="1"/>
                <w:szCs w:val="1"/>
                <w:color w:val="auto"/>
              </w:rPr>
            </w:pPr>
          </w:p>
        </w:tc>
      </w:tr>
      <w:tr>
        <w:trPr>
          <w:trHeight w:val="166"/>
        </w:trPr>
        <w:tc>
          <w:tcPr>
            <w:tcW w:w="3540" w:type="dxa"/>
            <w:vAlign w:val="bottom"/>
          </w:tcPr>
          <w:p>
            <w:pPr>
              <w:ind w:left="20"/>
              <w:spacing w:after="0"/>
              <w:rPr>
                <w:sz w:val="20"/>
                <w:szCs w:val="20"/>
                <w:color w:val="auto"/>
              </w:rPr>
            </w:pPr>
            <w:r>
              <w:rPr>
                <w:rFonts w:ascii="Arial" w:cs="Arial" w:eastAsia="Arial" w:hAnsi="Arial"/>
                <w:sz w:val="14"/>
                <w:szCs w:val="14"/>
                <w:color w:val="auto"/>
              </w:rPr>
              <w:t>Change in plan assets: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Market value of plan assets at beginning of year</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1,186,433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52,286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974,993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52,838</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Actual return on plan assets</w:t>
            </w:r>
          </w:p>
        </w:tc>
        <w:tc>
          <w:tcPr>
            <w:tcW w:w="16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136,151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7,717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165,072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5,320</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Employer contributions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(58,541)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(2,999)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(5,872)</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Market value of plan assets at end of year</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1,366,043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52,168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1,186,433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52,286</w:t>
            </w:r>
          </w:p>
        </w:tc>
        <w:tc>
          <w:tcPr>
            <w:tcW w:w="0" w:type="dxa"/>
            <w:vAlign w:val="bottom"/>
          </w:tcPr>
          <w:p>
            <w:pPr>
              <w:spacing w:after="0"/>
              <w:rPr>
                <w:sz w:val="1"/>
                <w:szCs w:val="1"/>
                <w:color w:val="auto"/>
              </w:rPr>
            </w:pPr>
          </w:p>
        </w:tc>
      </w:tr>
      <w:tr>
        <w:trPr>
          <w:trHeight w:val="179"/>
        </w:trPr>
        <w:tc>
          <w:tcPr>
            <w:tcW w:w="3540" w:type="dxa"/>
            <w:vAlign w:val="bottom"/>
          </w:tcPr>
          <w:p>
            <w:pPr>
              <w:ind w:left="140"/>
              <w:spacing w:after="0"/>
              <w:rPr>
                <w:sz w:val="20"/>
                <w:szCs w:val="20"/>
                <w:color w:val="auto"/>
              </w:rPr>
            </w:pPr>
            <w:r>
              <w:rPr>
                <w:rFonts w:ascii="Arial" w:cs="Arial" w:eastAsia="Arial" w:hAnsi="Arial"/>
                <w:sz w:val="14"/>
                <w:szCs w:val="14"/>
                <w:color w:val="auto"/>
              </w:rPr>
              <w:t>Funded status at year end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(165,154)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(49,530)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(32,058)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(312,806)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(53,631)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(29,919)</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5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Weighted-average assumptions (benefit obligation):</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Arial" w:cs="Arial" w:eastAsia="Arial" w:hAnsi="Arial"/>
                <w:sz w:val="14"/>
                <w:szCs w:val="14"/>
                <w:color w:val="auto"/>
              </w:rPr>
              <w:t>Discount rate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2.75 %</w:t>
            </w:r>
          </w:p>
        </w:tc>
        <w:tc>
          <w:tcPr>
            <w:tcW w:w="0" w:type="dxa"/>
            <w:vAlign w:val="bottom"/>
          </w:tcPr>
          <w:p>
            <w:pPr>
              <w:spacing w:after="0"/>
              <w:rPr>
                <w:sz w:val="1"/>
                <w:szCs w:val="1"/>
                <w:color w:val="auto"/>
              </w:rPr>
            </w:pPr>
          </w:p>
        </w:tc>
      </w:tr>
      <w:tr>
        <w:trPr>
          <w:trHeight w:val="192"/>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rate of compensation increase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Estimated funding for the plans above during calendar year 2022 is approximately $59 million, of which $56 million pertains to the retirement plan. Management monitors plan assets and liabilities and may, at its discretion, increase plan funding levels above the minimum in order to achieve a desired funded status and avoid or minimize potential benefit restrictions. As a result of the impact of the historically low discount rates at December 31, 2020, Southwest made a discretionary supplemental contribution of $50 million in January 2021, which was intended to mitigate the impacts on the funded status and the increase in pension costs in the prior year, through the ability to provide returns on the increased level of plan investments. As a result, total pension funding in 2021 was $102 million.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accumulated benefit obligation for the retirement plan and the SERP is presented below:</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December 31,</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plan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1,367,179</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SERP</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50,471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Benefits expected to be paid for pension, SERP, and PBOP over the next 10 years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(Millions of dollars)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2027-2031</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SERP</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PBOP</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made that actual funding and benefits paid will match these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PBOP measurement purposes, the per capita cost of the covered health care benefits medical rate trend assumption is 6.0%, declining to 4.5%. Specific contributions are made for health care benefits of employees who retire after 1988, but Southwest pays all covered health care costs for employees who retired prior to 1989. The medical trend rate assumption noted above applies to the benefit obligations of pre-1989 retirees only.</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7" w:name="page108"/>
    <w:bookmarkEnd w:id="107"/>
    <w:p>
      <w:pPr>
        <w:jc w:val="both"/>
        <w:spacing w:after="0" w:line="296" w:lineRule="auto"/>
        <w:rPr>
          <w:sz w:val="20"/>
          <w:szCs w:val="20"/>
          <w:color w:val="auto"/>
        </w:rPr>
      </w:pPr>
      <w:r>
        <w:rPr>
          <w:rFonts w:ascii="Arial" w:cs="Arial" w:eastAsia="Arial" w:hAnsi="Arial"/>
          <w:sz w:val="16"/>
          <w:szCs w:val="16"/>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regulated operations plant, and Deferred charges and other assets for both the Company and Southwest. The non-service cost components of net periodic benefit cost are reflected in Other income (deductions) on the Consolidated Statements of Income of each entity, based on accounting guidance for the presentation of such costs.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spacing w:after="0"/>
              <w:rPr>
                <w:sz w:val="17"/>
                <w:szCs w:val="17"/>
                <w:color w:val="auto"/>
              </w:rPr>
            </w:pPr>
          </w:p>
        </w:tc>
        <w:tc>
          <w:tcPr>
            <w:tcW w:w="3080" w:type="dxa"/>
            <w:vAlign w:val="bottom"/>
            <w:gridSpan w:val="6"/>
          </w:tcPr>
          <w:p>
            <w:pPr>
              <w:ind w:left="640"/>
              <w:spacing w:after="0"/>
              <w:rPr>
                <w:sz w:val="20"/>
                <w:szCs w:val="20"/>
                <w:color w:val="auto"/>
              </w:rPr>
            </w:pPr>
            <w:r>
              <w:rPr>
                <w:rFonts w:ascii="Arial" w:cs="Arial" w:eastAsia="Arial" w:hAnsi="Arial"/>
                <w:sz w:val="16"/>
                <w:szCs w:val="16"/>
                <w:color w:val="auto"/>
              </w:rPr>
              <w:t>Qualified Retirement Plan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6"/>
                <w:szCs w:val="16"/>
                <w:color w:val="auto"/>
              </w:rPr>
              <w:t>SERP</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color w:val="auto"/>
              </w:rPr>
              <w:t>PBOP</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5"/>
              </w:rPr>
              <w:t>2019</w:t>
            </w: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 cost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$41,159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$34,299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$25,864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$1,581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$1,276</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40,432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45,555</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49,006</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1,604</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1,760</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2,193</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2,582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3,046</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(72,352)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(65,296)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(60,244)</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(3,239)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(3,408)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(3,156)</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Amortization of prior service cost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959</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1,155</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1,271</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36,025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22,356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2,642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7"/>
        </w:trPr>
        <w:tc>
          <w:tcPr>
            <w:tcW w:w="2600" w:type="dxa"/>
            <w:vAlign w:val="bottom"/>
          </w:tcPr>
          <w:p>
            <w:pPr>
              <w:ind w:left="140"/>
              <w:spacing w:after="0"/>
              <w:rPr>
                <w:sz w:val="20"/>
                <w:szCs w:val="20"/>
                <w:color w:val="auto"/>
              </w:rPr>
            </w:pPr>
            <w:r>
              <w:rPr>
                <w:rFonts w:ascii="Arial" w:cs="Arial" w:eastAsia="Arial" w:hAnsi="Arial"/>
                <w:sz w:val="16"/>
                <w:szCs w:val="16"/>
                <w:color w:val="auto"/>
              </w:rPr>
              <w:t>Net periodic benefit cost</w:t>
            </w: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$51,194</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$50,583</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$36,982</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$4,599</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$3,798</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$3,046</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$1,604</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$1,910</w:t>
            </w: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$2,437</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assumptions (net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cost)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Discount rate</w:t>
            </w:r>
          </w:p>
        </w:tc>
        <w:tc>
          <w:tcPr>
            <w:tcW w:w="92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166"/>
        </w:trPr>
        <w:tc>
          <w:tcPr>
            <w:tcW w:w="2600" w:type="dxa"/>
            <w:vAlign w:val="bottom"/>
          </w:tcPr>
          <w:p>
            <w:pPr>
              <w:ind w:left="140"/>
              <w:spacing w:after="0" w:line="166" w:lineRule="exact"/>
              <w:rPr>
                <w:sz w:val="20"/>
                <w:szCs w:val="20"/>
                <w:color w:val="auto"/>
              </w:rPr>
            </w:pPr>
            <w:r>
              <w:rPr>
                <w:rFonts w:ascii="Arial" w:cs="Arial" w:eastAsia="Arial" w:hAnsi="Arial"/>
                <w:sz w:val="16"/>
                <w:szCs w:val="16"/>
                <w:color w:val="auto"/>
              </w:rPr>
              <w:t>Weighted-average rate of</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600" w:type="dxa"/>
            <w:vAlign w:val="bottom"/>
          </w:tcPr>
          <w:p>
            <w:pPr>
              <w:ind w:left="300"/>
              <w:spacing w:after="0"/>
              <w:rPr>
                <w:sz w:val="20"/>
                <w:szCs w:val="20"/>
                <w:color w:val="auto"/>
              </w:rPr>
            </w:pPr>
            <w:r>
              <w:rPr>
                <w:rFonts w:ascii="Arial" w:cs="Arial" w:eastAsia="Arial" w:hAnsi="Arial"/>
                <w:sz w:val="16"/>
                <w:szCs w:val="16"/>
                <w:color w:val="auto"/>
              </w:rPr>
              <w:t>compensation increase</w:t>
            </w: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Net Periodic Benefit Cost and Other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color w:val="auto"/>
              </w:rPr>
              <w:t>Year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2021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2019</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9"/>
              </w:rPr>
              <w:t>Qualified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9"/>
              </w:rPr>
              <w:t>Qualified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Arial" w:cs="Arial" w:eastAsia="Arial" w:hAnsi="Arial"/>
                <w:sz w:val="13"/>
                <w:szCs w:val="13"/>
                <w:color w:val="auto"/>
                <w:w w:val="93"/>
              </w:rPr>
              <w:t>Qualified</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vMerge w:val="restart"/>
          </w:tcPr>
          <w:p>
            <w:pPr>
              <w:ind w:left="80"/>
              <w:spacing w:after="0"/>
              <w:rPr>
                <w:sz w:val="20"/>
                <w:szCs w:val="20"/>
                <w:color w:val="auto"/>
              </w:rPr>
            </w:pPr>
            <w:r>
              <w:rPr>
                <w:rFonts w:ascii="Arial" w:cs="Arial" w:eastAsia="Arial" w:hAnsi="Arial"/>
                <w:sz w:val="13"/>
                <w:szCs w:val="13"/>
                <w:color w:val="auto"/>
              </w:rPr>
              <w:t>(Thousands of dollars)</w:t>
            </w:r>
          </w:p>
        </w:tc>
        <w:tc>
          <w:tcPr>
            <w:tcW w:w="16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auto"/>
              </w:rPr>
              <w:t>PBOP</w:t>
            </w:r>
          </w:p>
        </w:tc>
        <w:tc>
          <w:tcPr>
            <w:tcW w:w="1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SERP</w:t>
            </w:r>
          </w:p>
        </w:tc>
        <w:tc>
          <w:tcPr>
            <w:tcW w:w="12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PBOP</w:t>
            </w:r>
          </w:p>
        </w:tc>
        <w:tc>
          <w:tcPr>
            <w:tcW w:w="14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Arial" w:cs="Arial" w:eastAsia="Arial" w:hAnsi="Arial"/>
                <w:sz w:val="13"/>
                <w:szCs w:val="13"/>
                <w:color w:val="auto"/>
                <w:w w:val="88"/>
              </w:rPr>
              <w:t>Retirement</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SERP</w:t>
            </w:r>
          </w:p>
        </w:tc>
        <w:tc>
          <w:tcPr>
            <w:tcW w:w="140" w:type="dxa"/>
            <w:vAlign w:val="bottom"/>
          </w:tcPr>
          <w:p>
            <w:pPr>
              <w:spacing w:after="0"/>
              <w:rPr>
                <w:sz w:val="10"/>
                <w:szCs w:val="10"/>
                <w:color w:val="auto"/>
              </w:rPr>
            </w:pPr>
          </w:p>
        </w:tc>
        <w:tc>
          <w:tcPr>
            <w:tcW w:w="520" w:type="dxa"/>
            <w:vAlign w:val="bottom"/>
            <w:vMerge w:val="restart"/>
          </w:tcPr>
          <w:p>
            <w:pPr>
              <w:jc w:val="right"/>
              <w:ind w:right="109"/>
              <w:spacing w:after="0"/>
              <w:rPr>
                <w:sz w:val="20"/>
                <w:szCs w:val="20"/>
                <w:color w:val="auto"/>
              </w:rPr>
            </w:pPr>
            <w:r>
              <w:rPr>
                <w:rFonts w:ascii="Arial" w:cs="Arial" w:eastAsia="Arial" w:hAnsi="Arial"/>
                <w:sz w:val="13"/>
                <w:szCs w:val="13"/>
                <w:color w:val="auto"/>
                <w:w w:val="88"/>
              </w:rPr>
              <w:t>PBOP</w:t>
            </w:r>
          </w:p>
        </w:tc>
        <w:tc>
          <w:tcPr>
            <w:tcW w:w="0" w:type="dxa"/>
            <w:vAlign w:val="bottom"/>
          </w:tcPr>
          <w:p>
            <w:pPr>
              <w:spacing w:after="0"/>
              <w:rPr>
                <w:sz w:val="1"/>
                <w:szCs w:val="1"/>
                <w:color w:val="auto"/>
              </w:rPr>
            </w:pPr>
          </w:p>
        </w:tc>
      </w:tr>
      <w:tr>
        <w:trPr>
          <w:trHeight w:val="169"/>
        </w:trPr>
        <w:tc>
          <w:tcPr>
            <w:tcW w:w="1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84"/>
              </w:rPr>
              <w:t>Plan</w:t>
            </w: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rPr>
              <w:t>Net actuarial loss</w:t>
            </w: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(59,176)</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(54,892)</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57,539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45,665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7,240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71,087</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66,557</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7,975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(a)</w:t>
            </w: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line="135" w:lineRule="exact"/>
              <w:rPr>
                <w:sz w:val="20"/>
                <w:szCs w:val="20"/>
                <w:color w:val="auto"/>
              </w:rPr>
            </w:pPr>
            <w:r>
              <w:rPr>
                <w:rFonts w:ascii="Arial" w:cs="Arial" w:eastAsia="Arial" w:hAnsi="Arial"/>
                <w:sz w:val="14"/>
                <w:szCs w:val="14"/>
                <w:color w:val="auto"/>
              </w:rPr>
              <w:t>Amortization of prior</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9"/>
              </w:rPr>
              <w:t>(1,155)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86"/>
        </w:trPr>
        <w:tc>
          <w:tcPr>
            <w:tcW w:w="1580" w:type="dxa"/>
            <w:vAlign w:val="bottom"/>
          </w:tcPr>
          <w:p>
            <w:pPr>
              <w:ind w:left="100"/>
              <w:spacing w:after="0"/>
              <w:rPr>
                <w:sz w:val="20"/>
                <w:szCs w:val="20"/>
                <w:color w:val="auto"/>
              </w:rPr>
            </w:pPr>
            <w:r>
              <w:rPr>
                <w:rFonts w:ascii="Arial" w:cs="Arial" w:eastAsia="Arial" w:hAnsi="Arial"/>
                <w:sz w:val="14"/>
                <w:szCs w:val="14"/>
                <w:color w:val="auto"/>
              </w:rPr>
              <w:t>service cost (b)</w:t>
            </w: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Amortization of net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(37,830)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(23,376)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(22,356)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actuarial loss (b)</w:t>
            </w: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(3,479)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(36,944)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0" w:type="dxa"/>
            <w:vAlign w:val="bottom"/>
          </w:tcPr>
          <w:p>
            <w:pPr>
              <w:spacing w:after="0"/>
              <w:rPr>
                <w:sz w:val="1"/>
                <w:szCs w:val="1"/>
                <w:color w:val="auto"/>
              </w:rPr>
            </w:pPr>
          </w:p>
        </w:tc>
      </w:tr>
      <w:tr>
        <w:trPr>
          <w:trHeight w:val="115"/>
        </w:trPr>
        <w:tc>
          <w:tcPr>
            <w:tcW w:w="1580" w:type="dxa"/>
            <w:vAlign w:val="bottom"/>
          </w:tcPr>
          <w:p>
            <w:pPr>
              <w:ind w:left="20"/>
              <w:spacing w:after="0" w:line="115" w:lineRule="exact"/>
              <w:rPr>
                <w:sz w:val="20"/>
                <w:szCs w:val="20"/>
                <w:color w:val="auto"/>
              </w:rPr>
            </w:pPr>
            <w:r>
              <w:rPr>
                <w:rFonts w:ascii="Arial" w:cs="Arial" w:eastAsia="Arial" w:hAnsi="Arial"/>
                <w:sz w:val="13"/>
                <w:szCs w:val="13"/>
                <w:color w:val="auto"/>
              </w:rPr>
              <w:t>Recognized in other</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00"/>
              <w:spacing w:after="0" w:line="135" w:lineRule="exact"/>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(16,538)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(10,651)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(5,887)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11,119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5,435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11,374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4,419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80" w:type="dxa"/>
            <w:vAlign w:val="bottom"/>
          </w:tcPr>
          <w:p>
            <w:pPr>
              <w:ind w:left="10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periodic benefit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costs recognized in net</w:t>
            </w: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57,397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42,465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36,982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580" w:type="dxa"/>
            <w:vAlign w:val="bottom"/>
          </w:tcPr>
          <w:p>
            <w:pPr>
              <w:ind w:left="20"/>
              <w:spacing w:after="0" w:line="115" w:lineRule="exact"/>
              <w:rPr>
                <w:sz w:val="20"/>
                <w:szCs w:val="20"/>
                <w:color w:val="auto"/>
              </w:rPr>
            </w:pPr>
            <w:r>
              <w:rPr>
                <w:rFonts w:ascii="Arial" w:cs="Arial" w:eastAsia="Arial" w:hAnsi="Arial"/>
                <w:sz w:val="13"/>
                <w:szCs w:val="13"/>
                <w:color w:val="auto"/>
              </w:rPr>
              <w:t>Total of amount</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00"/>
              <w:spacing w:after="0" w:line="135" w:lineRule="exact"/>
              <w:rPr>
                <w:sz w:val="20"/>
                <w:szCs w:val="20"/>
                <w:color w:val="auto"/>
              </w:rPr>
            </w:pPr>
            <w:r>
              <w:rPr>
                <w:rFonts w:ascii="Arial" w:cs="Arial" w:eastAsia="Arial" w:hAnsi="Arial"/>
                <w:sz w:val="14"/>
                <w:szCs w:val="14"/>
                <w:color w:val="auto"/>
              </w:rPr>
              <w:t>recognized in net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00"/>
              <w:spacing w:after="0" w:line="135" w:lineRule="exact"/>
              <w:rPr>
                <w:sz w:val="20"/>
                <w:szCs w:val="20"/>
                <w:color w:val="auto"/>
              </w:rPr>
            </w:pPr>
            <w:r>
              <w:rPr>
                <w:rFonts w:ascii="Arial" w:cs="Arial" w:eastAsia="Arial" w:hAnsi="Arial"/>
                <w:sz w:val="14"/>
                <w:szCs w:val="14"/>
                <w:color w:val="auto"/>
              </w:rPr>
              <w:t>periodic benefit cost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00"/>
              <w:spacing w:after="0" w:line="135" w:lineRule="exact"/>
              <w:rPr>
                <w:sz w:val="20"/>
                <w:szCs w:val="20"/>
                <w:color w:val="auto"/>
              </w:rPr>
            </w:pPr>
            <w:r>
              <w:rPr>
                <w:rFonts w:ascii="Arial" w:cs="Arial" w:eastAsia="Arial" w:hAnsi="Arial"/>
                <w:sz w:val="14"/>
                <w:szCs w:val="14"/>
                <w:color w:val="auto"/>
              </w:rPr>
              <w:t>and other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00"/>
              <w:spacing w:after="0" w:line="135" w:lineRule="exact"/>
              <w:rPr>
                <w:sz w:val="20"/>
                <w:szCs w:val="20"/>
                <w:color w:val="auto"/>
              </w:rPr>
            </w:pPr>
            <w:r>
              <w:rPr>
                <w:rFonts w:ascii="Arial" w:cs="Arial" w:eastAsia="Arial" w:hAnsi="Arial"/>
                <w:sz w:val="14"/>
                <w:szCs w:val="14"/>
                <w:color w:val="auto"/>
              </w:rPr>
              <w:t>comprehensive</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40,859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40,543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67,410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56,267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9,233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53,839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41,401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10,001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162"/>
        </w:trPr>
        <w:tc>
          <w:tcPr>
            <w:tcW w:w="1580" w:type="dxa"/>
            <w:vAlign w:val="bottom"/>
          </w:tcPr>
          <w:p>
            <w:pPr>
              <w:ind w:left="100"/>
              <w:spacing w:after="0"/>
              <w:rPr>
                <w:sz w:val="20"/>
                <w:szCs w:val="20"/>
                <w:color w:val="auto"/>
              </w:rPr>
            </w:pPr>
            <w:r>
              <w:rPr>
                <w:rFonts w:ascii="Arial" w:cs="Arial" w:eastAsia="Arial" w:hAnsi="Arial"/>
                <w:sz w:val="14"/>
                <w:szCs w:val="14"/>
                <w:color w:val="auto"/>
              </w:rPr>
              <w:t>(income) loss</w:t>
            </w:r>
          </w:p>
        </w:tc>
        <w:tc>
          <w:tcPr>
            <w:tcW w:w="1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80"/>
        <w:spacing w:after="0" w:line="286" w:lineRule="auto"/>
        <w:rPr>
          <w:sz w:val="20"/>
          <w:szCs w:val="20"/>
          <w:color w:val="auto"/>
        </w:rPr>
      </w:pPr>
      <w:r>
        <w:rPr>
          <w:rFonts w:ascii="Arial" w:cs="Arial" w:eastAsia="Arial" w:hAnsi="Arial"/>
          <w:sz w:val="15"/>
          <w:szCs w:val="15"/>
          <w:color w:val="auto"/>
        </w:rPr>
        <w:t xml:space="preserve">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 See also </w:t>
      </w:r>
      <w:r>
        <w:rPr>
          <w:rFonts w:ascii="Arial" w:cs="Arial" w:eastAsia="Arial" w:hAnsi="Arial"/>
          <w:sz w:val="15"/>
          <w:szCs w:val="15"/>
          <w:b w:val="1"/>
          <w:bCs w:val="1"/>
          <w:color w:val="auto"/>
        </w:rPr>
        <w:t>Note 6 - Other Comprehensive Income and Accumulated Other Comprehensive Income ("AOCI")</w:t>
      </w:r>
      <w:r>
        <w:rPr>
          <w:rFonts w:ascii="Arial" w:cs="Arial" w:eastAsia="Arial" w:hAnsi="Arial"/>
          <w:sz w:val="15"/>
          <w:szCs w:val="15"/>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the fair values of the assets of the qualified pension plan and the PBOP as of December 31, 2021 and 2020. The SERP has no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color w:val="auto"/>
              </w:rPr>
              <w:t>December 31,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4"/>
              </w:rPr>
              <w:t>Qualified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4"/>
              </w:rPr>
              <w:t>Qualified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(Thousands of dollars)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1"/>
              </w:rPr>
              <w:t>Retirement</w:t>
            </w:r>
          </w:p>
        </w:tc>
        <w:tc>
          <w:tcPr>
            <w:tcW w:w="16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color w:val="auto"/>
              </w:rPr>
              <w:t>PBOP</w:t>
            </w:r>
          </w:p>
        </w:tc>
        <w:tc>
          <w:tcPr>
            <w:tcW w:w="2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1"/>
              </w:rPr>
              <w:t>Retirement</w:t>
            </w:r>
          </w:p>
        </w:tc>
        <w:tc>
          <w:tcPr>
            <w:tcW w:w="16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color w:val="auto"/>
              </w:rPr>
              <w:t>PBOP</w:t>
            </w:r>
          </w:p>
        </w:tc>
        <w:tc>
          <w:tcPr>
            <w:tcW w:w="22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Plan</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Plan</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at fair value:</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w w:val="96"/>
              </w:rPr>
              <w:t>Level 1 – Quoted prices in active markets for identical financial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30,358</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Arial" w:cs="Arial" w:eastAsia="Arial" w:hAnsi="Arial"/>
                <w:sz w:val="16"/>
                <w:szCs w:val="16"/>
                <w:color w:val="auto"/>
              </w:rPr>
              <w:t>Total Level 1 Assets (1)</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30,358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30,358</w:t>
            </w:r>
          </w:p>
        </w:tc>
        <w:tc>
          <w:tcPr>
            <w:tcW w:w="0" w:type="dxa"/>
            <w:vAlign w:val="bottom"/>
          </w:tcPr>
          <w:p>
            <w:pPr>
              <w:spacing w:after="0"/>
              <w:rPr>
                <w:sz w:val="1"/>
                <w:szCs w:val="1"/>
                <w:color w:val="auto"/>
              </w:rPr>
            </w:pP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2 – Significant other observable inputs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Private commingled equity funds (2)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329,962</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143,853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equity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227,425</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Emerging markets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82,999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78,070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Private commingled fixed income funds (3)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419,706</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Pooled funds and mutual funds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Government fixed income and mortgage 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Level 2 assets (4)</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1,363,580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1,380,554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1,183,848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1,205,776</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Plan assets at fair value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1,236,134</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Insurance company general account contracts (5)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Plan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1,366,043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1,238,719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180" w:hanging="10"/>
        <w:spacing w:after="0" w:line="252" w:lineRule="auto"/>
        <w:tabs>
          <w:tab w:leader="none" w:pos="6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Mutual funds category above is a balanced fund that invests in a diversified portfolio of common stocks, preferred stocks, and fixed-income securities. Under normal circumstances the balanced fund will hold no more than 75%, and no less than 25%, of its total assets in equity securities. The fund seeks regular income, conservation of principal, and an opportunity for long-term growth of principal and income.</w:t>
      </w:r>
    </w:p>
    <w:p>
      <w:pPr>
        <w:spacing w:after="0" w:line="1" w:lineRule="exact"/>
        <w:rPr>
          <w:rFonts w:ascii="Arial" w:cs="Arial" w:eastAsia="Arial" w:hAnsi="Arial"/>
          <w:sz w:val="16"/>
          <w:szCs w:val="16"/>
          <w:color w:val="auto"/>
        </w:rPr>
      </w:pPr>
    </w:p>
    <w:p>
      <w:pPr>
        <w:jc w:val="both"/>
        <w:ind w:left="180" w:right="20" w:hanging="10"/>
        <w:spacing w:after="0" w:line="246" w:lineRule="auto"/>
        <w:tabs>
          <w:tab w:leader="none" w:pos="6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private commingled equity funds include common collective trusts that invest in a diversified portfolio of securities regularly traded on securities exchanges. These funds are shown in the above table at net asset value (“NAV”), which is the value of securities in the fund less the amount of any liabilities outstanding. Strategies employed by the funds include investment in:</w:t>
      </w:r>
    </w:p>
    <w:p>
      <w:pPr>
        <w:spacing w:after="0" w:line="1" w:lineRule="exact"/>
        <w:rPr>
          <w:rFonts w:ascii="Arial" w:cs="Arial" w:eastAsia="Arial" w:hAnsi="Arial"/>
          <w:sz w:val="16"/>
          <w:szCs w:val="16"/>
          <w:color w:val="auto"/>
        </w:rPr>
      </w:pPr>
    </w:p>
    <w:p>
      <w:pPr>
        <w:ind w:left="1300" w:hanging="482"/>
        <w:spacing w:after="0"/>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Global equities, including domestic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International developed countries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Domestic equities</w:t>
      </w:r>
    </w:p>
    <w:p>
      <w:pPr>
        <w:spacing w:after="0" w:line="5" w:lineRule="exact"/>
        <w:rPr>
          <w:rFonts w:ascii="Arial" w:cs="Arial" w:eastAsia="Arial" w:hAnsi="Arial"/>
          <w:sz w:val="16"/>
          <w:szCs w:val="16"/>
          <w:color w:val="auto"/>
        </w:rPr>
      </w:pPr>
    </w:p>
    <w:p>
      <w:pPr>
        <w:ind w:left="1300" w:hanging="482"/>
        <w:spacing w:after="0"/>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Emerging markets equities</w:t>
      </w:r>
    </w:p>
    <w:p>
      <w:pPr>
        <w:spacing w:after="0" w:line="5" w:lineRule="exact"/>
        <w:rPr>
          <w:sz w:val="20"/>
          <w:szCs w:val="20"/>
          <w:color w:val="auto"/>
        </w:rPr>
      </w:pPr>
    </w:p>
    <w:p>
      <w:pPr>
        <w:jc w:val="both"/>
        <w:ind w:left="180"/>
        <w:spacing w:after="0" w:line="250" w:lineRule="auto"/>
        <w:rPr>
          <w:sz w:val="20"/>
          <w:szCs w:val="20"/>
          <w:color w:val="auto"/>
        </w:rPr>
      </w:pPr>
      <w:r>
        <w:rPr>
          <w:rFonts w:ascii="Arial" w:cs="Arial" w:eastAsia="Arial" w:hAnsi="Arial"/>
          <w:sz w:val="16"/>
          <w:szCs w:val="16"/>
          <w:color w:val="auto"/>
        </w:rPr>
        <w:t>Shares in the private commingled equity funds may be redeemed given one business day notice. While they are private equity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in the fair value hierarchy and are therefore not excluded from the body of the fair value table as a reconciling item.</w:t>
      </w:r>
    </w:p>
    <w:p>
      <w:pPr>
        <w:spacing w:after="0" w:line="29" w:lineRule="exact"/>
        <w:rPr>
          <w:sz w:val="20"/>
          <w:szCs w:val="20"/>
          <w:color w:val="auto"/>
        </w:rPr>
      </w:pPr>
    </w:p>
    <w:p>
      <w:pPr>
        <w:jc w:val="both"/>
        <w:ind w:left="180" w:right="20"/>
        <w:spacing w:after="0" w:line="300" w:lineRule="auto"/>
        <w:rPr>
          <w:sz w:val="20"/>
          <w:szCs w:val="20"/>
          <w:color w:val="auto"/>
        </w:rPr>
      </w:pPr>
      <w:r>
        <w:rPr>
          <w:rFonts w:ascii="Arial" w:cs="Arial" w:eastAsia="Arial" w:hAnsi="Arial"/>
          <w:sz w:val="15"/>
          <w:szCs w:val="15"/>
          <w:color w:val="auto"/>
        </w:rPr>
        <w:t>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 w:lineRule="exact"/>
        <w:rPr>
          <w:sz w:val="20"/>
          <w:szCs w:val="20"/>
          <w:color w:val="auto"/>
        </w:rPr>
      </w:pPr>
    </w:p>
    <w:p>
      <w:pPr>
        <w:jc w:val="both"/>
        <w:ind w:left="180"/>
        <w:spacing w:after="0" w:line="300" w:lineRule="auto"/>
        <w:rPr>
          <w:sz w:val="20"/>
          <w:szCs w:val="20"/>
          <w:color w:val="auto"/>
        </w:rPr>
      </w:pPr>
      <w:r>
        <w:rPr>
          <w:rFonts w:ascii="Arial" w:cs="Arial" w:eastAsia="Arial" w:hAnsi="Arial"/>
          <w:sz w:val="15"/>
          <w:szCs w:val="15"/>
          <w:color w:val="auto"/>
        </w:rPr>
        <w:t>The international fund invests in international financial markets, primarily those of developed economies in Europe and the Pacific Basin. The fund invests primarily in equity securities issued by foreign corporations, but may invest in other securities perceived as offering attractive investment return opportunities.</w:t>
      </w:r>
    </w:p>
    <w:p>
      <w:pPr>
        <w:spacing w:after="0" w:line="1" w:lineRule="exact"/>
        <w:rPr>
          <w:sz w:val="20"/>
          <w:szCs w:val="20"/>
          <w:color w:val="auto"/>
        </w:rPr>
      </w:pPr>
    </w:p>
    <w:p>
      <w:pPr>
        <w:jc w:val="both"/>
        <w:ind w:left="180"/>
        <w:spacing w:after="0" w:line="256" w:lineRule="auto"/>
        <w:rPr>
          <w:sz w:val="20"/>
          <w:szCs w:val="20"/>
          <w:color w:val="auto"/>
        </w:rPr>
      </w:pPr>
      <w:r>
        <w:rPr>
          <w:rFonts w:ascii="Arial" w:cs="Arial" w:eastAsia="Arial" w:hAnsi="Arial"/>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25"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auto"/>
        </w:rPr>
        <w:t>The emerging markets fund was developed to invest in emerging market equities worldwide. The purposes of the fund’s operations, “emerging market countries,” include every country in the world except the developed markets of the U.S., Canada, Japan, Australia, New Zealand, Hong Kong, and Singapore, and most countries located in Western Europe. Fund investments are made directly in each country or, where direct investment is inefficient or prohibited, through appropriate financial instruments or participation in commingled funds.</w:t>
      </w:r>
    </w:p>
    <w:p>
      <w:pPr>
        <w:ind w:left="180" w:hanging="10"/>
        <w:spacing w:after="0" w:line="257" w:lineRule="auto"/>
        <w:tabs>
          <w:tab w:leader="none" w:pos="6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private commingled fixed income funds consist primarily of fixed income debt securities issued by the U.S. Treasury, government agencies, and fixed income debt securities issued by corporations. The fixed income fund investments may include the use of</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9" w:name="page110"/>
    <w:bookmarkEnd w:id="109"/>
    <w:p>
      <w:pPr>
        <w:jc w:val="both"/>
        <w:ind w:left="180"/>
        <w:spacing w:after="0" w:line="300" w:lineRule="auto"/>
        <w:rPr>
          <w:sz w:val="20"/>
          <w:szCs w:val="20"/>
          <w:color w:val="auto"/>
        </w:rPr>
      </w:pPr>
      <w:r>
        <w:rPr>
          <w:rFonts w:ascii="Arial" w:cs="Arial" w:eastAsia="Arial" w:hAnsi="Arial"/>
          <w:sz w:val="15"/>
          <w:szCs w:val="15"/>
          <w:color w:val="auto"/>
        </w:rPr>
        <w:t>high yield, international fixed income securities and other instruments, including derivatives, to ensure prudent diversification over a broad spectrum of investments. The changes in the value of the fixed income funds are intended to offset the changes in the pension plan liabilities due to changes in the discount rate.</w:t>
      </w:r>
    </w:p>
    <w:p>
      <w:pPr>
        <w:spacing w:after="0" w:line="1"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auto"/>
        </w:rPr>
        <w:t>These funds are shown in the above table at NAV. Investments in the private commingled fixed equity funds may be redeemed given one business day notice. While they are private fixed income funds and reported at NAV, due to the short redemption notice period, the lack of redemption fees, the fact that the underlying investments are exchange-traded, and that substantial liabilities do not exist subject to the NAV calculation, these investments are viewed as indirectly observable (Level 2), and are also not excluded from the body of the fair value table as a reconciling item.</w:t>
      </w:r>
    </w:p>
    <w:p>
      <w:pPr>
        <w:ind w:left="180" w:hanging="10"/>
        <w:spacing w:after="0" w:line="246" w:lineRule="auto"/>
        <w:tabs>
          <w:tab w:leader="none" w:pos="66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the exception of items (2) and (3), which are discussed above, the Level 2 assets consist mainly of pooled funds and mutual funds. These funds are collective short-term funds that invest in Treasury bills and money market funds and are used as a temporary cash repository.</w:t>
      </w:r>
    </w:p>
    <w:p>
      <w:pPr>
        <w:ind w:left="180" w:right="20" w:hanging="10"/>
        <w:spacing w:after="0" w:line="257" w:lineRule="auto"/>
        <w:tabs>
          <w:tab w:leader="none" w:pos="66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Centuri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offers defined contribution plans under Section 401(k) of the Internal Revenue Code to its eligible employees, regardless of whether they are covered under collective-bargaining agreements. Eligibility requirements vary, as does timing of participation, matching, vesting, and profit-sharing features of the plans. Contributions by Centuri to these plans for the years ended December 31, 2021, 2020, and 2019 were $9 million, $9 million, and $8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Centuri sponsors a nonqualified deferred compensation plan that is offered to a select group of management and highly-compensated employees. The plan allows participants to defer up to 80% of base salary and provides a match of 100% of contributions up to 5% of a participant’s salary. The plan also allows Centuri, at its election, to credit participant accounts with discretionary contributions. Participants are 100% vested in salary deferrals, contributions, and all earnings. Participant accounts include a return based on the performance of the underlying investment options selected. Payments from the plan are designated at each annual enrollment period based on specified triggering events and are payable by lump sum or on an annual installment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Centuri makes defined contributions to several multiemployer defined benefit pension plans under the terms of collective bargaining agreements (“CBAs”) with various unions representing certain employees. Contribution rates are generally specified in the CBAs and are made to the plans on a “pay-as-you-go” basis. Such contributions correspond to the number of union employees and the particular plans in which they participate, and vary depending upon the location, number of ongoing projects, and the need for union resources in connection with those projects.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of participating in multiemployer plans are different from single-employer plans, including: (i) assets contributed to the multiemployer plan by one employer may be used to provide benefits to employees of other participating employers; (ii) if a participating employer stops contributing to the multiemployer plan, the unfunded obligations of the plan may become the obligation of the remaining participating employers; and (iii) if a participating employer chooses to stop participating in these multiemployer plans, the employer may be required to pay those plans an amount based on the underfunded status of the plan.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Protection Act of 2006 requires special funding and operational rules for multiemployer plans in the U.S., including classification of the plans (based on multiple factors, including the funded status of the plan), the most severe of which is “critical.” Depending upon the classification, plans may be required to adopt measures to improve their funded status through a funding improvement or rehabilitation plan, which may require additional contributions from employers (in the form of a surcharge on benefit contributions) and/or modification of retiree benefits. The amount of additional funds, if any, that Centuri may be obligated to contribute to these plans in the future cannot be estimated due to the uncertainty regarding future levels of work that may require the utilization of union employees covered by these plans, as well as uncertainty as to the future contribution levels and possible surcharges on contributions that may apply to these plans at that time.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contributed $57.4 million, $44.3 million, and $41.3 million collectively to the plans for the years ended December 31, 2021, 2020, and 2019, respectively. Substantially all of the contributions made by Centuri during these years were to U.S. plans that were not classified as critical, and for which no special surcharges were assessed. Only six plans were classified as critical and required special surcharges; however, the contributions overall related to these plans in all periods were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Southwest Gas Holdings, Inc.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income before taxes and noncontrolling interests for domestic and foreign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261,525</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272,670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60,449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above and below to Deferred payroll taxes relate to the employer portion of Social Security tax, for which deferment of remittance was permissible under the Coronavirus Aid, Relief, and Economic Security (“CARES”) Act.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All other differences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effective income tax rate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116,496</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104,314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Federal 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20,890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290,583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192,612</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843,559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785,734</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77,818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97,860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Lease-related item</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20,562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1,059,330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839,610</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Net noncurrent deferred tax liabilities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768,747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646,998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noncurrent deferred tax liabilities above at December 31, 2021 and 2020 are reflected net of $121,000 and $455,000 of noncurrent deferred tax assets associated with the Company’s Canadian operations, which are shown separately on the Company’s Consolidated Balance Sheets.</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tax positions in prior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in statute of limitations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
        </w:trPr>
        <w:tc>
          <w:tcPr>
            <w:tcW w:w="7700" w:type="dxa"/>
            <w:vAlign w:val="bottom"/>
            <w:vMerge w:val="restart"/>
          </w:tcPr>
          <w:p>
            <w:pPr>
              <w:spacing w:after="0"/>
              <w:rPr>
                <w:sz w:val="20"/>
                <w:szCs w:val="20"/>
                <w:color w:val="auto"/>
              </w:rPr>
            </w:pPr>
            <w:r>
              <w:rPr>
                <w:rFonts w:ascii="Arial" w:cs="Arial" w:eastAsia="Arial" w:hAnsi="Arial"/>
                <w:sz w:val="18"/>
                <w:szCs w:val="18"/>
                <w:i w:val="1"/>
                <w:iCs w:val="1"/>
                <w:color w:val="auto"/>
              </w:rPr>
              <w:t>Southwest Gas Corporation</w:t>
            </w: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spacing w:after="0"/>
              <w:rPr>
                <w:sz w:val="20"/>
                <w:szCs w:val="20"/>
                <w:color w:val="auto"/>
              </w:rPr>
            </w:pPr>
            <w:r>
              <w:rPr>
                <w:rFonts w:ascii="Arial" w:cs="Arial" w:eastAsia="Arial" w:hAnsi="Arial"/>
                <w:sz w:val="18"/>
                <w:szCs w:val="18"/>
                <w:color w:val="auto"/>
              </w:rPr>
              <w:t>The following is a summary of income before taxes: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198,144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29,543</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30,614</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income tax expense (benefit) consists of the following significant components: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federal and 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Property-related items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34,398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cost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0" w:type="dxa"/>
            <w:vAlign w:val="bottom"/>
          </w:tcPr>
          <w:p>
            <w:pPr>
              <w:spacing w:after="0"/>
              <w:rPr>
                <w:sz w:val="1"/>
                <w:szCs w:val="1"/>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Deferred payroll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 deferred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federal and 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30,860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ITC,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income tax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30,614</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13" w:name="page114"/>
    <w:bookmarkEnd w:id="113"/>
    <w:p>
      <w:pPr>
        <w:jc w:val="both"/>
        <w:spacing w:after="0" w:line="277" w:lineRule="auto"/>
        <w:rPr>
          <w:sz w:val="20"/>
          <w:szCs w:val="20"/>
          <w:color w:val="auto"/>
        </w:rPr>
      </w:pPr>
      <w:r>
        <w:rPr>
          <w:rFonts w:ascii="Arial" w:cs="Arial" w:eastAsia="Arial" w:hAnsi="Arial"/>
          <w:sz w:val="18"/>
          <w:szCs w:val="18"/>
          <w:color w:val="auto"/>
        </w:rPr>
        <w:t>A reconciliation of the U.S. federal statutory rate to the consolidated effective tax rate (and the sources of these differences and the effect of each)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9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state taxes</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Company-owned life insurance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excess deferred taxes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differences</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tax assets and liabilities consist of the following: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income taxes for future amortization of ITC and excess deferred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101,133</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104,314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Federal net operating losses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payroll taxes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163,228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118,698</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Property-related items, including accelerated depreciation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703,374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680,294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balancing accounts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Debt-related costs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802,056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699,798</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638,828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581,100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A reconciliation of the beginning and ending amount of unrecognized tax benefits is as follows:</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tax positions in prior period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tax positions in prior period</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Gross increases – current period tax positions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 current period tax positions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in statute of limitations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14" w:name="page115"/>
    <w:bookmarkEnd w:id="114"/>
    <w:p>
      <w:pPr>
        <w:jc w:val="both"/>
        <w:spacing w:after="0" w:line="308" w:lineRule="auto"/>
        <w:rPr>
          <w:sz w:val="20"/>
          <w:szCs w:val="20"/>
          <w:color w:val="auto"/>
        </w:rPr>
      </w:pPr>
      <w:r>
        <w:rPr>
          <w:rFonts w:ascii="Arial" w:cs="Arial" w:eastAsia="Arial" w:hAnsi="Arial"/>
          <w:sz w:val="17"/>
          <w:szCs w:val="17"/>
          <w:color w:val="auto"/>
        </w:rPr>
        <w:t>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2021, the total amount of unrecognized tax benefits that, if recognized, would impact the effective tax rate was $2.6 million for the Company and $2.4 million for Southwest. No significant increases or decreases in unrecognized tax benefits are expected within the next 12 months.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recognize interest expense and income and penalties related to income tax matters in income tax expense. There was $21,000 and $523,000 of tax-related interest income for 2021 and 2020, respectively, and none in 2019.</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regulated operations accounting for income taxes is impacted by the FASB’s Accounting Standards Codification (“ASC”) Topic 980 – Regulated Operations. Reductions in accumulated deferred income tax balances due to the reduction in the corporate income tax rates to 21% under the provisions of the Tax Cuts and Jobs Act (the “TCJA”), enacted in December 2017, may continue to result in a refund of excess deferred taxes to customers, generally through reductions in future rates. The TCJA included provisions that stipulate how these excess deferred taxes may be passed back to customers for certain accelerated tax depreciation benefits. The December 31, 2021 Consolidated Balance Sheets of Southwest and the Company reflect the impact of the TCJA and the remaining unamortized balance of the regulatory liability (including a gross-up), barring further changes to income tax rates. See also </w:t>
      </w:r>
      <w:r>
        <w:rPr>
          <w:rFonts w:ascii="Arial" w:cs="Arial" w:eastAsia="Arial" w:hAnsi="Arial"/>
          <w:sz w:val="18"/>
          <w:szCs w:val="18"/>
          <w:b w:val="1"/>
          <w:bCs w:val="1"/>
          <w:color w:val="auto"/>
        </w:rPr>
        <w:t>Note 5 - Regulatory Assets and Liabilities</w:t>
      </w:r>
      <w:r>
        <w:rPr>
          <w:rFonts w:ascii="Arial" w:cs="Arial" w:eastAsia="Arial" w:hAnsi="Arial"/>
          <w:sz w:val="18"/>
          <w:szCs w:val="18"/>
          <w:color w:val="auto"/>
        </w:rPr>
        <w:t>.</w:t>
      </w:r>
    </w:p>
    <w:p>
      <w:pPr>
        <w:spacing w:after="0" w:line="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and its subsidiaries file a consolidated federal income tax return in the U.S. and in various states, as well as separate returns in Canada. With few exceptions, the Company is no longer subject to U.S. federal, state and local, or Canadian income tax examinations for years before 2017.</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each of its subsidiaries, including Southwest, participate in a tax sharing agreement to establish the method for allocating tax benefits and losses among members of the consolidated group. The consolidated federal income tax is apportioned among the subsidiaries using a separate return method.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of Questar Pipelines by the Company was a taxable transaction for U.S. federal and state income tax purposes. As a result, the Company obtained a step-up in the basis of the assets acquired (as determined for income tax purposes), without succeeding to the holding period, accounting methods, or historical income tax liabilities associated with Questar Pipelines. Accordingly, the deferred income taxes were redetermined on the date of acquisition, December 31, 2021.</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2021, the Company has a U.S. federal net operating loss carryforward of $449 million. The Company has no general business credit carryforwards. The Company has a net capital loss carryforward of $97,000, which will begin to expire in 2022. At December 31, 2021, the Company has an income tax net operating loss carryforward related to Canadian operations of $28.5 million, which begins to expire in 2034. As of the same date, the Company has $197.6 million of state net operating loss carryforwards. Depending on the jurisdiction in which the state net operating loss was generated, the carryforwards will begin to expire in 2025.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continue to permanently reinvest any future foreign earnings in Canada.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operating segments are determined based on the nature of their activities. The natural gas distribution segment is engaged in the business of purchasing, distributing, and transporting natural gas. Revenues are generated from the distribution and transportation of natural gas. The utility infrastructure services segment is primarily engaged in the business of providing gas and electric providers installation, replacement, repair, and maintenance of energy networks. Although the utility infrastructure services operations are geographically dispersed, they are aggregated and reported as a single segment as each reporting unit has similar economic characteristics. Over 99% of the total Company’s long-lived assets are in the U.S.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a result of the Questar Pipelines acquisition on December 31, 2021, management updated its segment reporting from the historical presentation of two reportable segments to three reportable segments, with Questar Pipelines presented as the pipeline and storage segment. Given that the acquisition occurred on the last day of the year, the Company will begin reporting pipeline and storage segment activity/elements of earnings in 2022, and has reflected the segment assets in the table below. Refer to </w:t>
      </w:r>
      <w:r>
        <w:rPr>
          <w:rFonts w:ascii="Arial" w:cs="Arial" w:eastAsia="Arial" w:hAnsi="Arial"/>
          <w:sz w:val="18"/>
          <w:szCs w:val="18"/>
          <w:b w:val="1"/>
          <w:bCs w:val="1"/>
          <w:color w:val="auto"/>
        </w:rPr>
        <w:t>Note 15 - Business Acquisitions</w:t>
      </w:r>
      <w:r>
        <w:rPr>
          <w:rFonts w:ascii="Arial" w:cs="Arial" w:eastAsia="Arial" w:hAnsi="Arial"/>
          <w:sz w:val="18"/>
          <w:szCs w:val="18"/>
          <w:color w:val="auto"/>
        </w:rPr>
        <w:t xml:space="preserve"> for additional information for the assets acquired as part of the Questar Pipelines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5" w:name="page116"/>
    <w:bookmarkEnd w:id="115"/>
    <w:p>
      <w:pPr>
        <w:jc w:val="both"/>
        <w:spacing w:after="0" w:line="266" w:lineRule="auto"/>
        <w:rPr>
          <w:sz w:val="20"/>
          <w:szCs w:val="20"/>
          <w:color w:val="auto"/>
        </w:rPr>
      </w:pPr>
      <w:r>
        <w:rPr>
          <w:rFonts w:ascii="Arial" w:cs="Arial" w:eastAsia="Arial" w:hAnsi="Arial"/>
          <w:sz w:val="18"/>
          <w:szCs w:val="18"/>
          <w:color w:val="auto"/>
        </w:rPr>
        <w:t xml:space="preserve">The accounting policies of the reported segments are the same as those described within </w:t>
      </w:r>
      <w:r>
        <w:rPr>
          <w:rFonts w:ascii="Arial" w:cs="Arial" w:eastAsia="Arial" w:hAnsi="Arial"/>
          <w:sz w:val="18"/>
          <w:szCs w:val="18"/>
          <w:b w:val="1"/>
          <w:bCs w:val="1"/>
          <w:color w:val="auto"/>
        </w:rPr>
        <w:t>Note 1 - Background, Organization, and Summary of</w:t>
      </w:r>
      <w:r>
        <w:rPr>
          <w:rFonts w:ascii="Arial" w:cs="Arial" w:eastAsia="Arial" w:hAnsi="Arial"/>
          <w:sz w:val="18"/>
          <w:szCs w:val="18"/>
          <w:color w:val="auto"/>
        </w:rPr>
        <w:t xml:space="preserve"> </w:t>
      </w:r>
      <w:r>
        <w:rPr>
          <w:rFonts w:ascii="Arial" w:cs="Arial" w:eastAsia="Arial" w:hAnsi="Arial"/>
          <w:sz w:val="18"/>
          <w:szCs w:val="18"/>
          <w:b w:val="1"/>
          <w:bCs w:val="1"/>
          <w:color w:val="auto"/>
        </w:rPr>
        <w:t>Significant Accounting Policies</w:t>
      </w:r>
      <w:r>
        <w:rPr>
          <w:rFonts w:ascii="Arial" w:cs="Arial" w:eastAsia="Arial" w:hAnsi="Arial"/>
          <w:sz w:val="18"/>
          <w:szCs w:val="18"/>
          <w:color w:val="auto"/>
        </w:rPr>
        <w:t>. Centuri accounts for the services provided to Southwest at contractual prices at contract inception.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these services, which are not eliminated during consolidation, are presented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December 31,</w:t>
            </w:r>
          </w:p>
        </w:tc>
      </w:tr>
      <w:tr>
        <w:trPr>
          <w:trHeight w:val="22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for Centuri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amount of revenues for both the natural gas distribution and utility infrastructure services segments (legacy segments) by geographic area: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Revenues (a)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2,893,201</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226,716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3,119,917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Revenues are attributed to countries based on the location of customers.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three reportable segments in 2021: natural gas distribution, utility infrastructure services, and pipeline and storage. Southwest has a single reportable segment that is referred to herein as the natural gas distribution segment of the Company. In order to reconcile to net income as disclosed in the Consolidated Statements of Income, an Other column is included associated with impacts of corporate and administrative activities related to Southwest Gas Holdings, Inc. The financial information pertaining to each segment as of and for the three years ended December 31, 2021, 2020, and 2019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2021</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4"/>
                <w:szCs w:val="14"/>
                <w:color w:val="auto"/>
              </w:rPr>
            </w:pPr>
          </w:p>
        </w:tc>
        <w:tc>
          <w:tcPr>
            <w:tcW w:w="142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Natural Gas</w:t>
            </w:r>
          </w:p>
        </w:tc>
        <w:tc>
          <w:tcPr>
            <w:tcW w:w="166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Utility Infrastructure</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0"/>
              </w:rPr>
              <w:t>Pipeline and</w:t>
            </w:r>
          </w:p>
        </w:tc>
        <w:tc>
          <w:tcPr>
            <w:tcW w:w="3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Storage</w:t>
            </w:r>
          </w:p>
        </w:tc>
        <w:tc>
          <w:tcPr>
            <w:tcW w:w="3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2,056,315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3,680,451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34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34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253,398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371,041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Segment net income</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34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187,135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(26,776)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12,765,257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3400" w:type="dxa"/>
            <w:vAlign w:val="bottom"/>
            <w:tcBorders>
              <w:top w:val="single" w:sz="8" w:color="CCEEFF"/>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601,983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113,643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715,626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89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9A9A9A"/>
            </w:tcBorders>
          </w:tcPr>
          <w:p>
            <w:pPr>
              <w:spacing w:after="0"/>
              <w:rPr>
                <w:sz w:val="18"/>
                <w:szCs w:val="18"/>
                <w:color w:val="auto"/>
              </w:rPr>
            </w:pPr>
          </w:p>
        </w:tc>
        <w:tc>
          <w:tcPr>
            <w:tcW w:w="34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color w:val="auto"/>
              </w:rPr>
              <w:t>Year Ended December 31, 2020</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color w:val="auto"/>
              </w:rPr>
              <w:t>Natural Gas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40"/>
              <w:spacing w:after="0" w:line="169" w:lineRule="exact"/>
              <w:rPr>
                <w:sz w:val="20"/>
                <w:szCs w:val="20"/>
                <w:color w:val="auto"/>
              </w:rPr>
            </w:pPr>
            <w:r>
              <w:rPr>
                <w:rFonts w:ascii="Arial" w:cs="Arial" w:eastAsia="Arial" w:hAnsi="Arial"/>
                <w:sz w:val="18"/>
                <w:szCs w:val="18"/>
                <w:color w:val="auto"/>
              </w:rPr>
              <w:t>Utility Infrastructure</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Distribution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1,350,585</w:t>
            </w:r>
          </w:p>
        </w:tc>
        <w:tc>
          <w:tcPr>
            <w:tcW w:w="1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1,813,429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3,164,014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134,859</w:t>
            </w:r>
          </w:p>
        </w:tc>
        <w:tc>
          <w:tcPr>
            <w:tcW w:w="0" w:type="dxa"/>
            <w:vAlign w:val="bottom"/>
          </w:tcPr>
          <w:p>
            <w:pPr>
              <w:spacing w:after="0"/>
              <w:rPr>
                <w:sz w:val="1"/>
                <w:szCs w:val="1"/>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1,350,585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1,948,288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3,298,873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101,148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9,269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35,755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31,128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159,118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assets</w:t>
            </w:r>
          </w:p>
        </w:tc>
        <w:tc>
          <w:tcPr>
            <w:tcW w:w="34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7,256,636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1,475,237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8,735,853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692,216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8"/>
                <w:szCs w:val="18"/>
                <w:color w:val="auto"/>
                <w:w w:val="90"/>
              </w:rPr>
              <w:t>Year Ended December 31,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89"/>
              </w:rPr>
              <w:t>Natural Gas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spacing w:after="0" w:line="169" w:lineRule="exact"/>
              <w:rPr>
                <w:sz w:val="20"/>
                <w:szCs w:val="20"/>
                <w:color w:val="auto"/>
              </w:rPr>
            </w:pPr>
            <w:r>
              <w:rPr>
                <w:rFonts w:ascii="Arial" w:cs="Arial" w:eastAsia="Arial" w:hAnsi="Arial"/>
                <w:sz w:val="18"/>
                <w:szCs w:val="18"/>
                <w:color w:val="auto"/>
                <w:w w:val="98"/>
              </w:rPr>
              <w:t>Utility Infrastructure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4"/>
                <w:szCs w:val="14"/>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w w:val="95"/>
              </w:rPr>
              <w:t>Distribution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w w:val="98"/>
              </w:rPr>
              <w:t>Services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1,368,939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1,592,252</w:t>
            </w:r>
          </w:p>
        </w:tc>
        <w:tc>
          <w:tcPr>
            <w:tcW w:w="80" w:type="dxa"/>
            <w:vAlign w:val="bottom"/>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2,961,191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158,726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158,726</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1,368,939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1,750,978</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3,119,917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215,620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87,617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303,237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Segment net income</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163,171</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52,404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213,936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6,798,746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8,170,048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778,748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159,400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938,148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administrative activities for Southwest Gas Holdings, Inc. in 2021 include expenses incurred to acquire Questar Pipelines as well as shareholder activism costs, collectively net of tax impacts.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Redeemable Noncontrolling Interests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by means of Centuri,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at each interval discussed above. The outstanding noncontrolling interest is not subject to minimum purchase provisions and, following the eligibility dates for the elections, they do not expire. The redemption price represents the greater of fair value of the ownership interest to be redeemed on the redemption date or a floor amount under the terms of the agreement. The Company has determined that this noncontrolling interest is a redeemable noncontrolling interest and, in accordance with SEC guidance, is classified as mezzanine equity (temporary equity) in the Company’s Consolidated Balance Sheets.</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2021, certain members of Riggs Distler management acquired a 1.42% interest in Drum, which is subject to certain rights based on the passage of time or upon the occurrence of certain triggering events. Effective January 2027 and each calendar year thereafter or upon the occurrence of certain trigger events, the Company, through Centuri, has the right, but not the obligation, to purchase all of the interest held by the noncontrolling party at fair value. If the Company does not exercise its rights in accordance with the timeline noted, or upon the occurrence of certain other triggering events, the noncontrolling party has the ability, but not the obligation, to exit their investment retained by requiring Centuri to purchase all of their outstanding</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7" w:name="page118"/>
    <w:bookmarkEnd w:id="117"/>
    <w:p>
      <w:pPr>
        <w:jc w:val="both"/>
        <w:spacing w:after="0" w:line="291" w:lineRule="auto"/>
        <w:rPr>
          <w:sz w:val="20"/>
          <w:szCs w:val="20"/>
          <w:color w:val="auto"/>
        </w:rPr>
      </w:pPr>
      <w:r>
        <w:rPr>
          <w:rFonts w:ascii="Arial" w:cs="Arial" w:eastAsia="Arial" w:hAnsi="Arial"/>
          <w:sz w:val="16"/>
          <w:szCs w:val="16"/>
          <w:color w:val="auto"/>
        </w:rPr>
        <w:t>interest. The outstanding noncontrolling interest is not subject to minimum purchase provisions and, following the eligibility date for the election, they do not expire. The redemption price represents the fair value of the ownership interest to be redeemed on the redemption date under the terms of the agreement. A portion of the redeemable noncontrolling interest acquired was funded through promissory notes made to noncontrolling interest holders bearing interest at the prime rate plus 2%. The promissory notes are payable by the noncontrolling interest holders upon certain triggering events including, but not limited to, termination of employment or the redemption of any interest under the agreement. The promissory notes are recognized as a reduction to the Company’s stockholders’ equity. Additionally, the Company has determined that this noncontrolling interest is a redeemable noncontrolling interest and, in accordance with SEC guidance, is classified as mezzanine equity (temporary equity) in the Company’s Consolidated Balance Sheets.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total redeemable noncontrolling interests,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increased by approximately $12 million during the year ended December 31, 2021. Adjustment to the redemption value also impacted retained earnings, as reflected in the Company’s Consolidated Statement of Equity, but did not impact net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changes to the balances of the redeemable noncontrolling interests: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Linetec</w:t>
            </w: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Drum</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84,542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84,542</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Redemption value adjustment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74,513</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165,716</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Redeemable noncontrolling interest acquired</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12,562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Redemption value adjustment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12,016</w:t>
            </w: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Acquisitions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27, 2021, the Company, through its subsidiary, led principally by Centuri, completed the acquisition of a privately held regional infrastructure services business (and all of its equity interests), Drum and its primary subsidiary, Riggs Distler, for $822.2 million in cash consideration, net of $1.9 million cash acquired, and also assumed a long-term financing lease obligation. In November 2021, certain members of Riggs Distler management acquired a 1.42% interest in Drum, as discussed in </w:t>
      </w:r>
      <w:r>
        <w:rPr>
          <w:rFonts w:ascii="Arial" w:cs="Arial" w:eastAsia="Arial" w:hAnsi="Arial"/>
          <w:sz w:val="18"/>
          <w:szCs w:val="18"/>
          <w:b w:val="1"/>
          <w:bCs w:val="1"/>
          <w:color w:val="auto"/>
        </w:rPr>
        <w:t>Note 14 - Redeemable Noncontrolling Interests</w:t>
      </w:r>
      <w:r>
        <w:rPr>
          <w:rFonts w:ascii="Arial" w:cs="Arial" w:eastAsia="Arial" w:hAnsi="Arial"/>
          <w:sz w:val="18"/>
          <w:szCs w:val="18"/>
          <w:color w:val="auto"/>
        </w:rPr>
        <w:t xml:space="preserve"> above. Drum is now a majority owned subsidiary of the company.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acquisition extended the utility infrastructure services operations in the northeastern region of the U.S. and provides additional opportunities for expansion of the amount of work Centuri performs for electric and gas utilities. Funding for the acquisition was provided by proceeds from Centuri’s new term loan facility, as described in </w:t>
      </w:r>
      <w:r>
        <w:rPr>
          <w:rFonts w:ascii="Arial" w:cs="Arial" w:eastAsia="Arial" w:hAnsi="Arial"/>
          <w:sz w:val="18"/>
          <w:szCs w:val="18"/>
          <w:b w:val="1"/>
          <w:bCs w:val="1"/>
          <w:color w:val="auto"/>
        </w:rPr>
        <w:t>Note 8 - Debt</w:t>
      </w:r>
      <w:r>
        <w:rPr>
          <w:rFonts w:ascii="Arial" w:cs="Arial" w:eastAsia="Arial" w:hAnsi="Arial"/>
          <w:sz w:val="18"/>
          <w:szCs w:val="18"/>
          <w:color w:val="auto"/>
        </w:rPr>
        <w:t>.</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Assets acquired and liabilities assumed in the transaction were recorded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 and backlog. The gross contractual receivable is $81 million, exclusive of $12 million representing specific customer accounts that were deemed uncollectible; the accounts receivable were further reduced by measurement period adjustments of $8.6 million. The customer relationships and trade name were valued utilizing a discounted cash flow method. Determining the fair values of these intangible assets is judgmental in nature and requires the use of significant estimates and assumptions, including the attrition rate and discount rate for the customer relationships intangible asset and the royalty rate and discount rate for the trade name intangible asset. Certain payments were estimated as of the acquisition date and were adjusted when amounts were finalized. Further adjustments may still occur. During the fourth quarter of 2021, Centuri recorded a reduction to the purchase price of $6.3 million related to working capital adjustments calculated 60 days post-acquisition, and recorded measurement period adjustments primarily related to valuation of intangible assets, deferred tax liability estimates, and other refinements, as reflected in the table below. Due to the estimations made, the final purchase accounting has not yet been completed, and further refinements may occur, including potential changes to income taxes.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preliminary estimated fair values of assets acquired and liabilities assumed as of August 27, 2021,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240" w:type="dxa"/>
            <w:vAlign w:val="bottom"/>
          </w:tcPr>
          <w:p>
            <w:pPr>
              <w:spacing w:after="0"/>
              <w:rPr>
                <w:sz w:val="17"/>
                <w:szCs w:val="17"/>
                <w:color w:val="auto"/>
              </w:rPr>
            </w:pPr>
          </w:p>
        </w:tc>
        <w:tc>
          <w:tcPr>
            <w:tcW w:w="1820" w:type="dxa"/>
            <w:vAlign w:val="bottom"/>
            <w:gridSpan w:val="2"/>
            <w:vMerge w:val="restart"/>
          </w:tcPr>
          <w:p>
            <w:pPr>
              <w:ind w:left="140"/>
              <w:spacing w:after="0"/>
              <w:rPr>
                <w:sz w:val="20"/>
                <w:szCs w:val="20"/>
                <w:color w:val="auto"/>
              </w:rPr>
            </w:pPr>
            <w:r>
              <w:rPr>
                <w:rFonts w:ascii="Arial" w:cs="Arial" w:eastAsia="Arial" w:hAnsi="Arial"/>
                <w:sz w:val="18"/>
                <w:szCs w:val="18"/>
                <w:color w:val="auto"/>
              </w:rPr>
              <w:t>Acquisition Date</w:t>
            </w:r>
          </w:p>
        </w:tc>
        <w:tc>
          <w:tcPr>
            <w:tcW w:w="20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Measurement Period</w:t>
            </w:r>
          </w:p>
        </w:tc>
        <w:tc>
          <w:tcPr>
            <w:tcW w:w="196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Revised Acquisition Date</w:t>
            </w:r>
          </w:p>
        </w:tc>
        <w:tc>
          <w:tcPr>
            <w:tcW w:w="0" w:type="dxa"/>
            <w:vAlign w:val="bottom"/>
          </w:tcPr>
          <w:p>
            <w:pPr>
              <w:spacing w:after="0"/>
              <w:rPr>
                <w:sz w:val="1"/>
                <w:szCs w:val="1"/>
                <w:color w:val="auto"/>
              </w:rPr>
            </w:pPr>
          </w:p>
        </w:tc>
      </w:tr>
      <w:tr>
        <w:trPr>
          <w:trHeight w:val="229"/>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Adjustments</w:t>
            </w:r>
          </w:p>
        </w:tc>
        <w:tc>
          <w:tcPr>
            <w:tcW w:w="1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Income taxes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under operating leases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 and noncontrolling interest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The amounts allocated to major classes of intangibles are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Estimated Weighted</w:t>
            </w:r>
          </w:p>
        </w:tc>
        <w:tc>
          <w:tcPr>
            <w:tcW w:w="0" w:type="dxa"/>
            <w:vAlign w:val="bottom"/>
          </w:tcPr>
          <w:p>
            <w:pPr>
              <w:spacing w:after="0"/>
              <w:rPr>
                <w:sz w:val="1"/>
                <w:szCs w:val="1"/>
                <w:color w:val="auto"/>
              </w:rPr>
            </w:pPr>
          </w:p>
        </w:tc>
      </w:tr>
      <w:tr>
        <w:trPr>
          <w:trHeight w:val="175"/>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8"/>
                <w:szCs w:val="18"/>
                <w:color w:val="auto"/>
              </w:rPr>
              <w:t>Estimated Fair Value</w:t>
            </w:r>
          </w:p>
        </w:tc>
        <w:tc>
          <w:tcPr>
            <w:tcW w:w="10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3"/>
              </w:rPr>
              <w:t>Average Useful Life in</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303,500</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and expensed acquisition costs of $14 million for the period ended December 31, 2021, which were included in Utility infrastructure services expenses on the Company’s Consolidated Statement of Income.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consists of the value associated with the assembled workforce, consolidation of operations, and the estimated economic value attributable to future opportunities related to the transaction. As the business of Drum was deemed a stock purchase for tax purposes, only pre-acquisition goodwill of $76 million that was historically tax-deductible by Riggs Distler will continue to be deductible for tax purposes by the Company. The intangible assets other than goodwill are included in Other property and investments in the Company’s Consolidated Balance Sheets.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financial information for the Riggs Distler acquisition is combined in a table below with the unaudited pro forma financial information related to the Questar Pipelines acquisition by Southwest Gas Holdings, Inc.</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results from operations for Riggs Distler, excluding transaction costs and interest expense on acquisition related debt incurred by Centuri, included in the Consolidated Statements of Income since the date of acquisition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7"/>
              </w:rPr>
              <w:t>December 31, 2021</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163,830</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Net income attributable to Southwest Gas Holdings, Inc.</w:t>
            </w:r>
          </w:p>
        </w:tc>
        <w:tc>
          <w:tcPr>
            <w:tcW w:w="4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890"/>
        </w:trPr>
        <w:tc>
          <w:tcPr>
            <w:tcW w:w="4800" w:type="dxa"/>
            <w:vAlign w:val="bottom"/>
          </w:tcPr>
          <w:p>
            <w:pPr>
              <w:spacing w:after="0"/>
              <w:rPr>
                <w:sz w:val="24"/>
                <w:szCs w:val="24"/>
                <w:color w:val="auto"/>
              </w:rPr>
            </w:pPr>
          </w:p>
        </w:tc>
        <w:tc>
          <w:tcPr>
            <w:tcW w:w="4100" w:type="dxa"/>
            <w:vAlign w:val="bottom"/>
          </w:tcPr>
          <w:p>
            <w:pPr>
              <w:jc w:val="right"/>
              <w:ind w:right="311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0"/>
        </w:trPr>
        <w:tc>
          <w:tcPr>
            <w:tcW w:w="4800" w:type="dxa"/>
            <w:vAlign w:val="bottom"/>
            <w:tcBorders>
              <w:bottom w:val="single" w:sz="8" w:color="9A9A9A"/>
            </w:tcBorders>
          </w:tcPr>
          <w:p>
            <w:pPr>
              <w:spacing w:after="0"/>
              <w:rPr>
                <w:sz w:val="18"/>
                <w:szCs w:val="18"/>
                <w:color w:val="auto"/>
              </w:rPr>
            </w:pPr>
          </w:p>
        </w:tc>
        <w:tc>
          <w:tcPr>
            <w:tcW w:w="4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9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18"/>
          <w:szCs w:val="18"/>
          <w:color w:val="auto"/>
        </w:rPr>
        <w:t>On December 31, 2021 Southwest Gas Holdings, Inc. completed the acquisition of Dominion Energy Questar Pipeline, LLC and related entities (“Questar Pipelines”), which resulted in Questar Pipelines becoming a wholly owned subsidiary of the Company. The total consideration of $1.576 billion consisted of a cash payment of $1.545 billion, transaction costs paid on behalf of the seller of $4.7 million, and preliminary post-closing adjustments of $25.9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further diversifies the Company’s business with an expansion of regulated interstate natural gas pipelines and underground storage services under FERC jurisdiction. The entities acquired expands the Company’s operations into the Rocky Mountain region including Utah, Wyoming, and western Colorado. The Company financed the purchase price of this acquisition with a $1.6 billion draw on December 31, 2021 under a 364-day delayed-draw term loan entered into in November 2021. See </w:t>
      </w:r>
      <w:r>
        <w:rPr>
          <w:rFonts w:ascii="Arial" w:cs="Arial" w:eastAsia="Arial" w:hAnsi="Arial"/>
          <w:sz w:val="18"/>
          <w:szCs w:val="18"/>
          <w:b w:val="1"/>
          <w:bCs w:val="1"/>
          <w:color w:val="auto"/>
        </w:rPr>
        <w:t>Note 8 - Debt</w:t>
      </w:r>
      <w:r>
        <w:rPr>
          <w:rFonts w:ascii="Arial" w:cs="Arial" w:eastAsia="Arial" w:hAnsi="Arial"/>
          <w:sz w:val="18"/>
          <w:szCs w:val="18"/>
          <w:color w:val="auto"/>
        </w:rPr>
        <w:t xml:space="preserve"> for additional information.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currently performing a detailed valuation analysis of the assets and liabilities of the acquired entities. The assets acquired and liabilities assumed were measured at estimated fair value at the closing date. The Company’s allocation of the purchase price was based on an evaluation of the appropriate fair values and represents management’s best estimate based on available data. Transaction costs associated with the acquisition were expensed as incurred. The majority of the operations acquired are subject to FERC rate-regulation and therefore are accounted for pursuant to ASC 980, Regulated Operations. The fair values of Questar Pipelines’ assets and liabilities, subject to rate making and cost recovery provisions, provide revenues derived from costs of service, including a return on investment of assets and liabilities included in rate base. Accordingly, the carrying values of such assets and liabilities were deemed to approximate their fair values. The fair value of the Questar Pipelines assets and liabilities assumed that are not subject to the rate-regulation provisions discussed above include a 50% equity method investment, non-regulated property, plant and equipment, and long-term debt assumed; related fair values were determined using a market approach, income approach, or cost approach, as appropriate. The final purchase accounting has not yet been completed. Further refinement is expected to occur, including finalization of the post-closing payment amount and 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preliminary estimated fair values of assets acquired and liabilities assumed as of December 31, 2021, are as follows (in millions of dollars):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plant, net</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Other property and investments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Accounts receivable, net of allowances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Deferred charges and other assets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purchased gas costs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general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Accumulated removal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deferred credits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449.7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801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627.4</w:t>
      </w:r>
    </w:p>
    <w:p>
      <w:pPr>
        <w:spacing w:after="0" w:line="36" w:lineRule="exact"/>
        <w:rPr>
          <w:sz w:val="20"/>
          <w:szCs w:val="20"/>
          <w:color w:val="auto"/>
        </w:rPr>
      </w:pPr>
    </w:p>
    <w:p>
      <w:pPr>
        <w:ind w:left="1070" w:hanging="1070"/>
        <w:spacing w:after="0"/>
        <w:tabs>
          <w:tab w:leader="none" w:pos="107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1,575.6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801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810" w:space="720"/>
            <w:col w:w="1710"/>
          </w:cols>
          <w:pgMar w:left="320" w:top="115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20" w:name="page121"/>
    <w:bookmarkEnd w:id="120"/>
    <w:p>
      <w:pPr>
        <w:jc w:val="both"/>
        <w:spacing w:after="0" w:line="246" w:lineRule="auto"/>
        <w:rPr>
          <w:sz w:val="20"/>
          <w:szCs w:val="20"/>
          <w:color w:val="auto"/>
        </w:rPr>
      </w:pPr>
      <w:r>
        <w:rPr>
          <w:rFonts w:ascii="Arial" w:cs="Arial" w:eastAsia="Arial" w:hAnsi="Arial"/>
          <w:sz w:val="18"/>
          <w:szCs w:val="18"/>
          <w:color w:val="auto"/>
        </w:rPr>
        <w:t>The Company incurred acquisition costs of $18.5 million for the period ended December 31, 2021, which were included in Operations and maintenance expense on the Company’s Consolidated Statement of Income.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excess of the purchase price over the estimated fair values of the identifiable assets acquired and liabilities assumed was recognized as goodwill at the closing date. The goodwill reflects the value associated with enhancing the Company’s regulated operations portfolio, the economic value attributable to future opportunities including opportunities through diversification and increased scale in customer growth, and strong regional demand for both natural and renewable natural gas in a stable regulatory environment. As the Questar Pipelines acquisition was treated as an asset acquisition for tax purposes, the $935.1 million tax-basis goodwill is expected to be deductible for tax purposes by the Company. Deferred taxes have been recorded for the difference between book and tax basis of goodwill.</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reflects the consolidated results of operations of the Company assuming the Riggs Distler and Questar Pipelines acquisitions had taken place on January 1, 2020. The most significant pro forma adjustments relate to: (i) reflecting approximately $48.7 million in transaction costs in the year ended December 31, 2020, and excluding such costs from the year ended December 31, 2021, and (ii) reflecting incremental interest expense of $48.4 million in 2021, and approximately $52.1 million in the comparable 2020 period. The pro forma financial information has been prepared for comparative purposes only, and is not intended to be indicative of what the Company’s results would have been had the acquisition occurred at the beginning of the periods presented or of the results which may occur in the future, for a number of reasons. The reasons include, but are not limited to, differences between the assumptions used to prepare the pro forma information, potential cost savings from operating efficiencies, nor the impact of incremental costs incurred in integrating the businesses. This information is preliminary in nature and subject to change based upon final purchase accounting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Amounts below are in millions of dollars, except per share amounts.</w:t>
      </w:r>
    </w:p>
    <w:p>
      <w:pPr>
        <w:spacing w:after="0" w:line="144" w:lineRule="exact"/>
        <w:rPr>
          <w:sz w:val="20"/>
          <w:szCs w:val="20"/>
          <w:color w:val="auto"/>
        </w:rPr>
      </w:pPr>
    </w:p>
    <w:p>
      <w:pPr>
        <w:jc w:val="center"/>
        <w:ind w:left="860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left="86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3,980</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Southwest Gas Holdings,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actual results from operations for Questar Pipelines are included in the Consolidated Statements of Income since the acquisition occurred on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1" w:name="page122"/>
    <w:bookmarkEnd w:id="121"/>
    <w:p>
      <w:pPr>
        <w:spacing w:after="0"/>
        <w:rPr>
          <w:sz w:val="20"/>
          <w:szCs w:val="20"/>
          <w:color w:val="auto"/>
        </w:rPr>
      </w:pPr>
      <w:r>
        <w:rPr>
          <w:rFonts w:ascii="Arial" w:cs="Arial" w:eastAsia="Arial" w:hAnsi="Arial"/>
          <w:sz w:val="25"/>
          <w:szCs w:val="25"/>
          <w:color w:val="auto"/>
        </w:rPr>
        <w:t>MANAGEMENT’S REPORTS ON INTERNAL CONTROL OVER FINANCIAL REPORTING</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Management of Southwest Gas Holdings, Inc. is responsible for establishing and maintaining adequate internal control over financial reporting, as such term is defined by Rule 13a-15(f) and 15d-15(f) under the Securities Exchange Act of 1934. See Item 9A Controls and Procedures of the 2021 Form 10-K for a discussion regarding the scope of management’s assessment due to the recent acquisition of Drum Parent LLC, formerly Drum Parent, Inc., including its primary subsidiary, Riggs Distler &amp; Company, Inc. (“Riggs”), as well as Dominion Energy Questar Pipeline, LLC and related entities (“Questar Pipelines”), each of which is excluded from management’s report on internal control over financial reporting. Existing assets of the Riggs and Questar Pipelines businesses, respectively, represent 2% and 9% of consolidated total assets and 4% and 0% of consolidated revenues for the year ended December 31, 2021, and are not significant to the Company’s consolidated financial statements. Under the supervision and with the participation of Southwest Gas Holdings, Inc. management, including the principal executive officer and principal financial officer, an evaluation was conducted of the effectiveness of internal control over financial reporting based on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Based upon management’s evaluation under such framework, management concluded that internal control over financial reporting was effective as of December 31, 2021. The effectiveness of internal control over financial reporting as of December 31, 2021 has been audited by PricewaterhouseCoopers, LLP, an independent registered public accounting firm, as stated in their report which is included herein.</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Management of Southwest Gas Corporation is responsible for establishing and maintaining adequate internal control over financial reporting as defined in Rules 13a-15(f) and 15d-15(f) under the Securities Exchange Act of 1934. Under the supervision and with the participation of Southwest Gas Corporation management, including the principal executive officer and principal financial officer, an evaluation was conducted of the effectiveness of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upon management’s evaluation under such framework, management concluded that Southwest Gas Corporation’s internal control over financial reporting was effective as of December 31, 2021. This annual report does not include a report of Southwest Gas Corporation’s registered public accounting firm regarding internal control over financial reporting pursuant to rules of the Securities and Exchange Commission that permit Southwest Gas Corporation to provide only this management’s report in this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22" w:name="page123"/>
    <w:bookmarkEnd w:id="122"/>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Southwest Gas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Southwest Gas Holdings, Inc. and its subsidiaries (the “Company”) as of December 31, 2021 and 2020, and the related consolidated statements of income, of comprehensive income, of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Reports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in Management’s Reports on Internal Control over Financial Reporting, management has excluded Riggs Distler and Questar Pipelines from its assessment of internal control over financial reporting as of December 31, 2021, because they were acquired by the Company in purchase business combinations during 2021. We have also excluded Riggs Distler and Questar Pipelines from our audit of internal control over financial reporting. Riggs Distler and Questar Pipelines are wholly owned subsidiaries whose total assets and total revenues excluded from management’s assessment and our audit of internal control over financial reporting represent approximately 2% and 9% of total assets, respectively and approximately 4% and no revenues of total revenues, respectively, of the related consolidated financial statement amounts as of and for the year ended December 31,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23" w:name="page124"/>
    <w:bookmarkEnd w:id="123"/>
    <w:p>
      <w:pPr>
        <w:jc w:val="both"/>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Drum Parent, Inc. - Fair Value of Customer Relationships and Trade Name Intangible Assets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15 to the consolidated financial statements, Southwest Gas Holdings, Inc., through its subsidiary Centuri Group, Inc., completed the acquisition of Drum Parent, Inc. (Drum) on August 27, 2021 for $822.2 million in cash consideration, net of $1.9 million cash acquired, and also assumed a long-term financing lease obligation. This acquisition resulted in the recognition of $239 million of customer relationships intangible assets and $60 million of a trade name intangible asset. Assets acquired and liabilities assumed in the transaction were recorded at their acquisition date fair values. The customer relationships and trade name were valued utilizing a discounted cash flow method. Determining the fair values of these intangible assets is judgmental in nature and requires the use of significant estimates and assumptions, including the attrition rate and discount rate for the customer relationships intangible asset and the royalty rate and discount rate for the trade name intangible asset.</w:t>
      </w:r>
    </w:p>
    <w:p>
      <w:pPr>
        <w:spacing w:after="0" w:line="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fair value of the customer relationships and trade name intangible assets acquired in the Drum acquisition is a critical audit matter are (i) the significant judgment by management when determining the fair value of the Drum customer relationships and trade name intangible assets acquired; (ii) the significant auditor judgment, subjectivity and effort in performing procedures and evaluating audit evidence related to management’s significant assumptions related to the attrition rate and discount rate for the customer relationships intangible asset and the royalty rate and discount rate for the trade name intangible asset (hereinafter collectively referred to as the ‘attrition rate, discount rates, and royalty rate’); and (iii) the audit effort involved the use of professionals with specialized skill and knowledge.</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fair value of the customer relationships and trade name intangible assets acquired, as well as controls over the development of the significant assumptions, including the attrition rate, discount rates and royalty rate. These procedures also included, among others (i) reading the purchase agreement; (ii) testing management’s process for determining the fair values of the customer relationships and trade name intangible assets acquired; (iii) evaluating the appropriateness of the discounted cash flow methods; (iv) testing the completeness and accuracy of the underlying data used by management in the discounted cash flow methods; and (v) evaluating the reasonableness of significant assumptions used by management related to the attrition rate, discount rates and royalty rate. Professionals with specialized skill and knowledge were used to assist in evaluating the appropriateness of the discounted cash flow methods and the reasonableness of the attrition rate, discount rates, and royalty rate significant assumptions.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5 to the consolidated financial statements, the Company’s net regulatory liabilities were $212 million as of December 31, 2021.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As disclosed by management, they review the regulatory assets to assess their recoverability. If rate recovery is no longer probable, due to competition or the actions of regulators, management is required to write-off the related regulatory asset. Regulatory liabilities are recorded if it is probable that revenues will be reduced for amounts that will be refunded to customers through the ratemaking process.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regulatory assets and liabilities is a critical audit matter are (i) the significant judgment by management in the ongoing evaluation of regulatory assets and liabilities and in applying guidance contained in regulatory proceedings and other relevant evidence, including the timing of recognition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of regulatory assets and liabilities; and (ii) the significant auditor judgment, subjectivity and effort in performing procedures and evaluating audit evidence relating to management’s judgments about the probability of recovery of regulatory assets and refund of regulatory liabilities.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the probability of recovery of regulatory assets, refund of regulatory liabilities, and disclosure impacts. These procedures also included, among others (i) obtaining the Company’s correspondence with regulators; (ii) evaluating the reasonableness of management’s assessment regarding the probability of recovery of regulatory assets and refund of regulatory liabilities based on the status of regulatory proceedings; and (iii) evaluating the related accounting and disclosure implications.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or its predecessor’s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5" w:name="page126"/>
    <w:bookmarkEnd w:id="125"/>
    <w:p>
      <w:pPr>
        <w:ind w:left="3100"/>
        <w:spacing w:after="0"/>
        <w:rPr>
          <w:sz w:val="20"/>
          <w:szCs w:val="20"/>
          <w:color w:val="auto"/>
        </w:rPr>
      </w:pPr>
      <w:r>
        <w:rPr>
          <w:rFonts w:ascii="Arial" w:cs="Arial" w:eastAsia="Arial" w:hAnsi="Arial"/>
          <w:sz w:val="22"/>
          <w:szCs w:val="22"/>
          <w:color w:val="auto"/>
        </w:rPr>
        <w:t>Report of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 Southwest Gas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Southwest Gas Corporation and its subsidiaries (the “Company”) as of December 31, 2021 and 2020, and the related consolidated statements of income, of comprehensive income, of equity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Assets and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5 to the consolidated financial statements, the Company’s net regulatory liabilities were $96 million as of December 31, 2021.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As disclosed by management, they review the regulatory assets to assess their recoverability. If rate recovery is no longer probable, due to competition or the actions of regulators, management is required to write-off the related regulatory asset. Regulatory liabilities are recorded if it is probable that revenues will be reduced for amounts that will be refunded to customers through the ratemaking process.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regulatory assets and liabilities is a critical audit matter are (i) the significant judgment by management in the ongoing evaluation of regulatory assets and liabilities and in applying guidance contained in regulatory proceedings and other relevant evidence, including the timing of recognition of regulatory assets and liabilities; and (ii) the significant auditor judgment, subjectivity and effort in performing procedures and evaluating audit evidence relating to management’s judgments about the probability of recovery of regulatory assets and refund of regulatory liabilities.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26" w:name="page127"/>
    <w:bookmarkEnd w:id="126"/>
    <w:p>
      <w:pPr>
        <w:jc w:val="both"/>
        <w:spacing w:after="0" w:line="279" w:lineRule="auto"/>
        <w:rPr>
          <w:sz w:val="20"/>
          <w:szCs w:val="20"/>
          <w:color w:val="auto"/>
        </w:rPr>
      </w:pPr>
      <w:r>
        <w:rPr>
          <w:rFonts w:ascii="Arial" w:cs="Arial" w:eastAsia="Arial" w:hAnsi="Arial"/>
          <w:sz w:val="17"/>
          <w:szCs w:val="17"/>
          <w:color w:val="auto"/>
        </w:rPr>
        <w:t>management’s assessment of regulatory proceedings, including the probability of recovery of regulatory assets, refund of regulatory liabilities, and disclosure impacts. These procedures also included, among others (i) obtaining the Company’s correspondence with regulators; (ii) evaluating the reasonableness of management’s assessment regarding the probability of recovery of regulatory assets and refund of regulatory liabilities based on the status of regulatory proceedings; and (iii) evaluating the related accounting and disclosure implications.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15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ind w:left="2240"/>
              <w:spacing w:after="0"/>
              <w:rPr>
                <w:sz w:val="20"/>
                <w:szCs w:val="20"/>
                <w:color w:val="auto"/>
              </w:rPr>
            </w:pPr>
            <w:r>
              <w:rPr>
                <w:rFonts w:ascii="Arial" w:cs="Arial" w:eastAsia="Arial" w:hAnsi="Arial"/>
                <w:sz w:val="18"/>
                <w:szCs w:val="18"/>
                <w:b w:val="1"/>
                <w:bCs w:val="1"/>
                <w:color w:val="auto"/>
                <w:w w:val="97"/>
              </w:rPr>
              <w:t>EXHIBIT 21.01</w:t>
            </w:r>
          </w:p>
        </w:tc>
      </w:tr>
      <w:tr>
        <w:trPr>
          <w:trHeight w:val="243"/>
        </w:trPr>
        <w:tc>
          <w:tcPr>
            <w:tcW w:w="3640" w:type="dxa"/>
            <w:vAlign w:val="bottom"/>
          </w:tcPr>
          <w:p>
            <w:pPr>
              <w:spacing w:after="0"/>
              <w:rPr>
                <w:sz w:val="21"/>
                <w:szCs w:val="21"/>
                <w:color w:val="auto"/>
              </w:rPr>
            </w:pPr>
          </w:p>
        </w:tc>
        <w:tc>
          <w:tcPr>
            <w:tcW w:w="76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9"/>
              </w:rPr>
              <w:t>SOUTHWEST GAS HOLDINGS, INC.</w:t>
            </w:r>
          </w:p>
        </w:tc>
      </w:tr>
      <w:tr>
        <w:trPr>
          <w:trHeight w:val="243"/>
        </w:trPr>
        <w:tc>
          <w:tcPr>
            <w:tcW w:w="3640" w:type="dxa"/>
            <w:vAlign w:val="bottom"/>
          </w:tcPr>
          <w:p>
            <w:pPr>
              <w:spacing w:after="0"/>
              <w:rPr>
                <w:sz w:val="21"/>
                <w:szCs w:val="21"/>
                <w:color w:val="auto"/>
              </w:rPr>
            </w:pPr>
          </w:p>
        </w:tc>
        <w:tc>
          <w:tcPr>
            <w:tcW w:w="76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243"/>
        </w:trPr>
        <w:tc>
          <w:tcPr>
            <w:tcW w:w="3640" w:type="dxa"/>
            <w:vAlign w:val="bottom"/>
          </w:tcPr>
          <w:p>
            <w:pPr>
              <w:spacing w:after="0"/>
              <w:rPr>
                <w:sz w:val="21"/>
                <w:szCs w:val="21"/>
                <w:color w:val="auto"/>
              </w:rPr>
            </w:pPr>
          </w:p>
        </w:tc>
        <w:tc>
          <w:tcPr>
            <w:tcW w:w="76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9"/>
              </w:rPr>
              <w:t>AT DECEMBER 31, 2021</w:t>
            </w:r>
          </w:p>
        </w:tc>
      </w:tr>
      <w:tr>
        <w:trPr>
          <w:trHeight w:val="742"/>
        </w:trPr>
        <w:tc>
          <w:tcPr>
            <w:tcW w:w="3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3640" w:type="dxa"/>
            <w:vAlign w:val="bottom"/>
          </w:tcPr>
          <w:p>
            <w:pPr>
              <w:ind w:left="80"/>
              <w:spacing w:after="0"/>
              <w:rPr>
                <w:sz w:val="20"/>
                <w:szCs w:val="20"/>
                <w:color w:val="auto"/>
              </w:rPr>
            </w:pPr>
            <w:r>
              <w:rPr>
                <w:rFonts w:ascii="Arial" w:cs="Arial" w:eastAsia="Arial" w:hAnsi="Arial"/>
                <w:sz w:val="18"/>
                <w:szCs w:val="18"/>
                <w:color w:val="auto"/>
              </w:rPr>
              <w:t>SUBSIDIARY NAME</w:t>
            </w:r>
          </w:p>
        </w:tc>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ORGANIZATION TYPE</w:t>
            </w:r>
          </w:p>
        </w:tc>
      </w:tr>
      <w:tr>
        <w:trPr>
          <w:trHeight w:val="27"/>
        </w:trPr>
        <w:tc>
          <w:tcPr>
            <w:tcW w:w="3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640" w:type="dxa"/>
            <w:vAlign w:val="bottom"/>
          </w:tcPr>
          <w:p>
            <w:pPr>
              <w:ind w:left="80"/>
              <w:spacing w:after="0"/>
              <w:rPr>
                <w:sz w:val="20"/>
                <w:szCs w:val="20"/>
                <w:color w:val="auto"/>
              </w:rPr>
            </w:pPr>
            <w:r>
              <w:rPr>
                <w:rFonts w:ascii="Arial" w:cs="Arial" w:eastAsia="Arial" w:hAnsi="Arial"/>
                <w:sz w:val="18"/>
                <w:szCs w:val="18"/>
                <w:color w:val="auto"/>
              </w:rPr>
              <w:t>Southwest Gas Holdings, Inc.</w:t>
            </w:r>
          </w:p>
        </w:tc>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Southwest Gas Utility Group,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California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Southwest Gas Corporation</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California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Utility Financial Corp.</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The Southwest Companies</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310"/>
        </w:trPr>
        <w:tc>
          <w:tcPr>
            <w:tcW w:w="3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Limited partnership between</w:t>
            </w:r>
          </w:p>
        </w:tc>
      </w:tr>
      <w:tr>
        <w:trPr>
          <w:trHeight w:val="216"/>
        </w:trPr>
        <w:tc>
          <w:tcPr>
            <w:tcW w:w="3640" w:type="dxa"/>
            <w:vAlign w:val="bottom"/>
          </w:tcPr>
          <w:p>
            <w:pPr>
              <w:ind w:left="80"/>
              <w:spacing w:after="0"/>
              <w:rPr>
                <w:sz w:val="20"/>
                <w:szCs w:val="20"/>
                <w:color w:val="auto"/>
              </w:rPr>
            </w:pPr>
            <w:r>
              <w:rPr>
                <w:rFonts w:ascii="Arial" w:cs="Arial" w:eastAsia="Arial" w:hAnsi="Arial"/>
                <w:sz w:val="18"/>
                <w:szCs w:val="18"/>
                <w:color w:val="auto"/>
              </w:rPr>
              <w:t>Southwest Gas Transmission Company</w:t>
            </w: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Southwest Gas Corporation</w:t>
            </w:r>
          </w:p>
        </w:tc>
      </w:tr>
      <w:tr>
        <w:trPr>
          <w:trHeight w:val="230"/>
        </w:trPr>
        <w:tc>
          <w:tcPr>
            <w:tcW w:w="36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and Utility Financial Corp.</w:t>
            </w:r>
          </w:p>
        </w:tc>
      </w:tr>
      <w:tr>
        <w:trPr>
          <w:trHeight w:val="338"/>
        </w:trPr>
        <w:tc>
          <w:tcPr>
            <w:tcW w:w="3640" w:type="dxa"/>
            <w:vAlign w:val="bottom"/>
          </w:tcPr>
          <w:p>
            <w:pPr>
              <w:ind w:left="80"/>
              <w:spacing w:after="0"/>
              <w:rPr>
                <w:sz w:val="20"/>
                <w:szCs w:val="20"/>
                <w:color w:val="auto"/>
              </w:rPr>
            </w:pPr>
            <w:r>
              <w:rPr>
                <w:rFonts w:ascii="Arial" w:cs="Arial" w:eastAsia="Arial" w:hAnsi="Arial"/>
                <w:sz w:val="18"/>
                <w:szCs w:val="18"/>
                <w:color w:val="auto"/>
              </w:rPr>
              <w:t>Great Basin Gas Transmission Company</w:t>
            </w:r>
          </w:p>
        </w:tc>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MountainWest Pipelines Holding Company</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Dominion Energy Questar Pipeline,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QPC Holding Company,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Questar Southern Trails Pipeline Company</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Questar Energy Services,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Dominion Energy Overthrust Pipeline,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w w:val="90"/>
              </w:rPr>
              <w:t>Dominion Energy Questar Pipeline Services,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Questar Field Services,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Questar White River Hub,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Utah</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White River Hub,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Carson Water Company</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Centuri Group,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Centuri U.S. Division,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Centuri Oil &amp; Gas Group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Oil &amp; Gas Division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NPL Construction Co.</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Southwest Administrators,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NPL East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NPL Great Lakes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NPL Mid-America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NPL West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National Barricade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Intellichoice Energy,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Intellichoice Energy of California,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Meritus Oil &amp; Gas Division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Delaware</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Canyon Pipeline Construction, Inc.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Canyon Traffic Control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r>
        <w:trPr>
          <w:trHeight w:val="270"/>
        </w:trPr>
        <w:tc>
          <w:tcPr>
            <w:tcW w:w="3640" w:type="dxa"/>
            <w:vAlign w:val="bottom"/>
          </w:tcPr>
          <w:p>
            <w:pPr>
              <w:ind w:left="80"/>
              <w:spacing w:after="0"/>
              <w:rPr>
                <w:sz w:val="20"/>
                <w:szCs w:val="20"/>
                <w:color w:val="auto"/>
              </w:rPr>
            </w:pPr>
            <w:r>
              <w:rPr>
                <w:rFonts w:ascii="Arial" w:cs="Arial" w:eastAsia="Arial" w:hAnsi="Arial"/>
                <w:sz w:val="18"/>
                <w:szCs w:val="18"/>
                <w:color w:val="auto"/>
              </w:rPr>
              <w:t>Canyon Special Projects LLC</w:t>
            </w:r>
          </w:p>
        </w:tc>
        <w:tc>
          <w:tcPr>
            <w:tcW w:w="3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Nevada</w:t>
            </w:r>
          </w:p>
        </w:tc>
      </w:tr>
    </w:tbl>
    <w:p>
      <w:pPr>
        <w:sectPr>
          <w:pgSz w:w="11900" w:h="16838" w:orient="portrait"/>
          <w:cols w:equalWidth="0" w:num="1">
            <w:col w:w="11240"/>
          </w:cols>
          <w:pgMar w:left="320" w:top="1426" w:right="339" w:bottom="1440" w:gutter="0" w:footer="0" w:header="0"/>
        </w:sectPr>
      </w:pPr>
    </w:p>
    <w:bookmarkStart w:id="128" w:name="page129"/>
    <w:bookmarkEnd w:id="12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New England Utility Constructors,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6"/>
              </w:rPr>
              <w:t>Massachusetts</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Neuco Equipment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90"/>
              </w:rPr>
              <w:t>Nevada</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Centuri Power Group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Meritus Electric T&amp;D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Linetec Services,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Electric T&amp;D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National Powerline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Electric T&amp;D Holdings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Drum Parent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NAPEC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CVTech Holding Inc.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Riggs Distler &amp; Company,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94"/>
              </w:rPr>
              <w:t>Maryland</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VRO Construction Partners 1,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New Jersey</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Shelby Mechanical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Shelby Plumbing,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New Jersey</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Centuri Services Group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Services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Meritus Services Division LLC</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9"/>
              </w:rPr>
              <w:t>Delaware</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Centuri Canada Division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NPL Canada Ltd.</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W.S. Nicholls Construction Inc.</w:t>
            </w:r>
          </w:p>
        </w:tc>
        <w:tc>
          <w:tcPr>
            <w:tcW w:w="4080" w:type="dxa"/>
            <w:vAlign w:val="bottom"/>
          </w:tcPr>
          <w:p>
            <w:pPr>
              <w:jc w:val="center"/>
              <w:ind w:left="2810"/>
              <w:spacing w:after="0"/>
              <w:rPr>
                <w:sz w:val="20"/>
                <w:szCs w:val="20"/>
                <w:color w:val="auto"/>
              </w:rPr>
            </w:pPr>
            <w:r>
              <w:rPr>
                <w:rFonts w:ascii="Arial" w:cs="Arial" w:eastAsia="Arial" w:hAnsi="Arial"/>
                <w:sz w:val="18"/>
                <w:szCs w:val="18"/>
                <w:color w:val="auto"/>
                <w:w w:val="89"/>
              </w:rPr>
              <w:t>Ontario, Canada</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W.S. Nicholls Western Construction Ltd.</w:t>
            </w:r>
          </w:p>
        </w:tc>
        <w:tc>
          <w:tcPr>
            <w:tcW w:w="4080" w:type="dxa"/>
            <w:vAlign w:val="bottom"/>
          </w:tcPr>
          <w:p>
            <w:pPr>
              <w:jc w:val="center"/>
              <w:ind w:left="2790"/>
              <w:spacing w:after="0"/>
              <w:rPr>
                <w:sz w:val="20"/>
                <w:szCs w:val="20"/>
                <w:color w:val="auto"/>
              </w:rPr>
            </w:pPr>
            <w:r>
              <w:rPr>
                <w:rFonts w:ascii="Arial" w:cs="Arial" w:eastAsia="Arial" w:hAnsi="Arial"/>
                <w:sz w:val="18"/>
                <w:szCs w:val="18"/>
                <w:color w:val="auto"/>
                <w:w w:val="86"/>
              </w:rPr>
              <w:t>Federal, Canada</w:t>
            </w:r>
          </w:p>
        </w:tc>
      </w:tr>
    </w:tbl>
    <w:p>
      <w:pPr>
        <w:sectPr>
          <w:pgSz w:w="11900" w:h="16838" w:orient="portrait"/>
          <w:cols w:equalWidth="0" w:num="1">
            <w:col w:w="10059"/>
          </w:cols>
          <w:pgMar w:left="400" w:top="1440"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333-251074) and Form S-8 (Nos. 333-215145-01, 333-155581-01, 333-200835-01, 333-168731-01, 333-215150-01, 333-185354-01, 333-222048) of Southwest Gas Holdings, Inc. of our report dated March 1, 2022 relating to the financial statements and the effectiveness of internal control over financial reporting, which appears in the 2021 Annual Report to Stockholders, which is incorporated by reference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89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333-251074-01) of Southwest Gas Corporation of our report dated March 1, 2022 relating to the financial statements, which appears in the 2021 Annual Report to Stockholders, which is incorporated by reference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89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66" w:lineRule="exact"/>
        <w:rPr>
          <w:sz w:val="20"/>
          <w:szCs w:val="20"/>
          <w:color w:val="auto"/>
        </w:rPr>
      </w:pPr>
    </w:p>
    <w:p>
      <w:pPr>
        <w:ind w:left="680" w:hanging="65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66" w:lineRule="exact"/>
        <w:rPr>
          <w:sz w:val="20"/>
          <w:szCs w:val="20"/>
          <w:color w:val="auto"/>
        </w:rPr>
      </w:pPr>
    </w:p>
    <w:p>
      <w:pPr>
        <w:ind w:left="680" w:hanging="65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Holdings, Inc.;</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8"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1012"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66" w:lineRule="exact"/>
        <w:rPr>
          <w:sz w:val="20"/>
          <w:szCs w:val="20"/>
          <w:color w:val="auto"/>
        </w:rPr>
      </w:pPr>
    </w:p>
    <w:p>
      <w:pPr>
        <w:ind w:left="680" w:hanging="65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66" w:lineRule="exact"/>
        <w:rPr>
          <w:sz w:val="20"/>
          <w:szCs w:val="20"/>
          <w:color w:val="auto"/>
        </w:rPr>
      </w:pPr>
    </w:p>
    <w:p>
      <w:pPr>
        <w:ind w:left="680" w:hanging="65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Southwest Gas Corporation;</w:t>
      </w:r>
    </w:p>
    <w:p>
      <w:pPr>
        <w:spacing w:after="0" w:line="346"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940" w:right="140" w:hanging="325"/>
        <w:spacing w:after="0" w:line="255" w:lineRule="auto"/>
        <w:tabs>
          <w:tab w:leader="none" w:pos="93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400" w:hanging="325"/>
        <w:spacing w:after="0" w:line="250" w:lineRule="auto"/>
        <w:tabs>
          <w:tab w:leader="none" w:pos="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40" w:right="580" w:hanging="325"/>
        <w:spacing w:after="0" w:line="281" w:lineRule="auto"/>
        <w:tabs>
          <w:tab w:leader="none" w:pos="9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140" w:hanging="325"/>
        <w:spacing w:after="0" w:line="255" w:lineRule="auto"/>
        <w:tabs>
          <w:tab w:leader="none" w:pos="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6"/>
          <w:szCs w:val="16"/>
          <w:color w:val="auto"/>
        </w:rPr>
      </w:pPr>
    </w:p>
    <w:p>
      <w:pPr>
        <w:ind w:left="940" w:right="40" w:hanging="325"/>
        <w:spacing w:after="0" w:line="274" w:lineRule="auto"/>
        <w:tabs>
          <w:tab w:leader="none" w:pos="9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40" w:hanging="325"/>
        <w:spacing w:after="0" w:line="260" w:lineRule="auto"/>
        <w:tabs>
          <w:tab w:leader="none" w:pos="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2021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2022</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2974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John P. Hester</w:t>
      </w:r>
    </w:p>
    <w:p>
      <w:pPr>
        <w:ind w:left="7620"/>
        <w:spacing w:after="0" w:line="203" w:lineRule="auto"/>
        <w:rPr>
          <w:sz w:val="20"/>
          <w:szCs w:val="20"/>
          <w:color w:val="auto"/>
        </w:rPr>
      </w:pPr>
      <w:r>
        <w:rPr>
          <w:rFonts w:ascii="Arial" w:cs="Arial" w:eastAsia="Arial" w:hAnsi="Arial"/>
          <w:sz w:val="18"/>
          <w:szCs w:val="18"/>
          <w:color w:val="auto"/>
        </w:rPr>
        <w:t>President and Chief Executive Officer</w:t>
      </w:r>
    </w:p>
    <w:p>
      <w:pPr>
        <w:ind w:left="7620"/>
        <w:spacing w:after="0"/>
        <w:rPr>
          <w:sz w:val="20"/>
          <w:szCs w:val="20"/>
          <w:color w:val="auto"/>
        </w:rPr>
      </w:pPr>
      <w:r>
        <w:rPr>
          <w:rFonts w:ascii="Arial" w:cs="Arial" w:eastAsia="Arial" w:hAnsi="Arial"/>
          <w:sz w:val="18"/>
          <w:szCs w:val="18"/>
          <w:color w:val="auto"/>
        </w:rPr>
        <w:t>Southwest Gas Holdings,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10-K for the period ended December 31, 2021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2022</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14605</wp:posOffset>
            </wp:positionV>
            <wp:extent cx="2306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2306320" cy="8890"/>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8"/>
          <w:szCs w:val="18"/>
          <w:color w:val="auto"/>
        </w:rPr>
        <w:t>Gregory J. Peterson</w:t>
      </w:r>
    </w:p>
    <w:p>
      <w:pPr>
        <w:ind w:left="760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10-K for the period ended December 31, 2021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2022</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P. Hester</w:t>
      </w:r>
    </w:p>
    <w:p>
      <w:pPr>
        <w:ind w:left="7660"/>
        <w:spacing w:after="0" w:line="203" w:lineRule="auto"/>
        <w:rPr>
          <w:sz w:val="20"/>
          <w:szCs w:val="20"/>
          <w:color w:val="auto"/>
        </w:rPr>
      </w:pPr>
      <w:r>
        <w:rPr>
          <w:rFonts w:ascii="Arial" w:cs="Arial" w:eastAsia="Arial" w:hAnsi="Arial"/>
          <w:sz w:val="18"/>
          <w:szCs w:val="18"/>
          <w:color w:val="auto"/>
        </w:rPr>
        <w:t>President and Chief Executive Officer</w:t>
      </w:r>
    </w:p>
    <w:p>
      <w:pPr>
        <w:ind w:left="7660"/>
        <w:spacing w:after="0"/>
        <w:rPr>
          <w:sz w:val="20"/>
          <w:szCs w:val="20"/>
          <w:color w:val="auto"/>
        </w:rPr>
      </w:pPr>
      <w:r>
        <w:rPr>
          <w:rFonts w:ascii="Arial" w:cs="Arial" w:eastAsia="Arial" w:hAnsi="Arial"/>
          <w:sz w:val="18"/>
          <w:szCs w:val="18"/>
          <w:color w:val="auto"/>
        </w:rPr>
        <w:t>Southwest Gas Corporation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10-K for the period ended December 31, 2021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2022</w:t>
      </w:r>
    </w:p>
    <w:p>
      <w:pPr>
        <w:spacing w:after="0" w:line="7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Gregory J. Peterson</w:t>
      </w:r>
    </w:p>
    <w:p>
      <w:pPr>
        <w:ind w:left="7660"/>
        <w:spacing w:after="0" w:line="203" w:lineRule="auto"/>
        <w:rPr>
          <w:sz w:val="20"/>
          <w:szCs w:val="20"/>
          <w:color w:val="auto"/>
        </w:rPr>
      </w:pPr>
      <w:r>
        <w:rPr>
          <w:rFonts w:ascii="Arial" w:cs="Arial" w:eastAsia="Arial" w:hAnsi="Arial"/>
          <w:sz w:val="18"/>
          <w:szCs w:val="18"/>
          <w:color w:val="auto"/>
        </w:rPr>
        <w:t>Senior Vice President/Chief Financial Officer</w:t>
      </w:r>
    </w:p>
    <w:p>
      <w:pPr>
        <w:ind w:left="7660"/>
        <w:spacing w:after="0"/>
        <w:rPr>
          <w:sz w:val="20"/>
          <w:szCs w:val="20"/>
          <w:color w:val="auto"/>
        </w:rPr>
      </w:pPr>
      <w:r>
        <w:rPr>
          <w:rFonts w:ascii="Arial" w:cs="Arial" w:eastAsia="Arial" w:hAnsi="Arial"/>
          <w:sz w:val="18"/>
          <w:szCs w:val="18"/>
          <w:color w:val="auto"/>
        </w:rPr>
        <w:t>Southwest Gas Corporation</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Letter"/>
      <w:start w:val="5"/>
    </w:lvl>
  </w:abstractNum>
  <w:abstractNum w:abstractNumId="8">
    <w:nsid w:val="836C40E"/>
    <w:multiLevelType w:val="hybridMultilevel"/>
    <w:lvl w:ilvl="0">
      <w:lvlJc w:val="left"/>
      <w:lvlText w:val="(%1)"/>
      <w:numFmt w:val="lowerLetter"/>
      <w:start w:val="10"/>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lowerLetter"/>
      <w:start w:val="1"/>
    </w:lvl>
    <w:lvl w:ilvl="1">
      <w:lvlJc w:val="left"/>
      <w:lvlText w:val="(%2)"/>
      <w:numFmt w:val="decimal"/>
      <w:start w:val="1"/>
    </w:lvl>
  </w:abstractNum>
  <w:abstractNum w:abstractNumId="13">
    <w:nsid w:val="7C3DBD3D"/>
    <w:multiLevelType w:val="hybridMultilevel"/>
    <w:lvl w:ilvl="0">
      <w:lvlJc w:val="left"/>
      <w:lvlText w:val="%1"/>
      <w:numFmt w:val="lowerLetter"/>
      <w:start w:val="1"/>
    </w:lvl>
    <w:lvl w:ilvl="1">
      <w:lvlJc w:val="left"/>
      <w:lvlText w:val="(%2)"/>
      <w:numFmt w:val="decimal"/>
      <w:start w:val="2"/>
    </w:lvl>
  </w:abstractNum>
  <w:abstractNum w:abstractNumId="14">
    <w:nsid w:val="737B8DDC"/>
    <w:multiLevelType w:val="hybridMultilevel"/>
    <w:lvl w:ilvl="0">
      <w:lvlJc w:val="left"/>
      <w:lvlText w:val="(%1)"/>
      <w:numFmt w:val="lowerLetter"/>
      <w:start w:val="2"/>
    </w:lvl>
    <w:lvl w:ilvl="1">
      <w:lvlJc w:val="left"/>
      <w:lvlText w:val="%2"/>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8"/>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4"/>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6"/>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lvl w:ilvl="1">
      <w:lvlJc w:val="left"/>
      <w:lvlText w:val="▪"/>
      <w:numFmt w:val="bullet"/>
      <w:start w:val="1"/>
    </w:lvl>
  </w:abstractNum>
  <w:abstractNum w:abstractNumId="37">
    <w:nsid w:val="2A487CB0"/>
    <w:multiLevelType w:val="hybridMultilevel"/>
    <w:lvl w:ilvl="0">
      <w:lvlJc w:val="left"/>
      <w:lvlText w:val="(%1)"/>
      <w:numFmt w:val="decimal"/>
      <w:start w:val="3"/>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71" Type="http://schemas.openxmlformats.org/officeDocument/2006/relationships/image" Target="media/image35.png"/><Relationship Id="rId72" Type="http://schemas.openxmlformats.org/officeDocument/2006/relationships/image" Target="media/image36.png"/><Relationship Id="rId89" Type="http://schemas.openxmlformats.org/officeDocument/2006/relationships/image" Target="media/image37.png"/><Relationship Id="rId90" Type="http://schemas.openxmlformats.org/officeDocument/2006/relationships/image" Target="media/image38.png"/><Relationship Id="rId109" Type="http://schemas.openxmlformats.org/officeDocument/2006/relationships/image" Target="media/image39.png"/><Relationship Id="rId110" Type="http://schemas.openxmlformats.org/officeDocument/2006/relationships/image" Target="media/image40.png"/><Relationship Id="rId112" Type="http://schemas.openxmlformats.org/officeDocument/2006/relationships/image" Target="media/image41.png"/><Relationship Id="rId113" Type="http://schemas.openxmlformats.org/officeDocument/2006/relationships/image" Target="media/image42.png"/><Relationship Id="rId114" Type="http://schemas.openxmlformats.org/officeDocument/2006/relationships/image" Target="media/image43.png"/><Relationship Id="rId115" Type="http://schemas.openxmlformats.org/officeDocument/2006/relationships/image" Target="media/image44.png"/><Relationship Id="rId116" Type="http://schemas.openxmlformats.org/officeDocument/2006/relationships/image" Target="media/image45.png"/><Relationship Id="rId117" Type="http://schemas.openxmlformats.org/officeDocument/2006/relationships/image" Target="media/image46.png"/><Relationship Id="rId118" Type="http://schemas.openxmlformats.org/officeDocument/2006/relationships/image" Target="media/image47.png"/><Relationship Id="rId119" Type="http://schemas.openxmlformats.org/officeDocument/2006/relationships/image" Target="media/image48.png"/><Relationship Id="rId120" Type="http://schemas.openxmlformats.org/officeDocument/2006/relationships/image" Target="media/image49.png"/><Relationship Id="rId121" Type="http://schemas.openxmlformats.org/officeDocument/2006/relationships/image" Target="media/image50.png"/><Relationship Id="rId122" Type="http://schemas.openxmlformats.org/officeDocument/2006/relationships/image" Target="media/image51.png"/><Relationship Id="rId123" Type="http://schemas.openxmlformats.org/officeDocument/2006/relationships/image" Target="media/image52.png"/><Relationship Id="rId124" Type="http://schemas.openxmlformats.org/officeDocument/2006/relationships/image" Target="media/image53.png"/><Relationship Id="rId125" Type="http://schemas.openxmlformats.org/officeDocument/2006/relationships/image" Target="media/image54.png"/><Relationship Id="rId126" Type="http://schemas.openxmlformats.org/officeDocument/2006/relationships/image" Target="media/image55.pn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144" Type="http://schemas.openxmlformats.org/officeDocument/2006/relationships/image" Target="media/image73.png"/><Relationship Id="rId145"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150" Type="http://schemas.openxmlformats.org/officeDocument/2006/relationships/image" Target="media/image79.png"/><Relationship Id="rId151" Type="http://schemas.openxmlformats.org/officeDocument/2006/relationships/image" Target="media/image80.png"/><Relationship Id="rId152" Type="http://schemas.openxmlformats.org/officeDocument/2006/relationships/image" Target="media/image81.png"/><Relationship Id="rId153" Type="http://schemas.openxmlformats.org/officeDocument/2006/relationships/image" Target="media/image82.png"/><Relationship Id="rId154" Type="http://schemas.openxmlformats.org/officeDocument/2006/relationships/image" Target="media/image83.png"/><Relationship Id="rId155" Type="http://schemas.openxmlformats.org/officeDocument/2006/relationships/image" Target="media/image84.png"/><Relationship Id="rId156" Type="http://schemas.openxmlformats.org/officeDocument/2006/relationships/image" Target="media/image85.png"/><Relationship Id="rId157" Type="http://schemas.openxmlformats.org/officeDocument/2006/relationships/image" Target="media/image86.png"/><Relationship Id="rId158" Type="http://schemas.openxmlformats.org/officeDocument/2006/relationships/image" Target="media/image87.png"/><Relationship Id="rId159" Type="http://schemas.openxmlformats.org/officeDocument/2006/relationships/image" Target="media/image88.png"/><Relationship Id="rId160" Type="http://schemas.openxmlformats.org/officeDocument/2006/relationships/image" Target="media/image89.png"/><Relationship Id="rId161"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165" Type="http://schemas.openxmlformats.org/officeDocument/2006/relationships/image" Target="media/image94.png"/><Relationship Id="rId166" Type="http://schemas.openxmlformats.org/officeDocument/2006/relationships/image" Target="media/image95.png"/><Relationship Id="rId167" Type="http://schemas.openxmlformats.org/officeDocument/2006/relationships/image" Target="media/image96.png"/><Relationship Id="rId168" Type="http://schemas.openxmlformats.org/officeDocument/2006/relationships/image" Target="media/image97.png"/><Relationship Id="rId169" Type="http://schemas.openxmlformats.org/officeDocument/2006/relationships/image" Target="media/image98.png"/><Relationship Id="rId170" Type="http://schemas.openxmlformats.org/officeDocument/2006/relationships/image" Target="media/image99.png"/><Relationship Id="rId171" Type="http://schemas.openxmlformats.org/officeDocument/2006/relationships/image" Target="media/image100.png"/><Relationship Id="rId172" Type="http://schemas.openxmlformats.org/officeDocument/2006/relationships/image" Target="media/image101.png"/><Relationship Id="rId173" Type="http://schemas.openxmlformats.org/officeDocument/2006/relationships/image" Target="media/image102.png"/><Relationship Id="rId174" Type="http://schemas.openxmlformats.org/officeDocument/2006/relationships/image" Target="media/image103.png"/><Relationship Id="rId175" Type="http://schemas.openxmlformats.org/officeDocument/2006/relationships/image" Target="media/image104.png"/><Relationship Id="rId176" Type="http://schemas.openxmlformats.org/officeDocument/2006/relationships/image" Target="media/image105.png"/><Relationship Id="rId177" Type="http://schemas.openxmlformats.org/officeDocument/2006/relationships/image" Target="media/image106.png"/><Relationship Id="rId178" Type="http://schemas.openxmlformats.org/officeDocument/2006/relationships/image" Target="media/image107.png"/><Relationship Id="rId179" Type="http://schemas.openxmlformats.org/officeDocument/2006/relationships/image" Target="media/image108.png"/><Relationship Id="rId180" Type="http://schemas.openxmlformats.org/officeDocument/2006/relationships/image" Target="media/image109.png"/><Relationship Id="rId181" Type="http://schemas.openxmlformats.org/officeDocument/2006/relationships/image" Target="media/image110.png"/><Relationship Id="rId182" Type="http://schemas.openxmlformats.org/officeDocument/2006/relationships/image" Target="media/image111.png"/><Relationship Id="rId183" Type="http://schemas.openxmlformats.org/officeDocument/2006/relationships/image" Target="media/image112.png"/><Relationship Id="rId184" Type="http://schemas.openxmlformats.org/officeDocument/2006/relationships/image" Target="media/image113.png"/><Relationship Id="rId185" Type="http://schemas.openxmlformats.org/officeDocument/2006/relationships/image" Target="media/image114.png"/><Relationship Id="rId186" Type="http://schemas.openxmlformats.org/officeDocument/2006/relationships/image" Target="media/image115.png"/><Relationship Id="rId187" Type="http://schemas.openxmlformats.org/officeDocument/2006/relationships/image" Target="media/image116.png"/><Relationship Id="rId188" Type="http://schemas.openxmlformats.org/officeDocument/2006/relationships/image" Target="media/image117.png"/><Relationship Id="rId189" Type="http://schemas.openxmlformats.org/officeDocument/2006/relationships/image" Target="media/image118.png"/><Relationship Id="rId190" Type="http://schemas.openxmlformats.org/officeDocument/2006/relationships/image" Target="media/image119.png"/><Relationship Id="rId191" Type="http://schemas.openxmlformats.org/officeDocument/2006/relationships/image" Target="media/image120.png"/><Relationship Id="rId192" Type="http://schemas.openxmlformats.org/officeDocument/2006/relationships/image" Target="media/image121.png"/><Relationship Id="rId193" Type="http://schemas.openxmlformats.org/officeDocument/2006/relationships/image" Target="media/image122.png"/><Relationship Id="rId194" Type="http://schemas.openxmlformats.org/officeDocument/2006/relationships/image" Target="media/image123.png"/><Relationship Id="rId195" Type="http://schemas.openxmlformats.org/officeDocument/2006/relationships/image" Target="media/image124.png"/><Relationship Id="rId196" Type="http://schemas.openxmlformats.org/officeDocument/2006/relationships/image" Target="media/image125.png"/><Relationship Id="rId197" Type="http://schemas.openxmlformats.org/officeDocument/2006/relationships/image" Target="media/image126.png"/><Relationship Id="rId198" Type="http://schemas.openxmlformats.org/officeDocument/2006/relationships/image" Target="media/image127.png"/><Relationship Id="rId199" Type="http://schemas.openxmlformats.org/officeDocument/2006/relationships/image" Target="media/image128.png"/><Relationship Id="rId200" Type="http://schemas.openxmlformats.org/officeDocument/2006/relationships/image" Target="media/image129.png"/><Relationship Id="rId201" Type="http://schemas.openxmlformats.org/officeDocument/2006/relationships/image" Target="media/image130.png"/><Relationship Id="rId202" Type="http://schemas.openxmlformats.org/officeDocument/2006/relationships/image" Target="media/image131.png"/><Relationship Id="rId203" Type="http://schemas.openxmlformats.org/officeDocument/2006/relationships/image" Target="media/image132.png"/><Relationship Id="rId204" Type="http://schemas.openxmlformats.org/officeDocument/2006/relationships/image" Target="media/image133.png"/><Relationship Id="rId205"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208" Type="http://schemas.openxmlformats.org/officeDocument/2006/relationships/image" Target="media/image137.png"/><Relationship Id="rId209" Type="http://schemas.openxmlformats.org/officeDocument/2006/relationships/image" Target="media/image138.png"/><Relationship Id="rId210" Type="http://schemas.openxmlformats.org/officeDocument/2006/relationships/image" Target="media/image139.png"/><Relationship Id="rId211" Type="http://schemas.openxmlformats.org/officeDocument/2006/relationships/image" Target="media/image140.png"/><Relationship Id="rId212" Type="http://schemas.openxmlformats.org/officeDocument/2006/relationships/image" Target="media/image141.png"/><Relationship Id="rId213" Type="http://schemas.openxmlformats.org/officeDocument/2006/relationships/image" Target="media/image142.png"/><Relationship Id="rId214" Type="http://schemas.openxmlformats.org/officeDocument/2006/relationships/image" Target="media/image143.png"/><Relationship Id="rId215" Type="http://schemas.openxmlformats.org/officeDocument/2006/relationships/image" Target="media/image144.png"/><Relationship Id="rId216" Type="http://schemas.openxmlformats.org/officeDocument/2006/relationships/image" Target="media/image145.png"/><Relationship Id="rId217" Type="http://schemas.openxmlformats.org/officeDocument/2006/relationships/image" Target="media/image146.png"/><Relationship Id="rId218" Type="http://schemas.openxmlformats.org/officeDocument/2006/relationships/image" Target="media/image147.png"/><Relationship Id="rId219"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40" Type="http://schemas.openxmlformats.org/officeDocument/2006/relationships/hyperlink" Target="http://www.sec.gov/Archives/edgar/data/1692115/000119312521203319/d188385dex21.htm" TargetMode="External"/><Relationship Id="rId41" Type="http://schemas.openxmlformats.org/officeDocument/2006/relationships/hyperlink" Target="http://www.sec.gov/Archives/edgar/data/1692115/000119312521292244/d212564dex21.htm" TargetMode="External"/><Relationship Id="rId42" Type="http://schemas.openxmlformats.org/officeDocument/2006/relationships/hyperlink" Target="http://www.sec.gov/Archives/edgar/data/1692115/000119312519250669/d745199dex31.htm" TargetMode="External"/><Relationship Id="rId43" Type="http://schemas.openxmlformats.org/officeDocument/2006/relationships/hyperlink" Target="http://www.sec.gov/Archives/edgar/data/1692115/000119312519250669/d745199dex32.htm" TargetMode="External"/><Relationship Id="rId44" Type="http://schemas.openxmlformats.org/officeDocument/2006/relationships/hyperlink" Target="http://www.sec.gov/Archives/edgar/data/1692115/000119312521296267/d160820dex31.htm" TargetMode="External"/><Relationship Id="rId45" Type="http://schemas.openxmlformats.org/officeDocument/2006/relationships/hyperlink" Target="http://www.sec.gov/Archives/edgar/data/92416/0000892569-94-000102.txt" TargetMode="External"/><Relationship Id="rId46" Type="http://schemas.openxmlformats.org/officeDocument/2006/relationships/hyperlink" Target="http://www.sec.gov/Archives/edgar/data/92416/0000092416-96-000040.txt" TargetMode="External"/><Relationship Id="rId47" Type="http://schemas.openxmlformats.org/officeDocument/2006/relationships/hyperlink" Target="http://www.sec.gov/Archives/edgar/data/92416/0000092416-96-000059.txt" TargetMode="External"/><Relationship Id="rId48" Type="http://schemas.openxmlformats.org/officeDocument/2006/relationships/hyperlink" Target="http://www.sec.gov/Archives/edgar/data/92416/000009241608000067/exhibit1001.htm" TargetMode="External"/><Relationship Id="rId49" Type="http://schemas.openxmlformats.org/officeDocument/2006/relationships/hyperlink" Target="http://www.sec.gov/Archives/edgar/data/92416/000009241608000067/exhibit1002.htm" TargetMode="External"/><Relationship Id="rId50" Type="http://schemas.openxmlformats.org/officeDocument/2006/relationships/hyperlink" Target="http://www.sec.gov/Archives/edgar/data/92416/000119312510042973/dex427.htm" TargetMode="External"/><Relationship Id="rId51" Type="http://schemas.openxmlformats.org/officeDocument/2006/relationships/hyperlink" Target="http://www.sec.gov/Archives/edgar/data/92416/000119312510268436/dex41.htm" TargetMode="External"/><Relationship Id="rId52" Type="http://schemas.openxmlformats.org/officeDocument/2006/relationships/hyperlink" Target="http://www.sec.gov/Archives/edgar/data/92416/000009241614000008/exhibit4-1.htm" TargetMode="External"/><Relationship Id="rId53" Type="http://schemas.openxmlformats.org/officeDocument/2006/relationships/hyperlink" Target="http://www.sec.gov/Archives/edgar/data/92416/000119312516762846/d256766dex402.htm" TargetMode="External"/><Relationship Id="rId56" Type="http://schemas.openxmlformats.org/officeDocument/2006/relationships/hyperlink" Target="http://www.sec.gov/Archives/edgar/data/92416/000119312512129184/d321987dex41.htm" TargetMode="External"/><Relationship Id="rId57" Type="http://schemas.openxmlformats.org/officeDocument/2006/relationships/hyperlink" Target="http://www.sec.gov/Archives/edgar/data/92416/000119312513391564/d607288dex41.htm" TargetMode="External"/><Relationship Id="rId58" Type="http://schemas.openxmlformats.org/officeDocument/2006/relationships/hyperlink" Target="http://www.sec.gov/Archives/edgar/data/1692115/000119312520308447/d29781d424b5.htm" TargetMode="External"/><Relationship Id="rId59" Type="http://schemas.openxmlformats.org/officeDocument/2006/relationships/hyperlink" Target="http://www.sec.gov/ix?doc=/Archives/edgar/data/1692115/000119312520308471/d92220d8k.htm" TargetMode="External"/><Relationship Id="rId60" Type="http://schemas.openxmlformats.org/officeDocument/2006/relationships/hyperlink" Target="http://www.sec.gov/Archives/edgar/data/92416/000119312516720575/d265946d424b5.htm" TargetMode="External"/><Relationship Id="rId61" Type="http://schemas.openxmlformats.org/officeDocument/2006/relationships/hyperlink" Target="http://www.sec.gov/Archives/edgar/data/92416/000119312518084096/d482364dex41.htm" TargetMode="External"/><Relationship Id="rId62" Type="http://schemas.openxmlformats.org/officeDocument/2006/relationships/hyperlink" Target="http://www.sec.gov/Archives/edgar/data/92416/000119312518084096/d482364dex42.htm" TargetMode="External"/><Relationship Id="rId63" Type="http://schemas.openxmlformats.org/officeDocument/2006/relationships/hyperlink" Target="http://www.sec.gov/Archives/edgar/data/92416/000119312519162792/d756014dex41.htm" TargetMode="External"/><Relationship Id="rId64" Type="http://schemas.openxmlformats.org/officeDocument/2006/relationships/hyperlink" Target="http://www.sec.gov/Archives/edgar/data/92416/000119312519162792/d756014dex42.htm" TargetMode="External"/><Relationship Id="rId65" Type="http://schemas.openxmlformats.org/officeDocument/2006/relationships/hyperlink" Target="http://www.sec.gov/Archives/edgar/data/92416/000119312520160698/d939354dex41.htm" TargetMode="External"/><Relationship Id="rId66" Type="http://schemas.openxmlformats.org/officeDocument/2006/relationships/hyperlink" Target="http://www.sec.gov/Archives/edgar/data/92416/000119312520160698/d939354dex42.htm" TargetMode="External"/><Relationship Id="rId67" Type="http://schemas.openxmlformats.org/officeDocument/2006/relationships/hyperlink" Target="http://www.sec.gov/Archives/edgar/data/92416/000119312521252815/d216020dex41.htm" TargetMode="External"/><Relationship Id="rId68" Type="http://schemas.openxmlformats.org/officeDocument/2006/relationships/hyperlink" Target="https://www.sec.gov/Archives/edgar/data/92416/000119312521252815/d216020dex41.htm" TargetMode="External"/><Relationship Id="rId69" Type="http://schemas.openxmlformats.org/officeDocument/2006/relationships/hyperlink" Target="https://www.sec.gov/Archives/edgar/data/0000092416/000119312521251499/d163812d424b5.htm" TargetMode="External"/><Relationship Id="rId70" Type="http://schemas.openxmlformats.org/officeDocument/2006/relationships/hyperlink" Target="http://www.sec.gov/Archives/edgar/data/1692115/000119312521296267/d160820dex41.htm" TargetMode="External"/><Relationship Id="rId73" Type="http://schemas.openxmlformats.org/officeDocument/2006/relationships/hyperlink" Target="http://www.sec.gov/Archives/edgar/data/92416/000169211520000064/swxexhibit100393020.htm" TargetMode="External"/><Relationship Id="rId74" Type="http://schemas.openxmlformats.org/officeDocument/2006/relationships/hyperlink" Target="http://www.sec.gov/Archives/edgar/data/92416/000169211520000064/swxexhibit100493020.htm" TargetMode="External"/><Relationship Id="rId75" Type="http://schemas.openxmlformats.org/officeDocument/2006/relationships/hyperlink" Target="http://www.sec.gov/Archives/edgar/data/92416/000169211519000013/swx123118ex1005.htm" TargetMode="External"/><Relationship Id="rId76" Type="http://schemas.openxmlformats.org/officeDocument/2006/relationships/hyperlink" Target="http://www.sec.gov/Archives/edgar/data/92416/000169211520000064/swxexhibit100193020.htm" TargetMode="External"/><Relationship Id="rId77" Type="http://schemas.openxmlformats.org/officeDocument/2006/relationships/hyperlink" Target="http://www.sec.gov/Archives/edgar/data/92416/000169211520000064/swxexhibit100293020.htm" TargetMode="External"/><Relationship Id="rId78" Type="http://schemas.openxmlformats.org/officeDocument/2006/relationships/hyperlink" Target="http://www.sec.gov/Archives/edgar/data/92416/000009241603000120/exhibit10.htm" TargetMode="External"/><Relationship Id="rId79" Type="http://schemas.openxmlformats.org/officeDocument/2006/relationships/hyperlink" Target="http://www.sec.gov/Archives/edgar/data/92416/000009241605000077/exhibit10-2.htm" TargetMode="External"/><Relationship Id="rId80" Type="http://schemas.openxmlformats.org/officeDocument/2006/relationships/hyperlink" Target="http://www.sec.gov/Archives/edgar/data/92416/000009241608000067/exhibit1003.htm" TargetMode="External"/><Relationship Id="rId81" Type="http://schemas.openxmlformats.org/officeDocument/2006/relationships/hyperlink" Target="http://www.sec.gov/Archives/edgar/data/92416/000119312510042973/dex1021.htm" TargetMode="External"/><Relationship Id="rId82" Type="http://schemas.openxmlformats.org/officeDocument/2006/relationships/hyperlink" Target="http://www.sec.gov/Archives/edgar/data/92416/000119312520107089/d902383dex102.htm" TargetMode="External"/><Relationship Id="rId83" Type="http://schemas.openxmlformats.org/officeDocument/2006/relationships/hyperlink" Target="http://www.sec.gov/Archives/edgar/data/92416/000169211519000013/swx123118ex1014.htm" TargetMode="External"/><Relationship Id="rId84" Type="http://schemas.openxmlformats.org/officeDocument/2006/relationships/hyperlink" Target="http://www.sec.gov/Archives/edgar/data/92416/000119312517062419/d324082dex1019.htm" TargetMode="External"/><Relationship Id="rId85" Type="http://schemas.openxmlformats.org/officeDocument/2006/relationships/hyperlink" Target="http://www.sec.gov/Archives/edgar/data/92416/000119312517062419/d324082dex1020.htm" TargetMode="External"/><Relationship Id="rId86" Type="http://schemas.openxmlformats.org/officeDocument/2006/relationships/hyperlink" Target="http://www.sec.gov/Archives/edgar/data/92416/000119312520107089/d902383dex101.htm" TargetMode="External"/><Relationship Id="rId87" Type="http://schemas.openxmlformats.org/officeDocument/2006/relationships/hyperlink" Target="http://www.sec.gov/Archives/edgar/data/92416/000119312517251363/d401099dex1001.htm" TargetMode="External"/><Relationship Id="rId88" Type="http://schemas.openxmlformats.org/officeDocument/2006/relationships/hyperlink" Target="http://www.sec.gov/Archives/edgar/data/92416/000119312517251363/d401099dex1002.htm" TargetMode="External"/><Relationship Id="rId91" Type="http://schemas.openxmlformats.org/officeDocument/2006/relationships/hyperlink" Target="http://www.sec.gov/Archives/edgar/data/92416/000119312517251363/d401099dex1003.htm" TargetMode="External"/><Relationship Id="rId92" Type="http://schemas.openxmlformats.org/officeDocument/2006/relationships/hyperlink" Target="http://www.sec.gov/Archives/edgar/data/92416/000119312518155358/d553725dex1001.htm" TargetMode="External"/><Relationship Id="rId93" Type="http://schemas.openxmlformats.org/officeDocument/2006/relationships/hyperlink" Target="http://www.sec.gov/Archives/edgar/data/1692115/000119312517097720/d322298ddefc14a.htm#toc322298_57" TargetMode="External"/><Relationship Id="rId94" Type="http://schemas.openxmlformats.org/officeDocument/2006/relationships/hyperlink" Target="http://www.sec.gov/Archives/edgar/data/92416/000119312518063850/d513923dex1024.htm" TargetMode="External"/><Relationship Id="rId95" Type="http://schemas.openxmlformats.org/officeDocument/2006/relationships/hyperlink" Target="http://www.sec.gov/Archives/edgar/data/92416/000119312518063850/d513923dex1025.htm" TargetMode="External"/><Relationship Id="rId96" Type="http://schemas.openxmlformats.org/officeDocument/2006/relationships/hyperlink" Target="http://www.sec.gov/Archives/edgar/data/92416/000119312518155358/d553725dex1002.htm" TargetMode="External"/><Relationship Id="rId97" Type="http://schemas.openxmlformats.org/officeDocument/2006/relationships/hyperlink" Target="http://www.sec.gov/Archives/edgar/data/92416/000169211519000013/swx123118ex1028.htm" TargetMode="External"/><Relationship Id="rId98" Type="http://schemas.openxmlformats.org/officeDocument/2006/relationships/hyperlink" Target="http://www.sec.gov/Archives/edgar/data/92416/000169211519000013/swx123118ex1029.htm" TargetMode="External"/><Relationship Id="rId99" Type="http://schemas.openxmlformats.org/officeDocument/2006/relationships/hyperlink" Target="http://www.sec.gov/Archives/edgar/data/92416/000169211519000013/swx123118ex1030.htm" TargetMode="External"/><Relationship Id="rId100" Type="http://schemas.openxmlformats.org/officeDocument/2006/relationships/hyperlink" Target="http://www.sec.gov/Archives/edgar/data/92416/000169211519000045/swxexhibit1001.htm" TargetMode="External"/><Relationship Id="rId101" Type="http://schemas.openxmlformats.org/officeDocument/2006/relationships/hyperlink" Target="http://www.sec.gov/Archives/edgar/data/92416/000169211519000045/swxexhibit1002.htm" TargetMode="External"/><Relationship Id="rId102" Type="http://schemas.openxmlformats.org/officeDocument/2006/relationships/hyperlink" Target="http://www.sec.gov/Archives/edgar/data/92416/000169211519000045/swxexhibit1003.htm" TargetMode="External"/><Relationship Id="rId103" Type="http://schemas.openxmlformats.org/officeDocument/2006/relationships/hyperlink" Target="http://www.sec.gov/Archives/edgar/data/92416/000169211520000032/swxexhibit100133120.htm" TargetMode="External"/><Relationship Id="rId104" Type="http://schemas.openxmlformats.org/officeDocument/2006/relationships/hyperlink" Target="http://www.sec.gov/Archives/edgar/data/92416/000009241616000112/exhibit4-1.htm" TargetMode="External"/><Relationship Id="rId105" Type="http://schemas.openxmlformats.org/officeDocument/2006/relationships/hyperlink" Target="http://www.sec.gov/Archives/edgar/data/92416/000119312521091268/d139318dex101.htm" TargetMode="External"/><Relationship Id="rId106" Type="http://schemas.openxmlformats.org/officeDocument/2006/relationships/hyperlink" Target="http://www.sec.gov/Archives/edgar/data/1692115/000119312521260616/d172891dex101.htm" TargetMode="External"/><Relationship Id="rId107" Type="http://schemas.openxmlformats.org/officeDocument/2006/relationships/hyperlink" Target="http://www.sec.gov/Archives/edgar/data/1692115/000119312521321584/d196453dex101.htm" TargetMode="External"/><Relationship Id="rId108" Type="http://schemas.openxmlformats.org/officeDocument/2006/relationships/hyperlink" Target="http://www.sec.gov/Archives/edgar/data/92416/000119312522000235/d274968dex102.htm" TargetMode="External"/><Relationship Id="rId111" Type="http://schemas.openxmlformats.org/officeDocument/2006/relationships/hyperlink" Target="http://www.sec.gov/Archives/edgar/data/92416/000119312522000235/d2749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2022-03-01T20:21:22Z</dcterms:created>
  <dcterms:modified xsi:type="dcterms:W3CDTF">2022-03-01T20:21:22Z</dcterms:modified>
</cp:coreProperties>
</file>