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Southwest Gas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844895102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Jesse A. Lynn COO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Icahn Capital LP, 16690 Collins Avenue, PH-1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Sunny Isles Beach, FL, 33160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(305) 422-4100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844895102</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Icahn Partners Master Fund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2,062,604.00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2,062,604.00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2,062,604.00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2,062,604.00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2,062,604.00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844895102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Icahn Offshore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2,062,604.00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2,062,604.00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2,062,604.00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844895102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Icahn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2,698,753.00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2,698,753.00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2,698,753.00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2,698,753.00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2,698,753.00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3.74 %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844895102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Icahn Onshore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2,698,753.00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2,698,753.00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2,698,753.00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844895102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Icahn Capital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4,761,357.00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4,761,357.00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4,761,357.00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844895102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IPH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4,761,357.00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4,761,357.00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4,761,357.00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844895102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Icahn Enterprises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4,761,357.00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4,761,357.00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4,761,357.00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6.6 %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844895102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Icahn Enterprises G.P.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4,761,357.00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4,761,357.00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4,761,357.00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844895102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Beckton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4,761,357.00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4,761,357.00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4,761,357.00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844895102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IEP Utility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844895102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Carl C. Icahn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9" w:name="page10"/>
    <w:bookmarkEnd w:id="9"/>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4,761,357.00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4,761,357.00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4,761,357.00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355"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$1.00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Southwest Gas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C/O SOUTHWEST GAS CORPORATION, 8360 S. DURANGO DRIVE, LAS VEGAS, NEVADA , 89113.</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Note to Item 1. This statement constitutes Amendment No. 16 to the Schedule 13D (as amended, the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relating to the shares of the common stock, par value $1.00 per share (the "Common Stock"), of Southwest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Gas Holdings, Inc., a Delaware corporation (the "Issuer"), and hereby amends the Schedule 13D originally filed with the Securities and Exchange Commission (the "SEC") on June 3, 2022. All capitalized terms contained herein but not</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otherwise defined shall have the meanings ascribed to such terms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As of the date hereof, the Reporting Persons may be deemed to beneficially own, in the aggregate, 4,761,357 shares</w:t>
      </w:r>
    </w:p>
    <w:p>
      <w:pPr>
        <w:spacing w:after="0" w:line="14" w:lineRule="exact"/>
        <w:rPr>
          <w:sz w:val="20"/>
          <w:szCs w:val="20"/>
          <w:color w:val="auto"/>
        </w:rPr>
      </w:pPr>
    </w:p>
    <w:p>
      <w:pPr>
        <w:ind w:left="920" w:right="260" w:hanging="912"/>
        <w:spacing w:after="0" w:line="184"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of Common Stock, representing approximately 6.6% of the Issuer's outstanding shares of Common Stock, based on 72,183,903 shares of Common Stock outstanding as of November 21, 2025, as disclosed by the Issuer in its prospectus supplement filed with the SEC on November 26, 2025.</w:t>
      </w:r>
    </w:p>
    <w:p>
      <w:pPr>
        <w:spacing w:after="0" w:line="18" w:lineRule="exact"/>
        <w:rPr>
          <w:rFonts w:ascii="Times New Roman" w:cs="Times New Roman" w:eastAsia="Times New Roman" w:hAnsi="Times New Roman"/>
          <w:sz w:val="42"/>
          <w:szCs w:val="42"/>
          <w:color w:val="auto"/>
          <w:vertAlign w:val="subscript"/>
        </w:rPr>
      </w:pPr>
    </w:p>
    <w:p>
      <w:pPr>
        <w:ind w:left="920" w:right="40" w:hanging="912"/>
        <w:spacing w:after="0" w:line="251"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Icahn Master has sole voting and sole dispositive power with respect to 2,062,604 shares of Common Stock. Each of Icahn Offshore, Icahn Capital, IPH GP, Icahn Enterprises Holdings, Icahn Enterprises GP, Beckton and Mr. Icahn, by virtue of their relationships to Icahn Master, has shared voting power and shared dispositive power with respect to such shares. Icahn Partners has sole voting and sole dispositive power with respect to 2,698,753 shares of Common Stock. Each of Icahn Onshore, Icahn Capital, IPH GP, Icahn Enterprises Holdings, Icahn Enterprises GP, Beckton and</w:t>
      </w:r>
    </w:p>
    <w:p>
      <w:pPr>
        <w:sectPr>
          <w:pgSz w:w="11900" w:h="16838" w:orient="portrait"/>
          <w:cols w:equalWidth="0" w:num="1">
            <w:col w:w="11160"/>
          </w:cols>
          <w:pgMar w:left="360" w:top="355" w:right="379" w:bottom="0" w:gutter="0" w:footer="0" w:header="0"/>
          <w:type w:val="continuous"/>
        </w:sectPr>
      </w:pPr>
    </w:p>
    <w:bookmarkStart w:id="10" w:name="page11"/>
    <w:bookmarkEnd w:id="10"/>
    <w:p>
      <w:pPr>
        <w:spacing w:after="0" w:line="22" w:lineRule="exact"/>
        <w:rPr>
          <w:sz w:val="20"/>
          <w:szCs w:val="20"/>
          <w:color w:val="auto"/>
        </w:rPr>
      </w:pPr>
    </w:p>
    <w:p>
      <w:pPr>
        <w:ind w:left="920" w:right="20"/>
        <w:spacing w:after="0"/>
        <w:rPr>
          <w:sz w:val="20"/>
          <w:szCs w:val="20"/>
          <w:color w:val="auto"/>
        </w:rPr>
      </w:pPr>
      <w:r>
        <w:rPr>
          <w:rFonts w:ascii="Times New Roman" w:cs="Times New Roman" w:eastAsia="Times New Roman" w:hAnsi="Times New Roman"/>
          <w:sz w:val="22"/>
          <w:szCs w:val="22"/>
          <w:color w:val="auto"/>
        </w:rPr>
        <w:t>Mr. Icahn, by virtue of their relationships to Icahn Partners, has shared voting power and shared dispositive power with respect to such shares. IEP Utility has sole voting power and sole dispositive power and shared and shared dispositive power with respect to 0 shares of Common Stock; however, IEP Utility has been included in this Schedule 13D as it is a signatory to the 2025 Agreement.</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Exhibit 1 attached hereto sets forth all transactions with respect to the Shares by any Reporting Person since January</w:t>
      </w:r>
    </w:p>
    <w:p>
      <w:pPr>
        <w:spacing w:after="0" w:line="26" w:lineRule="exact"/>
        <w:rPr>
          <w:sz w:val="20"/>
          <w:szCs w:val="20"/>
          <w:color w:val="auto"/>
        </w:rPr>
      </w:pPr>
    </w:p>
    <w:p>
      <w:pPr>
        <w:ind w:left="920" w:right="120" w:hanging="912"/>
        <w:spacing w:after="0" w:line="184" w:lineRule="auto"/>
        <w:tabs>
          <w:tab w:leader="none" w:pos="920" w:val="left"/>
        </w:tabs>
        <w:numPr>
          <w:ilvl w:val="0"/>
          <w:numId w:val="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 2025 (the date on which the last amendment to this Schedule 13D was filed with the SEC). Except as set forth Exhibit 1, no transactions in the shares of Common Stock were effected by any of the Reporting Persons during such period.</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 Transactions in Shares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Icahn Partners Master Fund LP</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Jesse Lynn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Jesse Lynn / Chief Operating Officer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Icahn Offshore LP</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Jesse Lynn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Jesse Lynn / Chief Operating Officer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Icahn Partners LP</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Jesse Lynn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Jesse Lynn / Chief Operating Officer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Icahn Onshore LP</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Jesse Lynn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Jesse Lynn / Chief Operating Officer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Icahn Capital LP</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Jesse Lynn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Jesse Lynn / Chief Operating Officer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IPH GP LLC</w:t>
      </w:r>
    </w:p>
    <w:p>
      <w:pPr>
        <w:spacing w:after="0" w:line="152"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Ted Papapostolou</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Ted Papapostolou / Chief Financial Officer</w:t>
      </w:r>
    </w:p>
    <w:p>
      <w:pPr>
        <w:spacing w:after="0" w:line="44"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Icahn Enterprises Holdings L.P.</w:t>
      </w:r>
    </w:p>
    <w:p>
      <w:pPr>
        <w:spacing w:after="0" w:line="152"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Ted Papapostolou</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Ted Papapostolou / Chief Financial Officer</w:t>
      </w:r>
    </w:p>
    <w:p>
      <w:pPr>
        <w:spacing w:after="0" w:line="44"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Icahn Enterprises G.P. Inc.</w:t>
      </w:r>
    </w:p>
    <w:p>
      <w:pPr>
        <w:spacing w:after="0" w:line="152"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Ted Papapostolou</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Ted Papapostolou / Chief Financial Officer</w:t>
      </w:r>
    </w:p>
    <w:p>
      <w:pPr>
        <w:spacing w:after="0" w:line="44" w:lineRule="exact"/>
        <w:rPr>
          <w:sz w:val="20"/>
          <w:szCs w:val="20"/>
          <w:color w:val="auto"/>
        </w:rPr>
      </w:pPr>
    </w:p>
    <w:p>
      <w:pPr>
        <w:ind w:left="5000"/>
        <w:spacing w:after="0"/>
        <w:tabs>
          <w:tab w:leader="none" w:pos="6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Beckton Corp.</w:t>
      </w:r>
    </w:p>
    <w:p>
      <w:pPr>
        <w:spacing w:after="0" w:line="152" w:lineRule="exact"/>
        <w:rPr>
          <w:sz w:val="20"/>
          <w:szCs w:val="20"/>
          <w:color w:val="auto"/>
        </w:rPr>
      </w:pPr>
    </w:p>
    <w:p>
      <w:pPr>
        <w:jc w:val="center"/>
        <w:ind w:right="-239"/>
        <w:spacing w:after="0"/>
        <w:tabs>
          <w:tab w:leader="none" w:pos="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Ted Papapostolou</w:t>
      </w:r>
    </w:p>
    <w:p>
      <w:pPr>
        <w:sectPr>
          <w:pgSz w:w="11900" w:h="16860" w:orient="portrait"/>
          <w:cols w:equalWidth="0" w:num="1">
            <w:col w:w="11140"/>
          </w:cols>
          <w:pgMar w:left="360" w:top="112" w:right="399" w:bottom="0" w:gutter="0" w:footer="0" w:header="0"/>
        </w:sectPr>
      </w:pPr>
    </w:p>
    <w:bookmarkStart w:id="11" w:name="page12"/>
    <w:bookmarkEnd w:id="11"/>
    <w:p>
      <w:pPr>
        <w:ind w:left="3160"/>
        <w:spacing w:after="0"/>
        <w:rPr>
          <w:sz w:val="20"/>
          <w:szCs w:val="20"/>
          <w:color w:val="auto"/>
        </w:rPr>
      </w:pPr>
      <w:r>
        <w:rPr>
          <w:rFonts w:ascii="Times New Roman" w:cs="Times New Roman" w:eastAsia="Times New Roman" w:hAnsi="Times New Roman"/>
          <w:sz w:val="22"/>
          <w:szCs w:val="22"/>
          <w:color w:val="auto"/>
        </w:rPr>
        <w:t>Name/Title: Ted Papapostolou / Vice President</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IEP Utility Holdings LLC</w:t>
      </w:r>
    </w:p>
    <w:p>
      <w:pPr>
        <w:spacing w:after="0" w:line="152"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Ted Papapostolou</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Name/Title: Ted Papapostolou / Chief Financial Officer</w:t>
      </w:r>
    </w:p>
    <w:p>
      <w:pPr>
        <w:spacing w:after="0" w:line="56"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Carl C. Icahn</w:t>
      </w:r>
    </w:p>
    <w:p>
      <w:pPr>
        <w:spacing w:after="0" w:line="15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C. Icahn</w:t>
      </w:r>
    </w:p>
    <w:p>
      <w:pPr>
        <w:spacing w:after="0" w:line="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Name/Title: Carl C. Icahn</w:t>
      </w:r>
    </w:p>
    <w:p>
      <w:pPr>
        <w:spacing w:after="0" w:line="4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ectPr>
          <w:pgSz w:w="11900" w:h="16838" w:orient="portrait"/>
          <w:cols w:equalWidth="0" w:num="1">
            <w:col w:w="9019"/>
          </w:cols>
          <w:pgMar w:left="1440" w:top="126"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IN SHARES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Icahn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3201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40" w:type="dxa"/>
            <w:vAlign w:val="bottom"/>
            <w:tcBorders>
              <w:top w:val="single" w:sz="8" w:color="auto"/>
              <w:right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2800" w:type="dxa"/>
            <w:vAlign w:val="bottom"/>
            <w:tcBorders>
              <w:top w:val="single" w:sz="8" w:color="auto"/>
              <w:right w:val="single" w:sz="8" w:color="auto"/>
            </w:tcBorders>
            <w:gridSpan w:val="3"/>
          </w:tcPr>
          <w:p>
            <w:pPr>
              <w:jc w:val="center"/>
              <w:ind w:righ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Nature of Transaction</w:t>
            </w:r>
          </w:p>
        </w:tc>
        <w:tc>
          <w:tcPr>
            <w:tcW w:w="1140" w:type="dxa"/>
            <w:vAlign w:val="bottom"/>
            <w:tcBorders>
              <w:top w:val="single" w:sz="8" w:color="auto"/>
            </w:tcBorders>
          </w:tcPr>
          <w:p>
            <w:pPr>
              <w:spacing w:after="0"/>
              <w:rPr>
                <w:sz w:val="14"/>
                <w:szCs w:val="14"/>
                <w:color w:val="auto"/>
              </w:rPr>
            </w:pPr>
          </w:p>
        </w:tc>
        <w:tc>
          <w:tcPr>
            <w:tcW w:w="1680" w:type="dxa"/>
            <w:vAlign w:val="bottom"/>
            <w:tcBorders>
              <w:top w:val="single" w:sz="8" w:color="auto"/>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Shares</w:t>
            </w:r>
          </w:p>
        </w:tc>
        <w:tc>
          <w:tcPr>
            <w:tcW w:w="64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gridSpan w:val="2"/>
          </w:tcPr>
          <w:p>
            <w:pPr>
              <w:jc w:val="center"/>
              <w:ind w:right="6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 xml:space="preserve">Price Per Share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w:t>
            </w: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9"/>
        </w:trPr>
        <w:tc>
          <w:tcPr>
            <w:tcW w:w="28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1/12/26</w:t>
            </w:r>
          </w:p>
        </w:tc>
        <w:tc>
          <w:tcPr>
            <w:tcW w:w="5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28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(25,793)</w:t>
            </w:r>
          </w:p>
        </w:tc>
        <w:tc>
          <w:tcPr>
            <w:tcW w:w="21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$81.68</w:t>
            </w:r>
          </w:p>
        </w:tc>
        <w:tc>
          <w:tcPr>
            <w:tcW w:w="680" w:type="dxa"/>
            <w:vAlign w:val="bottom"/>
            <w:tcBorders>
              <w:bottom w:val="single" w:sz="8" w:color="auto"/>
            </w:tcBorders>
          </w:tcPr>
          <w:p>
            <w:pPr>
              <w:spacing w:after="0"/>
              <w:rPr>
                <w:sz w:val="18"/>
                <w:szCs w:val="18"/>
                <w:color w:val="auto"/>
              </w:rPr>
            </w:pPr>
          </w:p>
        </w:tc>
      </w:tr>
      <w:tr>
        <w:trPr>
          <w:trHeight w:val="209"/>
        </w:trPr>
        <w:tc>
          <w:tcPr>
            <w:tcW w:w="28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1/13/26</w:t>
            </w:r>
          </w:p>
        </w:tc>
        <w:tc>
          <w:tcPr>
            <w:tcW w:w="5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28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(144,812)</w:t>
            </w:r>
          </w:p>
        </w:tc>
        <w:tc>
          <w:tcPr>
            <w:tcW w:w="21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$81.90</w:t>
            </w:r>
          </w:p>
        </w:tc>
        <w:tc>
          <w:tcPr>
            <w:tcW w:w="680" w:type="dxa"/>
            <w:vAlign w:val="bottom"/>
            <w:tcBorders>
              <w:bottom w:val="single" w:sz="8" w:color="auto"/>
            </w:tcBorders>
          </w:tcPr>
          <w:p>
            <w:pPr>
              <w:spacing w:after="0"/>
              <w:rPr>
                <w:sz w:val="18"/>
                <w:szCs w:val="18"/>
                <w:color w:val="auto"/>
              </w:rPr>
            </w:pPr>
          </w:p>
        </w:tc>
      </w:tr>
      <w:tr>
        <w:trPr>
          <w:trHeight w:val="210"/>
        </w:trPr>
        <w:tc>
          <w:tcPr>
            <w:tcW w:w="28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1/14/26</w:t>
            </w:r>
          </w:p>
        </w:tc>
        <w:tc>
          <w:tcPr>
            <w:tcW w:w="5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28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(98,803)</w:t>
            </w:r>
          </w:p>
        </w:tc>
        <w:tc>
          <w:tcPr>
            <w:tcW w:w="21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$82.97</w:t>
            </w:r>
          </w:p>
        </w:tc>
        <w:tc>
          <w:tcPr>
            <w:tcW w:w="680" w:type="dxa"/>
            <w:vAlign w:val="bottom"/>
            <w:tcBorders>
              <w:bottom w:val="single" w:sz="8" w:color="auto"/>
            </w:tcBorders>
          </w:tcPr>
          <w:p>
            <w:pPr>
              <w:spacing w:after="0"/>
              <w:rPr>
                <w:sz w:val="18"/>
                <w:szCs w:val="18"/>
                <w:color w:val="auto"/>
              </w:rPr>
            </w:pPr>
          </w:p>
        </w:tc>
      </w:tr>
      <w:tr>
        <w:trPr>
          <w:trHeight w:val="209"/>
        </w:trPr>
        <w:tc>
          <w:tcPr>
            <w:tcW w:w="28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1/15/26</w:t>
            </w:r>
          </w:p>
        </w:tc>
        <w:tc>
          <w:tcPr>
            <w:tcW w:w="5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28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(130,365)</w:t>
            </w:r>
          </w:p>
        </w:tc>
        <w:tc>
          <w:tcPr>
            <w:tcW w:w="21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$85.68</w:t>
            </w:r>
          </w:p>
        </w:tc>
        <w:tc>
          <w:tcPr>
            <w:tcW w:w="680" w:type="dxa"/>
            <w:vAlign w:val="bottom"/>
            <w:tcBorders>
              <w:bottom w:val="single" w:sz="8" w:color="auto"/>
            </w:tcBorders>
          </w:tcPr>
          <w:p>
            <w:pPr>
              <w:spacing w:after="0"/>
              <w:rPr>
                <w:sz w:val="18"/>
                <w:szCs w:val="18"/>
                <w:color w:val="auto"/>
              </w:rPr>
            </w:pPr>
          </w:p>
        </w:tc>
      </w:tr>
      <w:tr>
        <w:trPr>
          <w:trHeight w:val="210"/>
        </w:trPr>
        <w:tc>
          <w:tcPr>
            <w:tcW w:w="28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1/16/26</w:t>
            </w:r>
          </w:p>
        </w:tc>
        <w:tc>
          <w:tcPr>
            <w:tcW w:w="5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28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(148,899)</w:t>
            </w:r>
          </w:p>
        </w:tc>
        <w:tc>
          <w:tcPr>
            <w:tcW w:w="21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$86.16</w:t>
            </w:r>
          </w:p>
        </w:tc>
        <w:tc>
          <w:tcPr>
            <w:tcW w:w="680" w:type="dxa"/>
            <w:vAlign w:val="bottom"/>
            <w:tcBorders>
              <w:bottom w:val="single" w:sz="8" w:color="auto"/>
            </w:tcBorders>
          </w:tcPr>
          <w:p>
            <w:pPr>
              <w:spacing w:after="0"/>
              <w:rPr>
                <w:sz w:val="18"/>
                <w:szCs w:val="18"/>
                <w:color w:val="auto"/>
              </w:rPr>
            </w:pPr>
          </w:p>
        </w:tc>
      </w:tr>
      <w:tr>
        <w:trPr>
          <w:trHeight w:val="209"/>
        </w:trPr>
        <w:tc>
          <w:tcPr>
            <w:tcW w:w="28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1/20/26</w:t>
            </w:r>
          </w:p>
        </w:tc>
        <w:tc>
          <w:tcPr>
            <w:tcW w:w="5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28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(69,717)</w:t>
            </w:r>
          </w:p>
        </w:tc>
        <w:tc>
          <w:tcPr>
            <w:tcW w:w="21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$85.21</w:t>
            </w:r>
          </w:p>
        </w:tc>
        <w:tc>
          <w:tcPr>
            <w:tcW w:w="680" w:type="dxa"/>
            <w:vAlign w:val="bottom"/>
            <w:tcBorders>
              <w:bottom w:val="single" w:sz="8" w:color="auto"/>
            </w:tcBorders>
          </w:tcPr>
          <w:p>
            <w:pPr>
              <w:spacing w:after="0"/>
              <w:rPr>
                <w:sz w:val="18"/>
                <w:szCs w:val="18"/>
                <w:color w:val="auto"/>
              </w:rPr>
            </w:pPr>
          </w:p>
        </w:tc>
      </w:tr>
      <w:tr>
        <w:trPr>
          <w:trHeight w:val="209"/>
        </w:trPr>
        <w:tc>
          <w:tcPr>
            <w:tcW w:w="28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1/21/26</w:t>
            </w:r>
          </w:p>
        </w:tc>
        <w:tc>
          <w:tcPr>
            <w:tcW w:w="5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28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(102,025)</w:t>
            </w:r>
          </w:p>
        </w:tc>
        <w:tc>
          <w:tcPr>
            <w:tcW w:w="21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$84.42</w:t>
            </w:r>
          </w:p>
        </w:tc>
        <w:tc>
          <w:tcPr>
            <w:tcW w:w="68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Icahn Partners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320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40" w:type="dxa"/>
            <w:vAlign w:val="bottom"/>
            <w:tcBorders>
              <w:top w:val="single" w:sz="8" w:color="auto"/>
              <w:right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2800" w:type="dxa"/>
            <w:vAlign w:val="bottom"/>
            <w:tcBorders>
              <w:top w:val="single" w:sz="8" w:color="auto"/>
              <w:right w:val="single" w:sz="8" w:color="auto"/>
            </w:tcBorders>
            <w:gridSpan w:val="3"/>
          </w:tcPr>
          <w:p>
            <w:pPr>
              <w:jc w:val="center"/>
              <w:ind w:right="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Nature of Transaction</w:t>
            </w:r>
          </w:p>
        </w:tc>
        <w:tc>
          <w:tcPr>
            <w:tcW w:w="1140" w:type="dxa"/>
            <w:vAlign w:val="bottom"/>
            <w:tcBorders>
              <w:top w:val="single" w:sz="8" w:color="auto"/>
            </w:tcBorders>
          </w:tcPr>
          <w:p>
            <w:pPr>
              <w:spacing w:after="0"/>
              <w:rPr>
                <w:sz w:val="14"/>
                <w:szCs w:val="14"/>
                <w:color w:val="auto"/>
              </w:rPr>
            </w:pPr>
          </w:p>
        </w:tc>
        <w:tc>
          <w:tcPr>
            <w:tcW w:w="1680" w:type="dxa"/>
            <w:vAlign w:val="bottom"/>
            <w:tcBorders>
              <w:top w:val="single" w:sz="8" w:color="auto"/>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Shares</w:t>
            </w:r>
          </w:p>
        </w:tc>
        <w:tc>
          <w:tcPr>
            <w:tcW w:w="64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gridSpan w:val="2"/>
          </w:tcPr>
          <w:p>
            <w:pPr>
              <w:jc w:val="center"/>
              <w:ind w:right="6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 xml:space="preserve">Price Per Share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w:t>
            </w: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9"/>
        </w:trPr>
        <w:tc>
          <w:tcPr>
            <w:tcW w:w="28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1/12/26</w:t>
            </w:r>
          </w:p>
        </w:tc>
        <w:tc>
          <w:tcPr>
            <w:tcW w:w="5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28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(19,949)</w:t>
            </w:r>
          </w:p>
        </w:tc>
        <w:tc>
          <w:tcPr>
            <w:tcW w:w="21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$81.68</w:t>
            </w:r>
          </w:p>
        </w:tc>
        <w:tc>
          <w:tcPr>
            <w:tcW w:w="680" w:type="dxa"/>
            <w:vAlign w:val="bottom"/>
            <w:tcBorders>
              <w:bottom w:val="single" w:sz="8" w:color="auto"/>
            </w:tcBorders>
          </w:tcPr>
          <w:p>
            <w:pPr>
              <w:spacing w:after="0"/>
              <w:rPr>
                <w:sz w:val="18"/>
                <w:szCs w:val="18"/>
                <w:color w:val="auto"/>
              </w:rPr>
            </w:pPr>
          </w:p>
        </w:tc>
      </w:tr>
      <w:tr>
        <w:trPr>
          <w:trHeight w:val="210"/>
        </w:trPr>
        <w:tc>
          <w:tcPr>
            <w:tcW w:w="28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1/13/26</w:t>
            </w:r>
          </w:p>
        </w:tc>
        <w:tc>
          <w:tcPr>
            <w:tcW w:w="5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28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(110,677)</w:t>
            </w:r>
          </w:p>
        </w:tc>
        <w:tc>
          <w:tcPr>
            <w:tcW w:w="21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$81.90</w:t>
            </w:r>
          </w:p>
        </w:tc>
        <w:tc>
          <w:tcPr>
            <w:tcW w:w="680" w:type="dxa"/>
            <w:vAlign w:val="bottom"/>
            <w:tcBorders>
              <w:bottom w:val="single" w:sz="8" w:color="auto"/>
            </w:tcBorders>
          </w:tcPr>
          <w:p>
            <w:pPr>
              <w:spacing w:after="0"/>
              <w:rPr>
                <w:sz w:val="18"/>
                <w:szCs w:val="18"/>
                <w:color w:val="auto"/>
              </w:rPr>
            </w:pPr>
          </w:p>
        </w:tc>
      </w:tr>
      <w:tr>
        <w:trPr>
          <w:trHeight w:val="209"/>
        </w:trPr>
        <w:tc>
          <w:tcPr>
            <w:tcW w:w="28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1/14/26</w:t>
            </w:r>
          </w:p>
        </w:tc>
        <w:tc>
          <w:tcPr>
            <w:tcW w:w="5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28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(75,513)</w:t>
            </w:r>
          </w:p>
        </w:tc>
        <w:tc>
          <w:tcPr>
            <w:tcW w:w="21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$82.97</w:t>
            </w:r>
          </w:p>
        </w:tc>
        <w:tc>
          <w:tcPr>
            <w:tcW w:w="680" w:type="dxa"/>
            <w:vAlign w:val="bottom"/>
            <w:tcBorders>
              <w:bottom w:val="single" w:sz="8" w:color="auto"/>
            </w:tcBorders>
          </w:tcPr>
          <w:p>
            <w:pPr>
              <w:spacing w:after="0"/>
              <w:rPr>
                <w:sz w:val="18"/>
                <w:szCs w:val="18"/>
                <w:color w:val="auto"/>
              </w:rPr>
            </w:pPr>
          </w:p>
        </w:tc>
      </w:tr>
      <w:tr>
        <w:trPr>
          <w:trHeight w:val="209"/>
        </w:trPr>
        <w:tc>
          <w:tcPr>
            <w:tcW w:w="28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1/15/26</w:t>
            </w:r>
          </w:p>
        </w:tc>
        <w:tc>
          <w:tcPr>
            <w:tcW w:w="5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28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(99,635)</w:t>
            </w:r>
          </w:p>
        </w:tc>
        <w:tc>
          <w:tcPr>
            <w:tcW w:w="21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$85.68</w:t>
            </w:r>
          </w:p>
        </w:tc>
        <w:tc>
          <w:tcPr>
            <w:tcW w:w="680" w:type="dxa"/>
            <w:vAlign w:val="bottom"/>
            <w:tcBorders>
              <w:bottom w:val="single" w:sz="8" w:color="auto"/>
            </w:tcBorders>
          </w:tcPr>
          <w:p>
            <w:pPr>
              <w:spacing w:after="0"/>
              <w:rPr>
                <w:sz w:val="18"/>
                <w:szCs w:val="18"/>
                <w:color w:val="auto"/>
              </w:rPr>
            </w:pPr>
          </w:p>
        </w:tc>
      </w:tr>
      <w:tr>
        <w:trPr>
          <w:trHeight w:val="210"/>
        </w:trPr>
        <w:tc>
          <w:tcPr>
            <w:tcW w:w="28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1/16/26</w:t>
            </w:r>
          </w:p>
        </w:tc>
        <w:tc>
          <w:tcPr>
            <w:tcW w:w="5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28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(113,801)</w:t>
            </w:r>
          </w:p>
        </w:tc>
        <w:tc>
          <w:tcPr>
            <w:tcW w:w="21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$86.16</w:t>
            </w:r>
          </w:p>
        </w:tc>
        <w:tc>
          <w:tcPr>
            <w:tcW w:w="680" w:type="dxa"/>
            <w:vAlign w:val="bottom"/>
            <w:tcBorders>
              <w:bottom w:val="single" w:sz="8" w:color="auto"/>
            </w:tcBorders>
          </w:tcPr>
          <w:p>
            <w:pPr>
              <w:spacing w:after="0"/>
              <w:rPr>
                <w:sz w:val="18"/>
                <w:szCs w:val="18"/>
                <w:color w:val="auto"/>
              </w:rPr>
            </w:pPr>
          </w:p>
        </w:tc>
      </w:tr>
      <w:tr>
        <w:trPr>
          <w:trHeight w:val="209"/>
        </w:trPr>
        <w:tc>
          <w:tcPr>
            <w:tcW w:w="28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1/20/26</w:t>
            </w:r>
          </w:p>
        </w:tc>
        <w:tc>
          <w:tcPr>
            <w:tcW w:w="5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28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(53,283)</w:t>
            </w:r>
          </w:p>
        </w:tc>
        <w:tc>
          <w:tcPr>
            <w:tcW w:w="21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$85.21</w:t>
            </w:r>
          </w:p>
        </w:tc>
        <w:tc>
          <w:tcPr>
            <w:tcW w:w="680" w:type="dxa"/>
            <w:vAlign w:val="bottom"/>
            <w:tcBorders>
              <w:bottom w:val="single" w:sz="8" w:color="auto"/>
            </w:tcBorders>
          </w:tcPr>
          <w:p>
            <w:pPr>
              <w:spacing w:after="0"/>
              <w:rPr>
                <w:sz w:val="18"/>
                <w:szCs w:val="18"/>
                <w:color w:val="auto"/>
              </w:rPr>
            </w:pPr>
          </w:p>
        </w:tc>
      </w:tr>
      <w:tr>
        <w:trPr>
          <w:trHeight w:val="209"/>
        </w:trPr>
        <w:tc>
          <w:tcPr>
            <w:tcW w:w="28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1/21/26</w:t>
            </w:r>
          </w:p>
        </w:tc>
        <w:tc>
          <w:tcPr>
            <w:tcW w:w="5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Open market sale</w:t>
            </w:r>
          </w:p>
        </w:tc>
        <w:tc>
          <w:tcPr>
            <w:tcW w:w="282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(77,975)</w:t>
            </w:r>
          </w:p>
        </w:tc>
        <w:tc>
          <w:tcPr>
            <w:tcW w:w="210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$84.42</w:t>
            </w:r>
          </w:p>
        </w:tc>
        <w:tc>
          <w:tcPr>
            <w:tcW w:w="680" w:type="dxa"/>
            <w:vAlign w:val="bottom"/>
            <w:tcBorders>
              <w:bottom w:val="single" w:sz="8" w:color="auto"/>
            </w:tcBorders>
          </w:tcPr>
          <w:p>
            <w:pPr>
              <w:spacing w:after="0"/>
              <w:rPr>
                <w:sz w:val="18"/>
                <w:szCs w:val="18"/>
                <w:color w:val="auto"/>
              </w:rPr>
            </w:pPr>
          </w:p>
        </w:tc>
      </w:tr>
      <w:tr>
        <w:trPr>
          <w:trHeight w:val="487"/>
        </w:trPr>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4"/>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2026-01-21T16:39:54Z</dcterms:created>
  <dcterms:modified xsi:type="dcterms:W3CDTF">2026-01-21T16:39:54Z</dcterms:modified>
</cp:coreProperties>
</file>