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7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period ended 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5"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ind w:left="240"/>
              <w:spacing w:after="0"/>
              <w:rPr>
                <w:sz w:val="20"/>
                <w:szCs w:val="20"/>
                <w:color w:val="auto"/>
              </w:rPr>
            </w:pPr>
            <w:r>
              <w:rPr>
                <w:rFonts w:ascii="Arial" w:cs="Arial" w:eastAsia="Arial" w:hAnsi="Arial"/>
                <w:sz w:val="14"/>
                <w:szCs w:val="14"/>
                <w:i w:val="1"/>
                <w:iCs w:val="1"/>
                <w:color w:val="auto"/>
              </w:rPr>
              <w:t>Commission</w:t>
            </w:r>
          </w:p>
        </w:tc>
        <w:tc>
          <w:tcPr>
            <w:tcW w:w="3640" w:type="dxa"/>
            <w:vAlign w:val="bottom"/>
            <w:gridSpan w:val="2"/>
          </w:tcPr>
          <w:p>
            <w:pPr>
              <w:ind w:left="22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820" w:type="dxa"/>
            <w:vAlign w:val="bottom"/>
          </w:tcPr>
          <w:p>
            <w:pPr>
              <w:jc w:val="center"/>
              <w:ind w:left="1802"/>
              <w:spacing w:after="0"/>
              <w:rPr>
                <w:sz w:val="20"/>
                <w:szCs w:val="20"/>
                <w:color w:val="auto"/>
              </w:rPr>
            </w:pPr>
            <w:r>
              <w:rPr>
                <w:rFonts w:ascii="Arial" w:cs="Arial" w:eastAsia="Arial" w:hAnsi="Arial"/>
                <w:sz w:val="14"/>
                <w:szCs w:val="14"/>
                <w:i w:val="1"/>
                <w:iCs w:val="1"/>
                <w:color w:val="auto"/>
                <w:w w:val="86"/>
              </w:rPr>
              <w:t>State of</w:t>
            </w:r>
          </w:p>
        </w:tc>
        <w:tc>
          <w:tcPr>
            <w:tcW w:w="2580" w:type="dxa"/>
            <w:vAlign w:val="bottom"/>
          </w:tcPr>
          <w:p>
            <w:pPr>
              <w:jc w:val="center"/>
              <w:ind w:left="84"/>
              <w:spacing w:after="0"/>
              <w:rPr>
                <w:sz w:val="20"/>
                <w:szCs w:val="20"/>
                <w:color w:val="auto"/>
              </w:rPr>
            </w:pPr>
            <w:r>
              <w:rPr>
                <w:rFonts w:ascii="Arial" w:cs="Arial" w:eastAsia="Arial" w:hAnsi="Arial"/>
                <w:sz w:val="14"/>
                <w:szCs w:val="14"/>
                <w:i w:val="1"/>
                <w:iCs w:val="1"/>
                <w:color w:val="auto"/>
                <w:w w:val="85"/>
              </w:rPr>
              <w:t>I.R.S.</w:t>
            </w:r>
          </w:p>
        </w:tc>
      </w:tr>
      <w:tr>
        <w:trPr>
          <w:trHeight w:val="186"/>
        </w:trPr>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File Number</w:t>
            </w:r>
          </w:p>
        </w:tc>
        <w:tc>
          <w:tcPr>
            <w:tcW w:w="3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820" w:type="dxa"/>
            <w:vAlign w:val="bottom"/>
            <w:tcBorders>
              <w:bottom w:val="single" w:sz="8" w:color="auto"/>
            </w:tcBorders>
          </w:tcPr>
          <w:p>
            <w:pPr>
              <w:jc w:val="center"/>
              <w:ind w:left="1802"/>
              <w:spacing w:after="0"/>
              <w:rPr>
                <w:sz w:val="20"/>
                <w:szCs w:val="20"/>
                <w:color w:val="auto"/>
              </w:rPr>
            </w:pPr>
            <w:r>
              <w:rPr>
                <w:rFonts w:ascii="Arial" w:cs="Arial" w:eastAsia="Arial" w:hAnsi="Arial"/>
                <w:sz w:val="14"/>
                <w:szCs w:val="14"/>
                <w:i w:val="1"/>
                <w:iCs w:val="1"/>
                <w:color w:val="auto"/>
              </w:rPr>
              <w:t>Incorporation</w:t>
            </w:r>
          </w:p>
        </w:tc>
        <w:tc>
          <w:tcPr>
            <w:tcW w:w="25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200" w:type="dxa"/>
            <w:vAlign w:val="bottom"/>
          </w:tcPr>
          <w:p>
            <w:pPr>
              <w:jc w:val="right"/>
              <w:ind w:right="164"/>
              <w:spacing w:after="0"/>
              <w:rPr>
                <w:sz w:val="20"/>
                <w:szCs w:val="20"/>
                <w:color w:val="auto"/>
              </w:rPr>
            </w:pPr>
            <w:r>
              <w:rPr>
                <w:rFonts w:ascii="Arial" w:cs="Arial" w:eastAsia="Arial" w:hAnsi="Arial"/>
                <w:sz w:val="16"/>
                <w:szCs w:val="16"/>
                <w:color w:val="auto"/>
              </w:rPr>
              <w:t>001-37976</w:t>
            </w:r>
          </w:p>
        </w:tc>
        <w:tc>
          <w:tcPr>
            <w:tcW w:w="2220" w:type="dxa"/>
            <w:vAlign w:val="bottom"/>
          </w:tcPr>
          <w:p>
            <w:pPr>
              <w:ind w:left="220"/>
              <w:spacing w:after="0"/>
              <w:rPr>
                <w:sz w:val="20"/>
                <w:szCs w:val="20"/>
                <w:color w:val="auto"/>
              </w:rPr>
            </w:pPr>
            <w:r>
              <w:rPr>
                <w:rFonts w:ascii="Arial" w:cs="Arial" w:eastAsia="Arial" w:hAnsi="Arial"/>
                <w:sz w:val="16"/>
                <w:szCs w:val="16"/>
                <w:color w:val="auto"/>
                <w:w w:val="94"/>
              </w:rPr>
              <w:t>Southwest Gas Holdings, Inc.</w:t>
            </w:r>
          </w:p>
        </w:tc>
        <w:tc>
          <w:tcPr>
            <w:tcW w:w="1420" w:type="dxa"/>
            <w:vAlign w:val="bottom"/>
          </w:tcPr>
          <w:p>
            <w:pPr>
              <w:spacing w:after="0"/>
              <w:rPr>
                <w:sz w:val="17"/>
                <w:szCs w:val="17"/>
                <w:color w:val="auto"/>
              </w:rPr>
            </w:pPr>
          </w:p>
        </w:tc>
        <w:tc>
          <w:tcPr>
            <w:tcW w:w="3820" w:type="dxa"/>
            <w:vAlign w:val="bottom"/>
          </w:tcPr>
          <w:p>
            <w:pPr>
              <w:jc w:val="center"/>
              <w:ind w:left="1802"/>
              <w:spacing w:after="0"/>
              <w:rPr>
                <w:sz w:val="20"/>
                <w:szCs w:val="20"/>
                <w:color w:val="auto"/>
              </w:rPr>
            </w:pPr>
            <w:r>
              <w:rPr>
                <w:rFonts w:ascii="Arial" w:cs="Arial" w:eastAsia="Arial" w:hAnsi="Arial"/>
                <w:sz w:val="16"/>
                <w:szCs w:val="16"/>
                <w:color w:val="auto"/>
                <w:w w:val="91"/>
              </w:rPr>
              <w:t>Delaware</w:t>
            </w:r>
          </w:p>
        </w:tc>
        <w:tc>
          <w:tcPr>
            <w:tcW w:w="2580" w:type="dxa"/>
            <w:vAlign w:val="bottom"/>
          </w:tcPr>
          <w:p>
            <w:pPr>
              <w:jc w:val="center"/>
              <w:ind w:left="84"/>
              <w:spacing w:after="0"/>
              <w:rPr>
                <w:sz w:val="20"/>
                <w:szCs w:val="20"/>
                <w:color w:val="auto"/>
              </w:rPr>
            </w:pPr>
            <w:r>
              <w:rPr>
                <w:rFonts w:ascii="Arial" w:cs="Arial" w:eastAsia="Arial" w:hAnsi="Arial"/>
                <w:sz w:val="16"/>
                <w:szCs w:val="16"/>
                <w:color w:val="auto"/>
                <w:w w:val="91"/>
              </w:rPr>
              <w:t>81-3881866</w:t>
            </w: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8360 S. Durango Dr.</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3820" w:type="dxa"/>
            <w:vAlign w:val="bottom"/>
          </w:tcPr>
          <w:p>
            <w:pPr>
              <w:jc w:val="right"/>
              <w:ind w:right="2702"/>
              <w:spacing w:after="0"/>
              <w:rPr>
                <w:sz w:val="20"/>
                <w:szCs w:val="20"/>
                <w:color w:val="auto"/>
              </w:rPr>
            </w:pPr>
            <w:r>
              <w:rPr>
                <w:rFonts w:ascii="Arial" w:cs="Arial" w:eastAsia="Arial" w:hAnsi="Arial"/>
                <w:sz w:val="16"/>
                <w:szCs w:val="16"/>
                <w:color w:val="auto"/>
              </w:rPr>
              <w:t>89193-8510</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w w:val="96"/>
              </w:rPr>
              <w:t>(702) 876-7237</w:t>
            </w: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2"/>
        </w:trPr>
        <w:tc>
          <w:tcPr>
            <w:tcW w:w="1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r>
      <w:tr>
        <w:trPr>
          <w:trHeight w:val="204"/>
        </w:trPr>
        <w:tc>
          <w:tcPr>
            <w:tcW w:w="1200" w:type="dxa"/>
            <w:vAlign w:val="bottom"/>
          </w:tcPr>
          <w:p>
            <w:pPr>
              <w:jc w:val="right"/>
              <w:ind w:right="284"/>
              <w:spacing w:after="0"/>
              <w:rPr>
                <w:sz w:val="20"/>
                <w:szCs w:val="20"/>
                <w:color w:val="auto"/>
              </w:rPr>
            </w:pPr>
            <w:r>
              <w:rPr>
                <w:rFonts w:ascii="Arial" w:cs="Arial" w:eastAsia="Arial" w:hAnsi="Arial"/>
                <w:sz w:val="16"/>
                <w:szCs w:val="16"/>
                <w:color w:val="auto"/>
              </w:rPr>
              <w:t>1-7850</w:t>
            </w:r>
          </w:p>
        </w:tc>
        <w:tc>
          <w:tcPr>
            <w:tcW w:w="2220" w:type="dxa"/>
            <w:vAlign w:val="bottom"/>
          </w:tcPr>
          <w:p>
            <w:pPr>
              <w:ind w:left="220"/>
              <w:spacing w:after="0"/>
              <w:rPr>
                <w:sz w:val="20"/>
                <w:szCs w:val="20"/>
                <w:color w:val="auto"/>
              </w:rPr>
            </w:pPr>
            <w:r>
              <w:rPr>
                <w:rFonts w:ascii="Arial" w:cs="Arial" w:eastAsia="Arial" w:hAnsi="Arial"/>
                <w:sz w:val="16"/>
                <w:szCs w:val="16"/>
                <w:color w:val="auto"/>
              </w:rPr>
              <w:t>Southwest Gas Corporation</w:t>
            </w:r>
          </w:p>
        </w:tc>
        <w:tc>
          <w:tcPr>
            <w:tcW w:w="1420" w:type="dxa"/>
            <w:vAlign w:val="bottom"/>
          </w:tcPr>
          <w:p>
            <w:pPr>
              <w:spacing w:after="0"/>
              <w:rPr>
                <w:sz w:val="17"/>
                <w:szCs w:val="17"/>
                <w:color w:val="auto"/>
              </w:rPr>
            </w:pPr>
          </w:p>
        </w:tc>
        <w:tc>
          <w:tcPr>
            <w:tcW w:w="3820" w:type="dxa"/>
            <w:vAlign w:val="bottom"/>
          </w:tcPr>
          <w:p>
            <w:pPr>
              <w:jc w:val="center"/>
              <w:ind w:left="1802"/>
              <w:spacing w:after="0"/>
              <w:rPr>
                <w:sz w:val="20"/>
                <w:szCs w:val="20"/>
                <w:color w:val="auto"/>
              </w:rPr>
            </w:pPr>
            <w:r>
              <w:rPr>
                <w:rFonts w:ascii="Arial" w:cs="Arial" w:eastAsia="Arial" w:hAnsi="Arial"/>
                <w:sz w:val="16"/>
                <w:szCs w:val="16"/>
                <w:color w:val="auto"/>
                <w:w w:val="97"/>
              </w:rPr>
              <w:t>California</w:t>
            </w:r>
          </w:p>
        </w:tc>
        <w:tc>
          <w:tcPr>
            <w:tcW w:w="2580" w:type="dxa"/>
            <w:vAlign w:val="bottom"/>
          </w:tcPr>
          <w:p>
            <w:pPr>
              <w:jc w:val="center"/>
              <w:ind w:left="84"/>
              <w:spacing w:after="0"/>
              <w:rPr>
                <w:sz w:val="20"/>
                <w:szCs w:val="20"/>
                <w:color w:val="auto"/>
              </w:rPr>
            </w:pPr>
            <w:r>
              <w:rPr>
                <w:rFonts w:ascii="Arial" w:cs="Arial" w:eastAsia="Arial" w:hAnsi="Arial"/>
                <w:sz w:val="16"/>
                <w:szCs w:val="16"/>
                <w:color w:val="auto"/>
                <w:w w:val="91"/>
              </w:rPr>
              <w:t>88-0085720</w:t>
            </w: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8360 S. Durango Dr.</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3820" w:type="dxa"/>
            <w:vAlign w:val="bottom"/>
          </w:tcPr>
          <w:p>
            <w:pPr>
              <w:jc w:val="right"/>
              <w:ind w:right="2702"/>
              <w:spacing w:after="0"/>
              <w:rPr>
                <w:sz w:val="20"/>
                <w:szCs w:val="20"/>
                <w:color w:val="auto"/>
              </w:rPr>
            </w:pPr>
            <w:r>
              <w:rPr>
                <w:rFonts w:ascii="Arial" w:cs="Arial" w:eastAsia="Arial" w:hAnsi="Arial"/>
                <w:sz w:val="16"/>
                <w:szCs w:val="16"/>
                <w:color w:val="auto"/>
              </w:rPr>
              <w:t>89193-8510</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w w:val="96"/>
              </w:rPr>
              <w:t>(702) 876-7237</w:t>
            </w: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87"/>
              </w:rPr>
              <w:t>Title of each class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4940" w:type="dxa"/>
            <w:vAlign w:val="bottom"/>
          </w:tcPr>
          <w:p>
            <w:pPr>
              <w:jc w:val="center"/>
              <w:ind w:left="99"/>
              <w:spacing w:after="0"/>
              <w:rPr>
                <w:sz w:val="20"/>
                <w:szCs w:val="20"/>
                <w:color w:val="auto"/>
              </w:rPr>
            </w:pPr>
            <w:r>
              <w:rPr>
                <w:rFonts w:ascii="Arial" w:cs="Arial" w:eastAsia="Arial" w:hAnsi="Arial"/>
                <w:sz w:val="16"/>
                <w:szCs w:val="16"/>
                <w:color w:val="auto"/>
                <w:w w:val="92"/>
              </w:rPr>
              <w:t>Southwest Gas Holdings, Inc. Common Stock, $1 par value</w:t>
            </w:r>
          </w:p>
        </w:tc>
        <w:tc>
          <w:tcPr>
            <w:tcW w:w="208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w w:val="91"/>
              </w:rPr>
              <w:t>New York Stock Exchange</w:t>
            </w:r>
          </w:p>
        </w:tc>
      </w:tr>
    </w:tbl>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w w:val="85"/>
              </w:rPr>
              <w:t>☐</w:t>
            </w:r>
          </w:p>
        </w:tc>
        <w:tc>
          <w:tcPr>
            <w:tcW w:w="0" w:type="dxa"/>
            <w:vAlign w:val="bottom"/>
          </w:tcPr>
          <w:p>
            <w:pPr>
              <w:spacing w:after="0"/>
              <w:rPr>
                <w:sz w:val="1"/>
                <w:szCs w:val="1"/>
                <w:color w:val="auto"/>
              </w:rPr>
            </w:pPr>
          </w:p>
        </w:tc>
      </w:tr>
      <w:tr>
        <w:trPr>
          <w:trHeight w:val="262"/>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w w:val="85"/>
              </w:rPr>
              <w:t>☒</w:t>
            </w:r>
          </w:p>
        </w:tc>
        <w:tc>
          <w:tcPr>
            <w:tcW w:w="0" w:type="dxa"/>
            <w:vAlign w:val="bottom"/>
          </w:tcPr>
          <w:p>
            <w:pPr>
              <w:spacing w:after="0"/>
              <w:rPr>
                <w:sz w:val="1"/>
                <w:szCs w:val="1"/>
                <w:color w:val="auto"/>
              </w:rPr>
            </w:pPr>
          </w:p>
        </w:tc>
      </w:tr>
      <w:tr>
        <w:trPr>
          <w:trHeight w:val="283"/>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4072890</wp:posOffset>
            </wp:positionH>
            <wp:positionV relativeFrom="paragraph">
              <wp:posOffset>-417195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-417195</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-134620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-134620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p>
      <w:pPr>
        <w:spacing w:after="0" w:line="207" w:lineRule="exact"/>
        <w:tabs>
          <w:tab w:leader="none" w:pos="8880" w:val="left"/>
          <w:tab w:leader="none" w:pos="9580" w:val="left"/>
        </w:tabs>
        <w:rPr>
          <w:sz w:val="20"/>
          <w:szCs w:val="20"/>
          <w:color w:val="auto"/>
        </w:rPr>
      </w:pPr>
      <w:r>
        <w:rPr>
          <w:rFonts w:ascii="Arial" w:cs="Arial" w:eastAsia="Arial" w:hAnsi="Arial"/>
          <w:sz w:val="17"/>
          <w:szCs w:val="17"/>
          <w:color w:val="auto"/>
        </w:rPr>
        <w:t>Indicate by check mark if each registrant is not required to file reports pursuant to Section 13 or Section 15(d) of the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w w:val="99"/>
              </w:rPr>
              <w:t>Southwest Gas Holdings, Inc.:</w:t>
            </w:r>
          </w:p>
        </w:tc>
        <w:tc>
          <w:tcPr>
            <w:tcW w:w="30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4"/>
        </w:trPr>
        <w:tc>
          <w:tcPr>
            <w:tcW w:w="24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4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244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45"/>
        </w:trPr>
        <w:tc>
          <w:tcPr>
            <w:tcW w:w="24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Southwest Gas Corporation:</w:t>
            </w:r>
          </w:p>
        </w:tc>
        <w:tc>
          <w:tcPr>
            <w:tcW w:w="3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0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7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market value of the voting and non-voting common stock held by nonaffiliates of the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$3,860,578,802 as of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57,225,776 shares as of February 16,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16,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Description</w:t>
            </w:r>
          </w:p>
        </w:tc>
        <w:tc>
          <w:tcPr>
            <w:tcW w:w="5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Part Into Which Incorporated</w:t>
            </w:r>
          </w:p>
        </w:tc>
        <w:tc>
          <w:tcPr>
            <w:tcW w:w="0" w:type="dxa"/>
            <w:vAlign w:val="bottom"/>
          </w:tcPr>
          <w:p>
            <w:pPr>
              <w:spacing w:after="0"/>
              <w:rPr>
                <w:sz w:val="1"/>
                <w:szCs w:val="1"/>
                <w:color w:val="auto"/>
              </w:rPr>
            </w:pPr>
          </w:p>
        </w:tc>
      </w:tr>
      <w:tr>
        <w:trPr>
          <w:trHeight w:val="242"/>
        </w:trPr>
        <w:tc>
          <w:tcPr>
            <w:tcW w:w="5900" w:type="dxa"/>
            <w:vAlign w:val="bottom"/>
          </w:tcPr>
          <w:p>
            <w:pPr>
              <w:jc w:val="center"/>
              <w:ind w:right="295"/>
              <w:spacing w:after="0"/>
              <w:rPr>
                <w:sz w:val="20"/>
                <w:szCs w:val="20"/>
                <w:color w:val="auto"/>
              </w:rPr>
            </w:pPr>
            <w:r>
              <w:rPr>
                <w:rFonts w:ascii="Arial" w:cs="Arial" w:eastAsia="Arial" w:hAnsi="Arial"/>
                <w:sz w:val="18"/>
                <w:szCs w:val="18"/>
                <w:color w:val="auto"/>
                <w:w w:val="90"/>
              </w:rPr>
              <w:t>Annual Report to Stockholders for the Year Ended</w:t>
            </w: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Parts I, II, and IV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900" w:type="dxa"/>
            <w:vAlign w:val="bottom"/>
          </w:tcPr>
          <w:p>
            <w:pPr>
              <w:jc w:val="center"/>
              <w:ind w:right="255"/>
              <w:spacing w:after="0" w:line="176" w:lineRule="exact"/>
              <w:rPr>
                <w:sz w:val="20"/>
                <w:szCs w:val="20"/>
                <w:color w:val="auto"/>
              </w:rPr>
            </w:pPr>
            <w:r>
              <w:rPr>
                <w:rFonts w:ascii="Arial" w:cs="Arial" w:eastAsia="Arial" w:hAnsi="Arial"/>
                <w:sz w:val="18"/>
                <w:szCs w:val="18"/>
                <w:color w:val="auto"/>
                <w:w w:val="88"/>
              </w:rPr>
              <w:t>December 31, 2020</w:t>
            </w:r>
          </w:p>
        </w:tc>
        <w:tc>
          <w:tcPr>
            <w:tcW w:w="53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7"/>
              </w:rPr>
              <w:t>Part III</w:t>
            </w:r>
          </w:p>
        </w:tc>
        <w:tc>
          <w:tcPr>
            <w:tcW w:w="0" w:type="dxa"/>
            <w:vAlign w:val="bottom"/>
          </w:tcPr>
          <w:p>
            <w:pPr>
              <w:spacing w:after="0"/>
              <w:rPr>
                <w:sz w:val="1"/>
                <w:szCs w:val="1"/>
                <w:color w:val="auto"/>
              </w:rPr>
            </w:pPr>
          </w:p>
        </w:tc>
      </w:tr>
      <w:tr>
        <w:trPr>
          <w:trHeight w:val="230"/>
        </w:trPr>
        <w:tc>
          <w:tcPr>
            <w:tcW w:w="5900" w:type="dxa"/>
            <w:vAlign w:val="bottom"/>
          </w:tcPr>
          <w:p>
            <w:pPr>
              <w:jc w:val="center"/>
              <w:ind w:right="255"/>
              <w:spacing w:after="0"/>
              <w:rPr>
                <w:sz w:val="20"/>
                <w:szCs w:val="20"/>
                <w:color w:val="auto"/>
              </w:rPr>
            </w:pPr>
            <w:r>
              <w:rPr>
                <w:rFonts w:ascii="Arial" w:cs="Arial" w:eastAsia="Arial" w:hAnsi="Arial"/>
                <w:sz w:val="18"/>
                <w:szCs w:val="18"/>
                <w:color w:val="auto"/>
                <w:w w:val="89"/>
              </w:rPr>
              <w:t>2021 Proxy Statement</w:t>
            </w:r>
          </w:p>
        </w:tc>
        <w:tc>
          <w:tcPr>
            <w:tcW w:w="5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8"/>
        </w:trPr>
        <w:tc>
          <w:tcPr>
            <w:tcW w:w="59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100" w:type="dxa"/>
            <w:vAlign w:val="bottom"/>
            <w:gridSpan w:val="13"/>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FILING FORMAT</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1</w:t>
              </w:r>
            </w:hyperlink>
          </w:p>
        </w:tc>
        <w:tc>
          <w:tcPr>
            <w:tcW w:w="0" w:type="dxa"/>
            <w:vAlign w:val="bottom"/>
          </w:tcPr>
          <w:p>
            <w:pPr>
              <w:spacing w:after="0"/>
              <w:rPr>
                <w:sz w:val="1"/>
                <w:szCs w:val="1"/>
                <w:color w:val="auto"/>
              </w:rPr>
            </w:pPr>
          </w:p>
        </w:tc>
      </w:tr>
      <w:tr>
        <w:trPr>
          <w:trHeight w:val="283"/>
        </w:trPr>
        <w:tc>
          <w:tcPr>
            <w:tcW w:w="1380" w:type="dxa"/>
            <w:vAlign w:val="bottom"/>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w:t>
              </w:r>
            </w:hyperlink>
          </w:p>
        </w:tc>
        <w:tc>
          <w:tcPr>
            <w:tcW w:w="0" w:type="dxa"/>
            <w:vAlign w:val="bottom"/>
          </w:tcPr>
          <w:p>
            <w:pPr>
              <w:spacing w:after="0"/>
              <w:rPr>
                <w:sz w:val="1"/>
                <w:szCs w:val="1"/>
                <w:color w:val="auto"/>
              </w:rPr>
            </w:pPr>
          </w:p>
        </w:tc>
      </w:tr>
      <w:tr>
        <w:trPr>
          <w:trHeight w:val="27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BUSINESS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w:t>
              </w:r>
            </w:hyperlink>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NATURAL GAS OPERATIONS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2</w:t>
              </w:r>
            </w:hyperlink>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General Description</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2</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Rates and Regulation</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2</w:t>
              </w:r>
            </w:hyperlink>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ind w:left="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Competition</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5</w:t>
              </w:r>
            </w:hyperlink>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ind w:left="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Environmental Matters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8">
              <w:r>
                <w:rPr>
                  <w:rFonts w:ascii="Arial" w:cs="Arial" w:eastAsia="Arial" w:hAnsi="Arial"/>
                  <w:sz w:val="18"/>
                  <w:szCs w:val="18"/>
                  <w:b w:val="1"/>
                  <w:bCs w:val="1"/>
                  <w:u w:val="single" w:color="auto"/>
                  <w:color w:val="0000FF"/>
                </w:rPr>
                <w:t>5</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0" w:type="dxa"/>
            <w:vAlign w:val="bottom"/>
            <w:gridSpan w:val="11"/>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UTILITY INFRASTRUCTURE SERVICES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6</w:t>
              </w:r>
            </w:hyperlink>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gridSpan w:val="11"/>
          </w:tcPr>
          <w:p>
            <w:pPr>
              <w:spacing w:after="0" w:line="194" w:lineRule="exact"/>
              <w:rPr>
                <w:sz w:val="20"/>
                <w:szCs w:val="20"/>
                <w:color w:val="auto"/>
              </w:rPr>
            </w:pPr>
            <w:r>
              <w:rPr>
                <w:rFonts w:ascii="Arial" w:cs="Arial" w:eastAsia="Arial" w:hAnsi="Arial"/>
                <w:sz w:val="18"/>
                <w:szCs w:val="18"/>
                <w:color w:val="0E32E1"/>
              </w:rPr>
              <w:t>HUMAN CAPITAL</w:t>
            </w:r>
          </w:p>
        </w:tc>
        <w:tc>
          <w:tcPr>
            <w:tcW w:w="1140" w:type="dxa"/>
            <w:vAlign w:val="bottom"/>
          </w:tcPr>
          <w:p>
            <w:pPr>
              <w:jc w:val="right"/>
              <w:spacing w:after="0" w:line="194" w:lineRule="exact"/>
              <w:rPr>
                <w:rFonts w:ascii="Arial" w:cs="Arial" w:eastAsia="Arial" w:hAnsi="Arial"/>
                <w:sz w:val="18"/>
                <w:szCs w:val="18"/>
                <w:b w:val="1"/>
                <w:bCs w:val="1"/>
                <w:u w:val="single" w:color="auto"/>
                <w:color w:val="0000FF"/>
              </w:rPr>
            </w:pPr>
            <w:hyperlink w:anchor="page10">
              <w:r>
                <w:rPr>
                  <w:rFonts w:ascii="Arial" w:cs="Arial" w:eastAsia="Arial" w:hAnsi="Arial"/>
                  <w:sz w:val="18"/>
                  <w:szCs w:val="18"/>
                  <w:b w:val="1"/>
                  <w:bCs w:val="1"/>
                  <w:u w:val="single" w:color="auto"/>
                  <w:color w:val="0000FF"/>
                </w:rPr>
                <w:t>7</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RISK FACTORS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8</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1B.</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UNRESOLVED STAFF COMMENTS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14</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PROPERTIES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14</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LEGAL PROCEEDINGS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14</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MINE SAFETY DISCLOSURES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7">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4A.</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EXECUTIVE OFFICERS OF THE REGISTRANT</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279"/>
        </w:trPr>
        <w:tc>
          <w:tcPr>
            <w:tcW w:w="1380" w:type="dxa"/>
            <w:vAlign w:val="bottom"/>
          </w:tcPr>
          <w:p>
            <w:pPr>
              <w:ind w:left="20"/>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PART II</w:t>
              </w:r>
            </w:hyperlink>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194"/>
        </w:trPr>
        <w:tc>
          <w:tcPr>
            <w:tcW w:w="1380" w:type="dxa"/>
            <w:vAlign w:val="bottom"/>
          </w:tcPr>
          <w:p>
            <w:pPr>
              <w:ind w:left="20"/>
              <w:spacing w:after="0" w:line="194" w:lineRule="exact"/>
              <w:rPr>
                <w:sz w:val="20"/>
                <w:szCs w:val="20"/>
                <w:color w:val="auto"/>
              </w:rPr>
            </w:pPr>
            <w:r>
              <w:rPr>
                <w:rFonts w:ascii="Arial" w:cs="Arial" w:eastAsia="Arial" w:hAnsi="Arial"/>
                <w:sz w:val="18"/>
                <w:szCs w:val="18"/>
                <w:b w:val="1"/>
                <w:bCs w:val="1"/>
                <w:color w:val="auto"/>
              </w:rPr>
              <w:t>Item 5.</w:t>
            </w:r>
          </w:p>
        </w:tc>
        <w:tc>
          <w:tcPr>
            <w:tcW w:w="8720" w:type="dxa"/>
            <w:vAlign w:val="bottom"/>
            <w:gridSpan w:val="12"/>
          </w:tcPr>
          <w:p>
            <w:pPr>
              <w:spacing w:after="0" w:line="194" w:lineRule="exact"/>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MARKET FOR REGISTRANT’S COMMON EQUITY, RELATED STOCKHOLDER MATTERS</w:t>
              </w:r>
            </w:hyperlink>
          </w:p>
        </w:tc>
        <w:tc>
          <w:tcPr>
            <w:tcW w:w="1140" w:type="dxa"/>
            <w:vAlign w:val="bottom"/>
            <w:vMerge w:val="restart"/>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7600" w:type="dxa"/>
            <w:vAlign w:val="bottom"/>
            <w:tcBorders>
              <w:top w:val="single" w:sz="8" w:color="0000FF"/>
            </w:tcBorders>
            <w:gridSpan w:val="10"/>
          </w:tcPr>
          <w:p>
            <w:pPr>
              <w:spacing w:after="0" w:line="156" w:lineRule="exact"/>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AND ISSUER PURCHASES OF EQUITY SECURITIES</w:t>
              </w:r>
            </w:hyperlink>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4400" w:type="dxa"/>
            <w:vAlign w:val="bottom"/>
            <w:tcBorders>
              <w:top w:val="single" w:sz="8" w:color="0000FF"/>
            </w:tcBorders>
            <w:gridSpan w:val="6"/>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SELECTED FINANCIAL DATA</w:t>
              </w:r>
            </w:hyperlink>
          </w:p>
        </w:tc>
        <w:tc>
          <w:tcPr>
            <w:tcW w:w="4320" w:type="dxa"/>
            <w:vAlign w:val="bottom"/>
            <w:gridSpan w:val="6"/>
          </w:tcPr>
          <w:p>
            <w:pPr>
              <w:spacing w:after="0"/>
              <w:rPr>
                <w:sz w:val="21"/>
                <w:szCs w:val="21"/>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194"/>
        </w:trPr>
        <w:tc>
          <w:tcPr>
            <w:tcW w:w="1380" w:type="dxa"/>
            <w:vAlign w:val="bottom"/>
          </w:tcPr>
          <w:p>
            <w:pPr>
              <w:ind w:left="20"/>
              <w:spacing w:after="0" w:line="194" w:lineRule="exact"/>
              <w:rPr>
                <w:sz w:val="20"/>
                <w:szCs w:val="20"/>
                <w:color w:val="auto"/>
              </w:rPr>
            </w:pPr>
            <w:r>
              <w:rPr>
                <w:rFonts w:ascii="Arial" w:cs="Arial" w:eastAsia="Arial" w:hAnsi="Arial"/>
                <w:sz w:val="18"/>
                <w:szCs w:val="18"/>
                <w:b w:val="1"/>
                <w:bCs w:val="1"/>
                <w:color w:val="auto"/>
              </w:rPr>
              <w:t>Item 7.</w:t>
            </w:r>
          </w:p>
        </w:tc>
        <w:tc>
          <w:tcPr>
            <w:tcW w:w="8720" w:type="dxa"/>
            <w:vAlign w:val="bottom"/>
            <w:gridSpan w:val="12"/>
          </w:tcPr>
          <w:p>
            <w:pPr>
              <w:spacing w:after="0" w:line="194" w:lineRule="exact"/>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MANAGEMENT’S DISCUSSION AND ANALYSIS OF FINANCIAL CONDITION AND RESULTS</w:t>
              </w:r>
            </w:hyperlink>
          </w:p>
        </w:tc>
        <w:tc>
          <w:tcPr>
            <w:tcW w:w="1140" w:type="dxa"/>
            <w:vAlign w:val="bottom"/>
            <w:vMerge w:val="restart"/>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7780" w:type="dxa"/>
            <w:vAlign w:val="bottom"/>
            <w:tcBorders>
              <w:top w:val="single" w:sz="8" w:color="0000FF"/>
            </w:tcBorders>
            <w:gridSpan w:val="11"/>
          </w:tcPr>
          <w:p>
            <w:pPr>
              <w:spacing w:after="0" w:line="156" w:lineRule="exact"/>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OF OPERATIONS</w:t>
              </w:r>
            </w:hyperlink>
          </w:p>
        </w:tc>
        <w:tc>
          <w:tcPr>
            <w:tcW w:w="9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7A.</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QUANTITATIVE AND QUALITATIVE DISCLOSURES ABOUT MARKET RISK</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15</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FINANCIAL STATEMENTS AND SUPPLEMENTARY DATA</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16</w:t>
              </w:r>
            </w:hyperlink>
          </w:p>
        </w:tc>
        <w:tc>
          <w:tcPr>
            <w:tcW w:w="0" w:type="dxa"/>
            <w:vAlign w:val="bottom"/>
          </w:tcPr>
          <w:p>
            <w:pPr>
              <w:spacing w:after="0"/>
              <w:rPr>
                <w:sz w:val="1"/>
                <w:szCs w:val="1"/>
                <w:color w:val="auto"/>
              </w:rPr>
            </w:pPr>
          </w:p>
        </w:tc>
      </w:tr>
      <w:tr>
        <w:trPr>
          <w:trHeight w:val="194"/>
        </w:trPr>
        <w:tc>
          <w:tcPr>
            <w:tcW w:w="1380" w:type="dxa"/>
            <w:vAlign w:val="bottom"/>
          </w:tcPr>
          <w:p>
            <w:pPr>
              <w:ind w:left="20"/>
              <w:spacing w:after="0" w:line="194" w:lineRule="exact"/>
              <w:rPr>
                <w:sz w:val="20"/>
                <w:szCs w:val="20"/>
                <w:color w:val="auto"/>
              </w:rPr>
            </w:pPr>
            <w:r>
              <w:rPr>
                <w:rFonts w:ascii="Arial" w:cs="Arial" w:eastAsia="Arial" w:hAnsi="Arial"/>
                <w:sz w:val="18"/>
                <w:szCs w:val="18"/>
                <w:b w:val="1"/>
                <w:bCs w:val="1"/>
                <w:color w:val="auto"/>
              </w:rPr>
              <w:t>Item 9.</w:t>
            </w:r>
          </w:p>
        </w:tc>
        <w:tc>
          <w:tcPr>
            <w:tcW w:w="8720" w:type="dxa"/>
            <w:vAlign w:val="bottom"/>
            <w:gridSpan w:val="12"/>
          </w:tcPr>
          <w:p>
            <w:pPr>
              <w:spacing w:after="0" w:line="194" w:lineRule="exact"/>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CHANGES IN AND DISAGREEMENTS WITH ACCOUNTANTS ON ACCOUNTING AND</w:t>
              </w:r>
            </w:hyperlink>
          </w:p>
        </w:tc>
        <w:tc>
          <w:tcPr>
            <w:tcW w:w="1140" w:type="dxa"/>
            <w:vAlign w:val="bottom"/>
            <w:vMerge w:val="restart"/>
          </w:tcPr>
          <w:p>
            <w:pPr>
              <w:jc w:val="right"/>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16</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FINANCIAL DISCLOSURE</w:t>
              </w:r>
            </w:hyperlink>
          </w:p>
        </w:tc>
        <w:tc>
          <w:tcPr>
            <w:tcW w:w="4980" w:type="dxa"/>
            <w:vAlign w:val="bottom"/>
            <w:tcBorders>
              <w:top w:val="single" w:sz="8" w:color="0000FF"/>
            </w:tcBorders>
            <w:gridSpan w:val="4"/>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9A.</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CONTROLS AND PROCEDURES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17</w:t>
              </w:r>
            </w:hyperlink>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9B.</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OTHER INFORMATION</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17</w:t>
              </w:r>
            </w:hyperlink>
          </w:p>
        </w:tc>
        <w:tc>
          <w:tcPr>
            <w:tcW w:w="0" w:type="dxa"/>
            <w:vAlign w:val="bottom"/>
          </w:tcPr>
          <w:p>
            <w:pPr>
              <w:spacing w:after="0"/>
              <w:rPr>
                <w:sz w:val="1"/>
                <w:szCs w:val="1"/>
                <w:color w:val="auto"/>
              </w:rPr>
            </w:pPr>
          </w:p>
        </w:tc>
      </w:tr>
      <w:tr>
        <w:trPr>
          <w:trHeight w:val="279"/>
        </w:trPr>
        <w:tc>
          <w:tcPr>
            <w:tcW w:w="1380" w:type="dxa"/>
            <w:vAlign w:val="bottom"/>
          </w:tcPr>
          <w:p>
            <w:pPr>
              <w:ind w:left="20"/>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PART III</w:t>
              </w:r>
            </w:hyperlink>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17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10.</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DIRECTORS, EXECUTIVE OFFICERS AND CORPORATE GOVERNANCE</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17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11.</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EXECUTIVE COMPENSATION</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19</w:t>
              </w:r>
            </w:hyperlink>
          </w:p>
        </w:tc>
        <w:tc>
          <w:tcPr>
            <w:tcW w:w="0" w:type="dxa"/>
            <w:vAlign w:val="bottom"/>
          </w:tcPr>
          <w:p>
            <w:pPr>
              <w:spacing w:after="0"/>
              <w:rPr>
                <w:sz w:val="1"/>
                <w:szCs w:val="1"/>
                <w:color w:val="auto"/>
              </w:rPr>
            </w:pPr>
          </w:p>
        </w:tc>
      </w:tr>
      <w:tr>
        <w:trPr>
          <w:trHeight w:val="194"/>
        </w:trPr>
        <w:tc>
          <w:tcPr>
            <w:tcW w:w="1380" w:type="dxa"/>
            <w:vAlign w:val="bottom"/>
          </w:tcPr>
          <w:p>
            <w:pPr>
              <w:ind w:left="20"/>
              <w:spacing w:after="0" w:line="194" w:lineRule="exact"/>
              <w:rPr>
                <w:sz w:val="20"/>
                <w:szCs w:val="20"/>
                <w:color w:val="auto"/>
              </w:rPr>
            </w:pPr>
            <w:r>
              <w:rPr>
                <w:rFonts w:ascii="Arial" w:cs="Arial" w:eastAsia="Arial" w:hAnsi="Arial"/>
                <w:sz w:val="18"/>
                <w:szCs w:val="18"/>
                <w:b w:val="1"/>
                <w:bCs w:val="1"/>
                <w:color w:val="auto"/>
              </w:rPr>
              <w:t>Item 12.</w:t>
            </w:r>
          </w:p>
        </w:tc>
        <w:tc>
          <w:tcPr>
            <w:tcW w:w="8720" w:type="dxa"/>
            <w:vAlign w:val="bottom"/>
            <w:gridSpan w:val="12"/>
          </w:tcPr>
          <w:p>
            <w:pPr>
              <w:spacing w:after="0" w:line="194"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SECURITY OWNERSHIP OF CERTAIN BENEFICIAL OWNERS AND MANAGEMENT AND</w:t>
              </w:r>
            </w:hyperlink>
          </w:p>
        </w:tc>
        <w:tc>
          <w:tcPr>
            <w:tcW w:w="1140" w:type="dxa"/>
            <w:vAlign w:val="bottom"/>
            <w:vMerge w:val="restart"/>
          </w:tcPr>
          <w:p>
            <w:pPr>
              <w:jc w:val="right"/>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19</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7520" w:type="dxa"/>
            <w:vAlign w:val="bottom"/>
            <w:tcBorders>
              <w:top w:val="single" w:sz="8" w:color="0000FF"/>
            </w:tcBorders>
            <w:gridSpan w:val="9"/>
          </w:tcPr>
          <w:p>
            <w:pPr>
              <w:spacing w:after="0" w:line="156"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RELATED STOCKHOLDER MATTERS</w:t>
              </w:r>
            </w:hyperlink>
          </w:p>
        </w:tc>
        <w:tc>
          <w:tcPr>
            <w:tcW w:w="1200" w:type="dxa"/>
            <w:vAlign w:val="bottom"/>
            <w:gridSpan w:val="3"/>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13.</w:t>
            </w:r>
          </w:p>
        </w:tc>
        <w:tc>
          <w:tcPr>
            <w:tcW w:w="8720" w:type="dxa"/>
            <w:vAlign w:val="bottom"/>
            <w:gridSpan w:val="12"/>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CERTAIN RELATIONSHIPS AND RELATED TRANSACTIONS, AND DIRECTOR</w:t>
              </w:r>
            </w:hyperlink>
          </w:p>
        </w:tc>
        <w:tc>
          <w:tcPr>
            <w:tcW w:w="1140" w:type="dxa"/>
            <w:vAlign w:val="bottom"/>
            <w:vMerge w:val="restart"/>
          </w:tcPr>
          <w:p>
            <w:pPr>
              <w:jc w:val="right"/>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20</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b w:val="1"/>
                <w:bCs w:val="1"/>
                <w:color w:val="0000FF"/>
                <w:w w:val="99"/>
              </w:rPr>
            </w:pPr>
            <w:hyperlink w:anchor="page22">
              <w:r>
                <w:rPr>
                  <w:rFonts w:ascii="Arial" w:cs="Arial" w:eastAsia="Arial" w:hAnsi="Arial"/>
                  <w:sz w:val="18"/>
                  <w:szCs w:val="18"/>
                  <w:b w:val="1"/>
                  <w:bCs w:val="1"/>
                  <w:color w:val="0000FF"/>
                  <w:w w:val="99"/>
                </w:rPr>
                <w:t>INDEPENDENCE</w:t>
              </w:r>
            </w:hyperlink>
          </w:p>
        </w:tc>
        <w:tc>
          <w:tcPr>
            <w:tcW w:w="5160" w:type="dxa"/>
            <w:vAlign w:val="bottom"/>
            <w:tcBorders>
              <w:top w:val="single" w:sz="8" w:color="0000FF"/>
            </w:tcBorders>
            <w:gridSpan w:val="5"/>
          </w:tcPr>
          <w:p>
            <w:pPr>
              <w:spacing w:after="0"/>
              <w:rPr>
                <w:sz w:val="13"/>
                <w:szCs w:val="13"/>
                <w:color w:val="auto"/>
              </w:rPr>
            </w:pPr>
          </w:p>
        </w:tc>
        <w:tc>
          <w:tcPr>
            <w:tcW w:w="2100" w:type="dxa"/>
            <w:vAlign w:val="bottom"/>
            <w:gridSpan w:val="5"/>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14.</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PRINCIPAL ACCOUNTING FEES AND SERVICES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20</w:t>
              </w:r>
            </w:hyperlink>
          </w:p>
        </w:tc>
        <w:tc>
          <w:tcPr>
            <w:tcW w:w="0" w:type="dxa"/>
            <w:vAlign w:val="bottom"/>
          </w:tcPr>
          <w:p>
            <w:pPr>
              <w:spacing w:after="0"/>
              <w:rPr>
                <w:sz w:val="1"/>
                <w:szCs w:val="1"/>
                <w:color w:val="auto"/>
              </w:rPr>
            </w:pPr>
          </w:p>
        </w:tc>
      </w:tr>
      <w:tr>
        <w:trPr>
          <w:trHeight w:val="279"/>
        </w:trPr>
        <w:tc>
          <w:tcPr>
            <w:tcW w:w="1380" w:type="dxa"/>
            <w:vAlign w:val="bottom"/>
          </w:tcPr>
          <w:p>
            <w:pPr>
              <w:ind w:left="20"/>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PART IV</w:t>
              </w:r>
            </w:hyperlink>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21</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15.</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EXHIBITS, FINANCIAL STATEMENT SCHEDULES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21</w:t>
              </w:r>
            </w:hyperlink>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16.</w:t>
            </w:r>
          </w:p>
        </w:tc>
        <w:tc>
          <w:tcPr>
            <w:tcW w:w="8720" w:type="dxa"/>
            <w:vAlign w:val="bottom"/>
            <w:gridSpan w:val="12"/>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FORM 10–K SUMMARY</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21</w:t>
              </w:r>
            </w:hyperlink>
          </w:p>
        </w:tc>
        <w:tc>
          <w:tcPr>
            <w:tcW w:w="0" w:type="dxa"/>
            <w:vAlign w:val="bottom"/>
          </w:tcPr>
          <w:p>
            <w:pPr>
              <w:spacing w:after="0"/>
              <w:rPr>
                <w:sz w:val="1"/>
                <w:szCs w:val="1"/>
                <w:color w:val="auto"/>
              </w:rPr>
            </w:pPr>
          </w:p>
        </w:tc>
      </w:tr>
      <w:tr>
        <w:trPr>
          <w:trHeight w:val="284"/>
        </w:trPr>
        <w:tc>
          <w:tcPr>
            <w:tcW w:w="10100" w:type="dxa"/>
            <w:vAlign w:val="bottom"/>
            <w:gridSpan w:val="13"/>
          </w:tcPr>
          <w:p>
            <w:pPr>
              <w:ind w:left="20"/>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LIST OF EXHIBITS</w:t>
              </w:r>
            </w:hyperlink>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22</w:t>
              </w:r>
            </w:hyperlink>
          </w:p>
        </w:tc>
        <w:tc>
          <w:tcPr>
            <w:tcW w:w="0" w:type="dxa"/>
            <w:vAlign w:val="bottom"/>
          </w:tcPr>
          <w:p>
            <w:pPr>
              <w:spacing w:after="0"/>
              <w:rPr>
                <w:sz w:val="1"/>
                <w:szCs w:val="1"/>
                <w:color w:val="auto"/>
              </w:rPr>
            </w:pPr>
          </w:p>
        </w:tc>
      </w:tr>
      <w:tr>
        <w:trPr>
          <w:trHeight w:val="283"/>
        </w:trPr>
        <w:tc>
          <w:tcPr>
            <w:tcW w:w="1380" w:type="dxa"/>
            <w:vAlign w:val="bottom"/>
          </w:tcPr>
          <w:p>
            <w:pPr>
              <w:ind w:left="2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SIGNATURES</w:t>
              </w:r>
            </w:hyperlink>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26</w:t>
              </w:r>
            </w:hyperlink>
          </w:p>
        </w:tc>
        <w:tc>
          <w:tcPr>
            <w:tcW w:w="0" w:type="dxa"/>
            <w:vAlign w:val="bottom"/>
          </w:tcPr>
          <w:p>
            <w:pPr>
              <w:spacing w:after="0"/>
              <w:rPr>
                <w:sz w:val="1"/>
                <w:szCs w:val="1"/>
                <w:color w:val="auto"/>
              </w:rPr>
            </w:pPr>
          </w:p>
        </w:tc>
      </w:tr>
      <w:tr>
        <w:trPr>
          <w:trHeight w:val="965"/>
        </w:trPr>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Gas Holdings, Inc., a Delaware corporation, is a holding company headquartered in Las Vegas, Nevada, which either on its own or together with its subsidiaries is referred to herein as the “Company.” Through its wholly owned subsidiaries, Southwest Gas Corporation (“Southwest” or the “natural gas operations” segment) and Centuri Group, Inc. (“Centuri” or the “utility infrastructure services” segment), the Company operates two business segments: natural gas operations and utility infrastructure services. Southwest is incorporated in the state of California.</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incorporated in March 1931,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Financial information concerning the Company’s business segments is included in </w:t>
      </w:r>
      <w:r>
        <w:rPr>
          <w:rFonts w:ascii="Arial" w:cs="Arial" w:eastAsia="Arial" w:hAnsi="Arial"/>
          <w:sz w:val="18"/>
          <w:szCs w:val="18"/>
          <w:b w:val="1"/>
          <w:bCs w:val="1"/>
          <w:color w:val="auto"/>
        </w:rPr>
        <w:t>Note 13 - Segment Information</w:t>
      </w:r>
      <w:r>
        <w:rPr>
          <w:rFonts w:ascii="Arial" w:cs="Arial" w:eastAsia="Arial" w:hAnsi="Arial"/>
          <w:sz w:val="18"/>
          <w:szCs w:val="18"/>
          <w:color w:val="auto"/>
        </w:rPr>
        <w:t xml:space="preserve"> of the notes to consolidated financial statements, which is included in the 2020 Annual Report to Stockholders and is incorporated herein by reference.</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maintains a website (www.swgasholdings.com) for the benefit of stockholders,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Securities and Exchange Commission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stockholders upon request directed to the Corporate Secretary, Southwest Gas Holdings, Inc., 8360 S. Durango Drive, Las Vegas, NV 89113.</w:t>
      </w:r>
    </w:p>
    <w:p>
      <w:pPr>
        <w:spacing w:after="0" w:line="200" w:lineRule="exact"/>
        <w:rPr>
          <w:sz w:val="20"/>
          <w:szCs w:val="20"/>
          <w:color w:val="auto"/>
        </w:rPr>
      </w:pP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NATURAL GAS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subject to regulation by the Arizona Corporation Commission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Federal Energy Regulatory Commission (the “FERC”). Centuri, by contrast, is not rate regulated by the state utilities commissions or by the FERC in any of its operating areas.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Southwest purchased and distributed or transported natural gas to 2,123,000 residential, commercial, and industrial customers in geographically diverse portions of Arizona, Nevada, and California. Southwest added 37,000 new customers during 2020. Southwest expects similar customer growth in 2021.</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the percentage of operating margin (operating revenues less net cost of gas) by major customer class for the years indicated: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Distribution</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24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Residential and</w:t>
            </w:r>
          </w:p>
        </w:tc>
        <w:tc>
          <w:tcPr>
            <w:tcW w:w="1420" w:type="dxa"/>
            <w:vAlign w:val="bottom"/>
          </w:tcPr>
          <w:p>
            <w:pPr>
              <w:jc w:val="center"/>
              <w:ind w:right="377"/>
              <w:spacing w:after="0" w:line="135" w:lineRule="exact"/>
              <w:rPr>
                <w:sz w:val="20"/>
                <w:szCs w:val="20"/>
                <w:color w:val="auto"/>
              </w:rPr>
            </w:pPr>
            <w:r>
              <w:rPr>
                <w:rFonts w:ascii="Arial" w:cs="Arial" w:eastAsia="Arial" w:hAnsi="Arial"/>
                <w:sz w:val="14"/>
                <w:szCs w:val="14"/>
                <w:b w:val="1"/>
                <w:bCs w:val="1"/>
                <w:color w:val="auto"/>
                <w:w w:val="92"/>
              </w:rPr>
              <w:t>Other Sales</w:t>
            </w:r>
          </w:p>
        </w:tc>
        <w:tc>
          <w:tcPr>
            <w:tcW w:w="100" w:type="dxa"/>
            <w:vAlign w:val="bottom"/>
          </w:tcPr>
          <w:p>
            <w:pPr>
              <w:spacing w:after="0"/>
              <w:rPr>
                <w:sz w:val="11"/>
                <w:szCs w:val="11"/>
                <w:color w:val="auto"/>
              </w:rPr>
            </w:pPr>
          </w:p>
        </w:tc>
        <w:tc>
          <w:tcPr>
            <w:tcW w:w="1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Transportation</w:t>
            </w:r>
          </w:p>
        </w:tc>
        <w:tc>
          <w:tcPr>
            <w:tcW w:w="0" w:type="dxa"/>
            <w:vAlign w:val="bottom"/>
          </w:tcPr>
          <w:p>
            <w:pPr>
              <w:spacing w:after="0"/>
              <w:rPr>
                <w:sz w:val="1"/>
                <w:szCs w:val="1"/>
                <w:color w:val="auto"/>
              </w:rPr>
            </w:pPr>
          </w:p>
        </w:tc>
      </w:tr>
      <w:tr>
        <w:trPr>
          <w:trHeight w:val="188"/>
        </w:trPr>
        <w:tc>
          <w:tcPr>
            <w:tcW w:w="5340" w:type="dxa"/>
            <w:vAlign w:val="bottom"/>
            <w:gridSpan w:val="2"/>
            <w:vMerge w:val="continue"/>
          </w:tcPr>
          <w:p>
            <w:pPr>
              <w:spacing w:after="0"/>
              <w:rPr>
                <w:sz w:val="16"/>
                <w:szCs w:val="16"/>
                <w:color w:val="auto"/>
              </w:rPr>
            </w:pPr>
          </w:p>
        </w:tc>
        <w:tc>
          <w:tcPr>
            <w:tcW w:w="2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Small Commercial</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Customers</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Transportation of customer-secured gas to end-users accounted for 44% of total system throughput in 2020, but represents only 12% of operating margin as shown in the table above. Customers who utilized this service transported 98 million dekatherms in 2020, 101 million dekatherms in 2019, and 105 million dekatherms in 2018.</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three-state service territory, as described below, are structured with seasonal variations. Also, earnings for interim periods can be significantly affected by the timing of general rate relief.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Paiute Pipeline Company (“Paiute”), a wholly owned subsidiary, and the rates it charges for transportation of gas directly to certain end-users and to various local distribution companies (“LDCs”). The LDCs transporting on the Paiute system are: NV Energy (serving Reno and Sparks, Nevada) and Southwest (serving Truckee, South and North Lake Tahoe in California, and various locations throughout northern Nevada).</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3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which is incorporated by reference herein and included within the 2020 Annual Report to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Ratemaking Area</w:t>
            </w:r>
          </w:p>
        </w:tc>
        <w:tc>
          <w:tcPr>
            <w:tcW w:w="1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Type of Filing</w:t>
            </w: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Month Filed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Month Final Rates</w:t>
            </w:r>
          </w:p>
        </w:tc>
        <w:tc>
          <w:tcPr>
            <w:tcW w:w="0" w:type="dxa"/>
            <w:vAlign w:val="bottom"/>
          </w:tcPr>
          <w:p>
            <w:pPr>
              <w:spacing w:after="0"/>
              <w:rPr>
                <w:sz w:val="1"/>
                <w:szCs w:val="1"/>
                <w:color w:val="auto"/>
              </w:rPr>
            </w:pPr>
          </w:p>
        </w:tc>
      </w:tr>
      <w:tr>
        <w:trPr>
          <w:trHeight w:val="188"/>
        </w:trPr>
        <w:tc>
          <w:tcPr>
            <w:tcW w:w="556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General rate case</w:t>
            </w:r>
          </w:p>
        </w:tc>
        <w:tc>
          <w:tcPr>
            <w:tcW w:w="1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May 2019</w:t>
            </w:r>
          </w:p>
        </w:tc>
        <w:tc>
          <w:tcPr>
            <w:tcW w:w="1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2021</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Southern, and South Lake Tahoe</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August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and Southern</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February 2020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FERC:</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Paiute</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2020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2020, Southwest acquired natural gas from 29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mitigate customer exposure to short-term market price volatility, during 2020 Southwest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Southwest’s price volatility mitigation program has included the use of financial derivatives, in the form of fixed-for-floating-index-price swaps combined with indexed-price physical purchases, to secure a portion of the fixed-price portfolio, most recently, for the Arizona rate jurisdiction. The combination of fixed-price contracts and financial derivatives was designed to increase flexibility for Southwest and increase supplier diversification. The cost of such financial derivatives combined with the associated indexed-price physical purchases has been recoverable from customers through the PGA mechanism. For periods beyond October 2020, Southwest does not plan to make fixed-price term purchases broadly in other than California (as set forth above), nor engage in swap transactions for any of its territories.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2020/2021 heating season, fixed-price physical commodity purchases ranged from approximately $2.37 to approximately $2.97 per dekatherm. Southwest makes natural gas purchases, not covered by fixed-price contracts, under variable-price contracts with firm quantities or on the spot market. Prices for these contracts are determined at the beginning of</w:t>
      </w:r>
    </w:p>
    <w:p>
      <w:pPr>
        <w:spacing w:after="0" w:line="200" w:lineRule="exact"/>
        <w:rPr>
          <w:sz w:val="20"/>
          <w:szCs w:val="20"/>
          <w:color w:val="auto"/>
        </w:rPr>
      </w:pPr>
    </w:p>
    <w:p>
      <w:pPr>
        <w:spacing w:after="0" w:line="2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each month to reflect that month’s published first-of-month index price or based on a published daily price index. These monthly or daily index prices are not published or known until the purchase period begins.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baseload firm natural gas supply arrangements are structured such that Southwest must nominate a stated volume of natural gas and the supplier must confirm that nomination. Contracts provide for fixed or market-based penalties to be paid by the non-performing party.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some access to storage services, but overall there are a small quantities of storage services available for Southwest’s use. For available storage services, Southwest purchases natural gas for injection during the off-peak period for use in the high demand months; however, since storage is limited, its impact is also limited in regard to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Southwest currently has no storage service availability in its southern Nevada rate jurisdiction. Southwest has limited storage service availability for the southern and northern California, northern Nevada, and Arizona rate jurisdictions. The following summarizes Southwest’s access to storage services for those rate jurisdictions.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has a contract with Southern California Gas Company for use only within Southwest’s southern California rate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contracts for storage services from Paiute’s above-ground LNG facility. This storage service provides peaking capability only for the northern Nevada and northern California rate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Arizona rate jurisdiction, beginning in December 2019, a 233,000 dekatherm above-ground LNG facility in southern Arizona was placed into service. This facility is intended to enhance service reliability and flexibility in natural gas deliveries in the area by providing a local storage option that is operated by Southwest and connected directly to its distribution system.</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landscape for national natural gas supply is continuously changing. Advanced drilling techniques continue to provide access to abundant and sustainable natural gas supplies. The natural gas market has responded to the abundant supply of natural gas with reductions to both price volatility and the total price of the commodity. Forecasts show that an ample and diverse natural gas supply is available to Southwest’s customers at a highly competitive price when compared with competing forms of energy.</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Paiute, and Ruby Pipeline LLC (“Ruby”), costs for which are recovered from Southwest’s customers through the PGA mechanism. Southwest regularly monitors short- and long-term supply and pipeline capacity availability to ensure the reliability of service to its customers. Southwest currently receives firm transportation service, both on a short- and long-term basis, for all its service territories on the pipeline systems noted above. Southwest also contracts for firm natural gas supplies that are delivered to Southwest’s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 In 2020, Southwest provided natural gas to a large majority of the new homes constructed during the year in the major metropolitan markets composing our service territories.</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or policies surrounding electrification could impact Southwest’s ability to retain some of these customers. Alternative energy has gained momentum in governmental policy overall in recent years. Southwest has taken steps to align with these efforts by supporting energy efficiency in our jurisdictions, being part of greenhouse gas protocols and initiatives in California, and creating new biogas and renewable natural gas (“RNG”) tariff schedules in Arizona, California, and Nevada. While certain forms of renewable energy initiatives compete with natural gas, the abundance and low cost of natural gas, as 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a number of federal and state legislative and regulatory initiatives proposed in recent years in an attempt to control or limit the effects of global warming and overall climate change, including greenhouse gas emissions (“GHGs”), such as carbon dioxide. The adoption of this type of legislation by Congress or similar legislation by state governments mandating a substantial reduction in GHGs, or decarbonization generally, could have significant impacts on the energy industry in the future. Such new legislation or regulations could result in increased compliance costs or additional operating restrictions on our business, affect the demand for natural gas, or impact the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is one of the most environmentally-friendly fuels currently available and its use can help energy users comply with stricter environmental air quality standards. While transportation is typically cited as the leading source of carbon dioxide emissions in the United States (“U.S.”), natural gas for residential consumption/use is cited as accounting for less than 5% of total U.S. GHG emissions.</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remains committed to providing customers with clean, efficient, affordable natural gas service and continues to work with policy makers and regulators to support and adopt renewable initiatives and expanded use of renewable natural gas (“RNG”) and compressed natural gas (“CNG”). Southwest is not only working through protocols necessary to support a regional transportation customer in Nevada with its fleet’s RNG and CNG needs, but Southwest also recently received favorable cost recovery in regard to the conversion of part of its own vehicle fleet to CNG, in support of the state’s greenhouse gas emission reduction goals. In recent years, regulatory activity in Arizona, California, and Nevada has led to provisions allowing for the development and potential investment in RNG projects. In addition, proposals have been made in all three states to allow Southwest to purchase RNG as part of its gas supply portfolio; in the California and Nevada jurisdictions, those proposals have been accepted by regulators or legislative bodies.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United States Environmental Protection Agency (the “EPA”) and State of California Environmental Protection Agency (the “Cal/EPA”) regulations require the reporting of GHGs from large sources and suppliers in order to facilitate the development of</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both"/>
        <w:spacing w:after="0" w:line="308" w:lineRule="auto"/>
        <w:rPr>
          <w:sz w:val="20"/>
          <w:szCs w:val="20"/>
          <w:color w:val="auto"/>
        </w:rPr>
      </w:pPr>
      <w:r>
        <w:rPr>
          <w:rFonts w:ascii="Arial" w:cs="Arial" w:eastAsia="Arial" w:hAnsi="Arial"/>
          <w:sz w:val="17"/>
          <w:szCs w:val="17"/>
          <w:color w:val="auto"/>
        </w:rPr>
        <w:t>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California legislation and regulations promulgated by the California Air Resources Board (the “CARB”) require Southwest to comply with the California GHG Emissions Reporting Program and the California Cap and Trade Program, which play an important role in the state’s goal of reducing GHG emissions to 40% below 1990 levels by 2030. Southwest must report annual GHGs each year. The CARB annually allocates to Southwest a certain number of allowances based on Southwest’s reported 2011 GHGs.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ongoing three-year compliance periods established. One ended in 2017, and another ended in 2020. Southwest successfully met the 2017 compliance obligation by surrendering a sufficient number of allowances prior to November 1, 2018. Southwest will meet the 2020 compliance obligation by surrendering a sufficient number of allowances prior to November 1, 2021. The CPUC previously issued a decision that provides for the regulatory treatment of the program costs. The decision also implemented the California Climate Credit in October 2018, representing a return of auction proceeds, which is updated annually each April. There is no expected impact on earnings.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UTILITY INFRASTRUCTURE SERVICES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The primary focus of Centuri operations is replacement of natural gas distribution pipe and electric service lines, as well as new infrastructure installations. With the recent expansion of its electric services business, it also provides emergency restoration services, where necessary, to bring its customers’ above-ground utility infrastructure back on line following regional storms. Utility infrastructure services work varies from relatively small projects to the installation of infrastructure for entire residential communities or business parks. Utility infrastructure services activity is seasonal in many of Centuri’s operating areas. Peak periods are the summer and fall months in colder climate areas, such as the northeastern and midwestern U.S. and Canada. In warmer climate areas, such as the southwestern and southeastern U.S., utility infrastructure services activity typically continues year round.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recent years, various factors resulted in an increase in large multi-year utility system replacement programs and expanded protocols. The U.S. Energy Policy Act of 2005 established mandatory electric grid reliability standards and incentivized investments in transmission and distribution systems. The U.S. Department of Transportation’s Pipeline and Hazardous Materials Safety Administration (“PHMSA”) instituted Distribution Integrity Management Programs (“DIMP”) effective February 2010, which required operators of gas distribution pipelines to develop and implement integrity management programs to enhance safety by identifying and reducing pipeline integrity risks. FERC Order No. 1000, issued in July 2011, established transmission planning requirements to encourage development of electric transmission infrastructure projects. In 2020, PHMSA issued its long-anticipated final “Mega Rule,” including requirements for reconfirming transmission pipeline maximum allowable operating pressure and verification of pipeline materials, in addition to expanding assessments and requirements for work in moderate consequence areas, among other things.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Centuri’s contract terms with utility customers generally specify unit-price or time-and-materials (“T&amp;M”) terms under master service agreements, and occasionally fixed-price arrangements for bid work. Unit-price contracts establish prices for all of the various services to be performed during the contract period. These contracts often have annual pricing reviews. During 2020, approximately 92% of revenue was earned under unit-price and T&amp;M contracts. Storm restoration services are often contracted under T&amp;M rates and generally involve a higher number of hours worked per day given the emergency response nature of the work performed.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U.S. (“U.S. GAAP”) and is not a measure of contract profitability. As of December 31, 2020, backlog of approximately $100 million existed with respect to outstanding fixed-priced contracts.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Competition within the industry has traditionally been limited to several regional and numerous local competitors in what has been a largely fragmented industry. Some national competitors also exist within the industry. Centuri operates in over 55</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primary locations across 40 states and provinces in the U.S. and Canada, with its corporate headquarters located in Phoenix, Arizona. During 2020, Centuri served over 100 customers, with Southwest accounting for approximately 7% of total revenue. Another individual customer accounted for approximately 11% of total revenue, while four other customers individually accounted for 5% or more of total revenue.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 “prudency reviews” like any other capital work performed by third parties or directly by Southwest. However, such reviews would not bring Centuri under the regulatory jurisdiction of any of the commissions noted above.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specializes in construction of underground aviation fueling systems and storage tanks. Western is a variable interest entity of which Centuri is not the primary beneficiary; therefore, Western is not consolidated with Centuri and is, instead, accounted for under the equity method of accounting. To date, Western, has not been a significant component of Centuri’s financial results.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Southwest and Centuri, and throughout our collective operations, employees are critical to our success. Their talent and dedication are what allow us to provide safe and reliable service to customers and explore new opportunities that align with our strategies, while carrying out organizational core values related to safety, quality, and stewardship, among others. The Board of Directors (the “Board”) oversees matters relating to our vision, values, and culture where diversity, equity, and inclusion; human and workplace rights; and employee health and safety are priorities. The Board receives regular reports from management and subject 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and Centuri are committed to the safety of our employees and the communities we serve every day. Employees and contract workers receive initial safety orientation training to learn practices, procedures, and policies established by Southwest and Centuri.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both business segments, reinforcing our top priority to safeguard our communities, our employees, and our assets. At Southwest, such metrics included Damages per 1,000 Tickets and Incident Response Time; at Centuri, they include Total Recordable Incident Rate and Days Away/Restricted/Transferred. In each case, the measures are widely used in the respective industries comprising our businesses. Both segments maintain other programs to promote safe work as well, and deploy other types of training.</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2020, Southwest had 2,272 regular full-time equivalent employees. Southwest believes that a skilled, highly trained workforce is a key to success in the utility industry, and a driver of Southwest’s safety performance and high customer satisfaction ratings. Southwest believes it has a good relationship with its employees and that compensation, benefits, and working conditions are comparable to those generally found in the utility industry. In recent years, employee engagement surveys have been deployed to gauge the extent to which employees feel connected and valued. Flexible working arrangements are available to employees, which support work-life balance. No Southwest employees are represented by a labor union. A stable workforce has been important to knowledge transfer and succession processes, with the average tenure of Southwest employees being approximately 12 years. Germane to attracting and retaining employees are our compensation and benefits programs, which are regularly reviewed. Southwest maintains an employee pension plan based on eligibility and vesting, and also provides a 50% company match of the first 7% of employee contributions through its defined contribution plan. The health and wellness of our workforce are supported by group insurance programs, incentive programs in support of total health, and related employee programs. Southwest also offers a tuition assistance program. Regular succession planning helps ensure that talent is identified, and existing and prospective leaders are developed in order to build their skills and be prepared for future roles.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2020, Centuri had 8,877 regular full-time equivalent employees working in over 40 states and provinces throughout the U.S. and Canada. Employee counts fluctuate between seasonal periods, normally heaviest in the summer and fall. Typical of the segment’s industry, a majority of Centuri employees are represented by unions and covered by collective bargaining agreements. Centuri maintains a market-based total rewards strategy to attract, retain, motivate, and develop employees. In 2020, Centuri launched a scholarship program, which awards more than half of the grants to minority students who are dependents of Centuri employees. Similar employee engagement and succession planning protocols to those existing at Southwest are deployed at Centuri.</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Collectively, we embrace a culture of diversity, equity, and inclusion to not only protect employees under laws designed to do so regardless of race, color, religion, gender, sexual orientation, national origin, age, disability, pregnancy, and veteran status,</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spacing w:after="0" w:line="291" w:lineRule="auto"/>
        <w:rPr>
          <w:sz w:val="20"/>
          <w:szCs w:val="20"/>
          <w:color w:val="auto"/>
        </w:rPr>
      </w:pPr>
      <w:r>
        <w:rPr>
          <w:rFonts w:ascii="Arial" w:cs="Arial" w:eastAsia="Arial" w:hAnsi="Arial"/>
          <w:sz w:val="16"/>
          <w:szCs w:val="16"/>
          <w:color w:val="auto"/>
        </w:rPr>
        <w:t>but to reinforce the value that diversity brings to the workplace. We strive to have a workforce that reflects the communities we serve, and engage experts from time to time to update management on the trends and benefits of diverse backgrounds, cultures, and perspectives. Our belief is that adherence to these principles forms the genesis of a workforce that is both diverse and inclusive. Southwest and Centuri have several programs, including employee resource groups, diversity councils, a diversity ambassadors (champions) network, educational outreach programs, and other initiatives designed to attract and retain a diverse workforce. We commit to creating a safe and respectful workplace by encouraging employees to value diversity through unconscious bias training, and by inviting them to engage in meaningful conversations about diversity, equity, and inclusion topics. Through these and other efforts, we place value in our people and nurture their development, while ensuring that all employees have an equitable opportunity for success.</w:t>
      </w:r>
    </w:p>
    <w:p>
      <w:pPr>
        <w:spacing w:after="0" w:line="18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Described below (and in </w:t>
      </w:r>
      <w:r>
        <w:rPr>
          <w:rFonts w:ascii="Arial" w:cs="Arial" w:eastAsia="Arial" w:hAnsi="Arial"/>
          <w:sz w:val="18"/>
          <w:szCs w:val="18"/>
          <w:b w:val="1"/>
          <w:bCs w:val="1"/>
          <w:i w:val="1"/>
          <w:iCs w:val="1"/>
          <w:color w:val="auto"/>
        </w:rPr>
        <w:t>Item 7A. Quantitative and Qualitative Disclosures about Market Risk</w:t>
      </w:r>
      <w:r>
        <w:rPr>
          <w:rFonts w:ascii="Arial" w:cs="Arial" w:eastAsia="Arial" w:hAnsi="Arial"/>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any combination of its subsidiaries, including Southwest Gas Corporation and Centuri Group,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 relies on having access to interstate pipelines’ transportation capacity. If these pipelines and related transportation capacity were not available, it could impact Southwest’s ability to meet customers’ full requirements.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excessive customer usage,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our collective operations.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impacts our ability to transfer the knowledge and expertise of our workforce to new employees as our aging employees retire. Failure to attract,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particular, 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competition could adversely impact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at Centuri could adversely affect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over half of utility infrastructure services revenues were generated from nine customers. This concentration of risk could impact operating results if construction work slowed or halted with one or more of these customers, if competition for work increased, or if existing contracts were not replaced or extended.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natural gas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liability insurance for some, but not all, risks associated with the operation of our natural gas pipelines and facilities, and the utility infrastructure services we provide. In connection with these liability insurance policies, we are responsible for an initial deductible or self-insured retention amount per incident, after which the insurance carriers would be responsible for amounts up to the policy limits. Liability insurance policies at Southwest require us to be responsible for the first $1 million (self-insured retention) of each incident plus the first $4 million in total claims above our self-insured retention in the policy year; while Centuri’s self-insured retention amount is $750,000 per occurrence. We cannot predict the likelihood that any future event will occur which will result in a claim exceeding these amounts; however, a large claim for which we were deemed liable would reduce our earnings up to and including these self-insurance maximums.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may pursue acquisitions and other strategic transactions, the success of which may impact our results of operations, cash flows, and financial condition.</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integration of acquisitions requires significant time and resources. Investment of resources would be required to support any acquisition, which could result in significant ongoing operating expenses and may divert resources and management attention from other areas of our business. If we fail to successfully integrate companies we acquire, we may not realize the benefits expected from the transaction and goodwill recorded as a result of the acquisition could be impaired. We assess existing goodwill for impairment annually or more frequently if events or circumstances occur that would more likely than not reduce the fair value of an operating segment below its carrying value. We also assess long-lived assets, including intangible assets associated with acquisitions, for impairment whenever events or circumstances indicate that an asset’s carrying amount may not be recoverable. To the extent the value of goodwill or long-lived assets becomes impaired, the impairment charges could have a material impact on our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in our operating areas can adversely affect operations, financial position, and cash flows.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Conversely, Southwest’s revenues are highest during the first and fourth quarters of the year during the winter months as customer consumption increases. While Southwest has decoupling mechanisms in place in all three states in which it operates, warmer than normal weather can reduce the amount of billed revenue, as well as amounts collected or returned related to regulatory tracking mechanisms under various programs, thereby impacting cash flows. Deviations from normal weather conditions and the seasonal nature of these businesses can create fluctuations in short-term cash requirements of both Southwest and Centuri, and earnings, primarily related to Centuri.</w:t>
      </w:r>
    </w:p>
    <w:p>
      <w:pPr>
        <w:spacing w:after="0" w:line="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both a utility provider and related infrastructure services provider, maintaining business operations is critical for our customers, business partners, suppliers, and our employees. A disruption in service could adversely impact our reputation, ability to provide services for our customers, and the media used to communicate and exchange information both internally and externally.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process and store sensitive information, including personal identifiable information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w:t>
      </w:r>
    </w:p>
    <w:p>
      <w:pPr>
        <w:spacing w:after="0" w:line="200" w:lineRule="exact"/>
        <w:rPr>
          <w:sz w:val="20"/>
          <w:szCs w:val="20"/>
          <w:color w:val="auto"/>
        </w:rPr>
      </w:pPr>
    </w:p>
    <w:p>
      <w:pPr>
        <w:spacing w:after="0" w:line="2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96" w:lineRule="auto"/>
        <w:rPr>
          <w:sz w:val="20"/>
          <w:szCs w:val="20"/>
          <w:color w:val="auto"/>
        </w:rPr>
      </w:pPr>
      <w:r>
        <w:rPr>
          <w:rFonts w:ascii="Arial" w:cs="Arial" w:eastAsia="Arial" w:hAnsi="Arial"/>
          <w:sz w:val="16"/>
          <w:szCs w:val="16"/>
          <w:color w:val="auto"/>
        </w:rPr>
        <w:t>likely to become increasingly demanding. For example, California recently enacted the California Consumer Privacy Act, which became effective on January 1, 2020 and requires covered businesses to, among other things, provide disclosures to California consumers regarding the collection, use, and disclosure of such consumers’ PII and afford such consumers new rights, including the right to opt out of certain sales of PII. Additional states are also considering new laws and regulations that further protect the confidentiality, privacy, and security of personal information. Should the Company experience a breach and/or become subject to additional regulation, it could face substantial compliance costs, reputational damage, and uncertain litigation risks.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Physical damage due to a cybersecurity incident or acts of cyber terrorism could impact utility and related services provided to customers and could lead to material liabilities. The Company has taken the initiative in fortifying the core infrastructure that supports the provision of utility and related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third-party suppliers and subcontractors at Centuri.</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Centuri maintains oversight of those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 Furthermore, if Centuri’s relationship with its third-party suppliers and subcontractors were to be damaged, it may be difficult to replace them in a cost-effective manner.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and uncertain work environment and conditions at Centuri.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Economic, and Market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Gas Holdings, Inc. has no significant assets other than the stock of operating subsidiaries and is not expected to have significant operations on its own. Southwest Gas Holdings’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and the infrastructure services of Centuri Group, Inc. exists. The ability of Southwest Gas Holdings’ subsidiaries to pay upstream dividends and make other distributions are subject to relevant debt covenant restrictions of subsidiaries and applicable state law.</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Utility infrastructure segment clients’ budgetary constraints, regulatory support or decisions, and financial condition could adversely impact work awarded.</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related client capital constraints. If budgets of Centuri’s clients are reduced, or regulatory support for capital projects and programs is diminished, it could have a material adverse effect on our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Southwest’s liquidity, and in certain circumstances our earnings, may be reduced during periods in which natural gas prices are rising significantly or are more volatile.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catastrophic events, national and worldwide economic and political conditions, the price and availability of alternative fuels, and the success of our strategies in managing price risk.</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schedules in each of Southwest’s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Southwest has used short-term borrowings in the past to temporarily finance increases in purchased gas costs, and we expect to do so during 2021, if the need again arises.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Southwest’s earnings may be materially impacted due to volatility in the cash surrender value of our company-owned life insurance policies during periods in which stock market changes are significant.</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life insurance policies on members of management and other key employees to indemnify ourselves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provides pension and postretirement benefits to eligible employees. The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may be adversely impacted by an economic downturn.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We cannot predict the timing, strength, or duration of any future economic slowdown. If the economy or the markets in which we operate decline from present levels, it may have an adverse effect on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Southwest’s ability to finance capital expenditures.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Southwest’s business is capital intensive.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We frequently use our at-the-market equity offering program to fund certain liquidity requirements, but we may not continue to do so if our stock is not trading at levels that we find attractive. If we were to decide not to use our equity offering program, we would need to find alternative sources of capital.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debt carries a rate of interest linked to the London Interbank Offered Rate (“LIBOR”) and has a maturity date after December 31, 2021. If a change in indices, including a discontinuation of LIBOR, which may occur after 2021, results in interest rate increases on our debt, debt service requirements will correspondingly increase, which could adversely affect our cash flow and financial results.</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A significant reduction in Southwest Gas Holdings, Inc. and Southwest’s credit ratings could materially and adversely affect our business, financial condition, and results of operations.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7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ongoing COVID-19 pandemic and measures intended to prevent its spread could have a material adverse effect on our business, results of operations, cash flows, and financial condition.</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being first reported in December 2019, COVID-19 has spread globally, including to every state in the U.S. On March 11, 2020, the World Health Organization declared COVID-19 a pandemic, and on March 13, 2020, the U.S. declared a national emergency with respect to COVID-19. The pandemic has led governments and other authorities around the world, including federal, state and local authorities in the U.S., to impose measures intended to control its spread, including restrictions on freedom of movement and business operations such as travel bans, border closings, business closures, quarantines and shelter-in-place orders. Substantially all of our properties are located in areas that are or have been subject to shelter-in-place orders and restrictions on the types of businesses that may continue to operate, or the extent to which they may operate.</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our utility operations and, to a large extent, our utility infrastructure services segment have been deemed “essential services,” our businesses may be materially and adversely impacted by the COVID-19 pandemic and measures to prevent its spread in a number of ways. The COVID-19 pandemic has resulted in significant unemployment, which may impact our customers’ ability to timely pay their bills. We have implemented flexible payment plan options, additional protections for income-qualified customers, as well as the suspension of disconnections for non-payment and the waiver of deposit and late fee requirements. As a result, we have continued providing services even in scenarios where payment is not guaranteed. Although we may be able to seek recovery of some losses through the regulatory process, we can provide no assurances that we will be able to recover such losses in full or at all. In addition, our supply chain related to necessary equipment and materials may be significantly disrupted if the current crisis continues for an extended period of time.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the COVID-19 pandemic delayed certain construction projects in our utility infrastructure services segment. We can provide no assurances as to whether future delays will occur or as to the impact of such delays. In addition, there may be disruptions in the amount or timing of work awarded to our utility infrastructure services business. Our ability to perform work for which we are contracted could also be impacted by the pandemic if our workforce experiences significant infection. Any of the foregoing could have an adverse impact on our results of operations and financial condition.</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uncertainties caused by the pandemic initially resulted in significant volatility in securities markets. If there were to be further disruptions, they may prevent us from accessing the equity or debt capital markets on attractive terms or at all for a period of time, which would have an adverse effect on our liquidity position.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extent of the COVID-19 pandemic’s effect on our operational and financial performance will depend on future developments, including the duration, spread, and intensity of the pandemic, the availability and distribution of effective treatments and vaccines, and the types and duration of government measures to mitigate the pandemic, all of which are uncertain and difficult to predict. Due to the speed with which the situation is developing, we are not able at this time to estimate the effect of these factors on our business, but the adverse impact on our business, results of operations, financial condition and cash flows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Additionally, any future pandemics could result in similar conditions to those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Legislative, and Legal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Southwest’s earnings or cash flows.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FERC, and PUCN relating to allowed rates of return,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w:t>
      </w:r>
    </w:p>
    <w:p>
      <w:pPr>
        <w:spacing w:after="0" w:line="200" w:lineRule="exact"/>
        <w:rPr>
          <w:sz w:val="20"/>
          <w:szCs w:val="20"/>
          <w:color w:val="auto"/>
        </w:rPr>
      </w:pPr>
    </w:p>
    <w:p>
      <w:pPr>
        <w:spacing w:after="0" w:line="2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Southwest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its consolidated financial statements to reflect the ratemaking and regulatory decision-making authority of the regulators,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may not be able to rely on rate decoupling to maintain stable financial position, results of operations, and cash flows.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worked with regulatory commissions in designing rate structures that strive to provide affordable and reliable service to our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is subject to regulatory discretion, and if unfavorably modified or discontinued, could adversely impact Southwest’s financial position and results of operations.</w:t>
      </w:r>
    </w:p>
    <w:p>
      <w:pPr>
        <w:spacing w:after="0" w:line="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 may be subject to increased costs related to the operation of natural gas pipelines under recent regulations concerning natural gas pipeline safety, which could have an adverse effect on our results of operations, financial condition, and/or cash flows.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is committed to consistently monitoring and maintaining our distribution system and above-ground LNG storage operations to ensure that natural gas is acquired, stored, and delivered safely, reliably, and efficiently. Due to the combustible nature of our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If these costs are not recoverable in our customer rates, or if there are delays in recoverability due to regulatory lag, they could have a negative impact on our operating costs and financial results.</w:t>
      </w:r>
    </w:p>
    <w:p>
      <w:pPr>
        <w:spacing w:after="0" w:line="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Southwest requires numerous permits and other approvals from various federal, state, and local governmental agencies, and others to operate its business,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Southwest’s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 public opposition to the project,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or to comply with any applicable laws or regulations, we may not be able to construct or operate our facilities, may not be able to adequately service existing customers or support customer growth, or such conditions could cause us to incur additional costs. These circumstances could negatively impact our earnings.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Liability exposure associated with litigation could have a material adverse effect on the Company’s business and results of operations.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occasionally named as a party in lawsuits, claims, and other legal and administrative proceedings arising in the ordinary course of business, including actions related to personal injury, workers’ compensation, employment-related claims, contracts, property damage, and other matters.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As a consequence, liability exposure could materially and adversely affect our business and results of operations to the extent it is not fully mitigated by such insurance coverage.</w:t>
      </w:r>
    </w:p>
    <w:p>
      <w:pPr>
        <w:spacing w:after="0" w:line="21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plant investment of Southwest consists primarily of transmission and distribution mains, compressor stations, peak shaving/storage facilities, service lines, meters, and regulators, which comprise the pipeline systems and facilities located in and around the communities served. Southwest also includes other properties such as land, buildings, furnishings, work equipment, vehicles, and software systems in utility plant. The northern Nevada and northern California properties of Southwest are referred to as the northern system; the Arizona, southern Nevada, and southern California properties are referred to as the southern system. Total gas plant at December 31, 2020 was $8.6 billion, including construction work in progress. It is the opinion of management that the properties of Southwest are suitable and adequate for its purposes.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right-of-way grants, Southwest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Southwest, through two subsidiaries, operates two primary pipeline transmission systems:</w:t>
      </w:r>
    </w:p>
    <w:p>
      <w:pPr>
        <w:spacing w:after="0" w:line="23" w:lineRule="exact"/>
        <w:rPr>
          <w:sz w:val="20"/>
          <w:szCs w:val="20"/>
          <w:color w:val="auto"/>
        </w:rPr>
      </w:pPr>
    </w:p>
    <w:p>
      <w:pPr>
        <w:ind w:left="660" w:hanging="328"/>
        <w:spacing w:after="0" w:line="26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system (including an LNG storage facility) owned by Paiute extending from the Idaho-Nevada border to the Reno, Sparks, and Carson City areas and communities in the Lake Tahoe area in both California and Nevada and other communities in northern and western Nevada;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and Elko.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properties of Centuri can be found in this Form 10-K under Utility Infrastructure Services under Part I, which by this reference is incorporated herein.</w:t>
      </w:r>
    </w:p>
    <w:p>
      <w:pPr>
        <w:spacing w:after="0" w:line="1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GOVERNANCE</w:t>
      </w:r>
      <w:r>
        <w:rPr>
          <w:rFonts w:ascii="Arial" w:cs="Arial" w:eastAsia="Arial" w:hAnsi="Arial"/>
          <w:sz w:val="18"/>
          <w:szCs w:val="18"/>
          <w:color w:val="auto"/>
        </w:rPr>
        <w:t>, which by this reference is incorporated herein.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60" w:right="6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16, 2021, there were 11,690 holders of record of common stock, and the market price of the common stock was $62.36. The dividends on, and information relating to, the Company’s common stock required by this item are included in the 2020 Annual Report to Stockholders filed as an exhibit hereto and incorporated herein by reference.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2021, the Board elected to increase the quarterly dividend from $0.570 to $0.595 per share, representing a 4.4% increase, effective with the June 2021 payment.</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2020 Annual Report to Stockholders and is incorporated herein by reference.</w:t>
      </w:r>
    </w:p>
    <w:p>
      <w:pPr>
        <w:spacing w:after="0" w:line="23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2020 Annual Report to Stockholders and is incorporated herein by reference.</w:t>
      </w:r>
    </w:p>
    <w:p>
      <w:pPr>
        <w:spacing w:after="0" w:line="24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various forms of market risk, including commodity price risk, rate design risk, interest rate risk, and foreign currency exchange rate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exposure to these risks.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managing its natural gas supply portfolios, Southwest has historically entered into short duration (generally one year or less) fixed-price contracts and variable-price contracts (firm and spot). Southwest has experienced price volatility over the past several years and such volatility is expected to continue into 2021 and beyond.</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has historically utilized Volatility Mitigation Programs (VMPs) in attempt to further reduce price volatility for customers. During 2020, Southwest sought to fix the price on a portion of its natural gas portfolio using any combination of fixed-price contracts and derivative instruments (fixed-for-floating swaps), and where available, natural gas storage. For periods beyond October 2020, Southwest does not currently plan to make fixed-price term or swap purchases broadly for the Arizona or Nevada jurisdictions; however, it will continue to make fixed-price purchases for the California jurisdictions.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reviews by the various regulatory bodies in each jurisdiction. PGA changes affect cash flows and potentially short-term borrowing requirements, but do not directly impact profit margin.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Rate Design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the effects of lower usage (including volumes associated with unusual weather). With decoupled rate structures, Southwest’s operating margin is limited during unusually cold weather. Additionally, Southwest is not assured that decoupled rate structures will continue to be supported in future rate cases.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while Southwest has in place ongoing infrastructure replacement protocol for old or compromised pipeline, which it replaces regardless of regulatory lag for the recovery of or return on the property being replaced, in recent years, Southwest has been afforded favorable treatment in replacing existing infrastructure that does not pose an immediate threat of rupture, in support of reliability and general safety overall. These programs lessen or remove the financial pitfalls to replacement between rate cases by providing for the recovery of and return on expenditures. The programs take many forms, including the replacement of Early Vintage Plastic Pipe, Vintage Steel Pipe, and Customer-Owned Yard Lines, in addition to the conversion of master-metered mobile home parks to individually metered mobile homes. Southwest is not assured that these programs will continue to be supported in future regulatory proceedings.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interest rates could adversely affect earnings or cash flows. The primary interest rate risk for the Company is the risk of increasing interest rates on variable-rate obligations. Interest rate risk sensitivity analysis is used to measure this risk by computing estimated changes in cash flows as a result of assumed changes in market interest rates. In Nevada, fluctuations in interest rates on $150 million of variable-rate Industrial Development Revenue Bonds (“IDRBs”) are tracked and recovered from customers through an interest balancing account, which mitigates risk to earnings and cash flows from interest rate fluctuations on these IDRBs between general rate cases. The following table represents the variable rate debt as of December 31, 2020 and 2019 and interest rate sensitivity analysis for a hypothetical 1% change in interest rates, assuming a constant outstanding balance in such debt over the next twelve months: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Increase/Decrease</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Increase/Decrease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in Interest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1"/>
              </w:rPr>
              <w:t>in Interest</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360" w:type="dxa"/>
            <w:vAlign w:val="bottom"/>
          </w:tcPr>
          <w:p>
            <w:pPr>
              <w:spacing w:after="0"/>
              <w:rPr>
                <w:sz w:val="14"/>
                <w:szCs w:val="14"/>
                <w:color w:val="auto"/>
              </w:rPr>
            </w:pPr>
          </w:p>
        </w:tc>
        <w:tc>
          <w:tcPr>
            <w:tcW w:w="13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2020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360" w:type="dxa"/>
            <w:vAlign w:val="bottom"/>
          </w:tcPr>
          <w:p>
            <w:pPr>
              <w:spacing w:after="0"/>
              <w:rPr>
                <w:sz w:val="14"/>
                <w:szCs w:val="14"/>
                <w:color w:val="auto"/>
              </w:rPr>
            </w:pPr>
          </w:p>
        </w:tc>
        <w:tc>
          <w:tcPr>
            <w:tcW w:w="13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2019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5"/>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Rate Change</w:t>
            </w:r>
          </w:p>
        </w:tc>
        <w:tc>
          <w:tcPr>
            <w:tcW w:w="3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Rate Change</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8"/>
                <w:szCs w:val="18"/>
                <w:color w:val="auto"/>
              </w:rPr>
              <w:t>Variable Rate Debt:</w:t>
            </w:r>
          </w:p>
        </w:tc>
        <w:tc>
          <w:tcPr>
            <w:tcW w:w="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Southwest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3900" w:type="dxa"/>
            <w:vAlign w:val="bottom"/>
          </w:tcPr>
          <w:p>
            <w:pPr>
              <w:ind w:left="220"/>
              <w:spacing w:after="0"/>
              <w:rPr>
                <w:sz w:val="20"/>
                <w:szCs w:val="20"/>
                <w:color w:val="auto"/>
              </w:rPr>
            </w:pPr>
            <w:r>
              <w:rPr>
                <w:rFonts w:ascii="Arial" w:cs="Arial" w:eastAsia="Arial" w:hAnsi="Arial"/>
                <w:sz w:val="18"/>
                <w:szCs w:val="18"/>
                <w:color w:val="auto"/>
              </w:rPr>
              <w:t>Centuri</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3900" w:type="dxa"/>
            <w:vAlign w:val="bottom"/>
          </w:tcPr>
          <w:p>
            <w:pPr>
              <w:ind w:left="460"/>
              <w:spacing w:after="0"/>
              <w:rPr>
                <w:sz w:val="20"/>
                <w:szCs w:val="20"/>
                <w:color w:val="auto"/>
              </w:rPr>
            </w:pPr>
            <w:r>
              <w:rPr>
                <w:rFonts w:ascii="Arial" w:cs="Arial" w:eastAsia="Arial" w:hAnsi="Arial"/>
                <w:sz w:val="18"/>
                <w:szCs w:val="18"/>
                <w:color w:val="auto"/>
              </w:rPr>
              <w:t>Total Southwest Gas Holdings,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0" w:hanging="230"/>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Excludes the IDRBs noted above.</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2020, translation adjustments due to fluctuations in exchange rates were not significant. We do not have significant exposure to other foreign currency exchange rate fluctuations.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reports of PricewaterhouseCoopers LLP, are included in the 2020 Annual Report to Stockholders and are incorporated herein by reference.</w:t>
      </w:r>
    </w:p>
    <w:p>
      <w:pPr>
        <w:spacing w:after="0" w:line="16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2020,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2020,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reports of management of Southwest Gas Holdings, Inc. and Southwest Gas Corporation required to be included herein are incorporated by reference to the information reported in the 2020 Annual Report to Stockholders under the caption “Management’s Report on Internal Control Over Financial Reporting.”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of the independent registered public accounting firm required to be included herein by Southwest Gas Holdings, Inc. is incorporated by reference to the information reported in the 2020 Annual Report to Stockholders under the caption “Report of Independent Registered Public Accounting Firm.”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 that permit Southwest Gas Corporation to provide only management’s report in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fourth quarter of 2020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Southwest’s internal control over financial reporting (as defined in Rules 13a-15(f) and 15d-15(f) of the Exchange Act) during the fourth quarter of 2020 that have materially affected, or are likely to materially affect Southwest’s internal control over financial reporting.</w:t>
      </w:r>
    </w:p>
    <w:p>
      <w:pPr>
        <w:spacing w:after="0" w:line="13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8"/>
        <w:spacing w:after="0" w:line="308"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Identification of Directors. </w:t>
      </w:r>
      <w:r>
        <w:rPr>
          <w:rFonts w:ascii="Arial" w:cs="Arial" w:eastAsia="Arial" w:hAnsi="Arial"/>
          <w:sz w:val="17"/>
          <w:szCs w:val="17"/>
          <w:color w:val="auto"/>
        </w:rPr>
        <w:t>Information with respect to Directors will be set forth under the heading “Election of Directors” in the definitive 2021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which will be filed with the SEC within 120 days after December 31, 2020 and by this reference is incorporated herein.</w:t>
      </w:r>
    </w:p>
    <w:p>
      <w:pPr>
        <w:spacing w:after="0" w:line="38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ind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following sets forth the name, age, position, and period the position was held during the last five years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Executive Officers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rPr>
              <w:t>Period Position</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620" w:type="dxa"/>
            <w:vAlign w:val="bottom"/>
            <w:gridSpan w:val="2"/>
          </w:tcPr>
          <w:p>
            <w:pPr>
              <w:ind w:left="2020"/>
              <w:spacing w:after="0"/>
              <w:rPr>
                <w:sz w:val="20"/>
                <w:szCs w:val="20"/>
                <w:color w:val="auto"/>
              </w:rPr>
            </w:pPr>
            <w:r>
              <w:rPr>
                <w:rFonts w:ascii="Arial" w:cs="Arial" w:eastAsia="Arial" w:hAnsi="Arial"/>
                <w:sz w:val="14"/>
                <w:szCs w:val="14"/>
                <w:b w:val="1"/>
                <w:bCs w:val="1"/>
                <w:color w:val="auto"/>
              </w:rPr>
              <w:t>Position</w:t>
            </w:r>
          </w:p>
        </w:tc>
        <w:tc>
          <w:tcPr>
            <w:tcW w:w="1720" w:type="dxa"/>
            <w:vAlign w:val="bottom"/>
          </w:tcPr>
          <w:p>
            <w:pPr>
              <w:ind w:left="680"/>
              <w:spacing w:after="0"/>
              <w:rPr>
                <w:sz w:val="20"/>
                <w:szCs w:val="20"/>
                <w:color w:val="auto"/>
              </w:rPr>
            </w:pPr>
            <w:r>
              <w:rPr>
                <w:rFonts w:ascii="Arial" w:cs="Arial" w:eastAsia="Arial" w:hAnsi="Arial"/>
                <w:sz w:val="18"/>
                <w:szCs w:val="18"/>
                <w:b w:val="1"/>
                <w:bCs w:val="1"/>
                <w:color w:val="auto"/>
              </w:rPr>
              <w:t>Held</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P. Hester</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2016-Present</w:t>
            </w:r>
          </w:p>
        </w:tc>
        <w:tc>
          <w:tcPr>
            <w:tcW w:w="0" w:type="dxa"/>
            <w:vAlign w:val="bottom"/>
          </w:tcPr>
          <w:p>
            <w:pPr>
              <w:spacing w:after="0"/>
              <w:rPr>
                <w:sz w:val="1"/>
                <w:szCs w:val="1"/>
                <w:color w:val="auto"/>
              </w:rPr>
            </w:pPr>
          </w:p>
        </w:tc>
      </w:tr>
      <w:tr>
        <w:trPr>
          <w:trHeight w:val="175"/>
        </w:trPr>
        <w:tc>
          <w:tcPr>
            <w:tcW w:w="3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Karen S. Haller</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5"/>
                <w:szCs w:val="15"/>
                <w:color w:val="auto"/>
              </w:rPr>
            </w:pPr>
          </w:p>
        </w:tc>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President/Chief Legal and Administrative</w:t>
            </w:r>
          </w:p>
        </w:tc>
        <w:tc>
          <w:tcPr>
            <w:tcW w:w="1720" w:type="dxa"/>
            <w:vAlign w:val="bottom"/>
            <w:vMerge w:val="restart"/>
          </w:tcPr>
          <w:p>
            <w:pPr>
              <w:ind w:left="20"/>
              <w:spacing w:after="0"/>
              <w:rPr>
                <w:sz w:val="20"/>
                <w:szCs w:val="20"/>
                <w:color w:val="auto"/>
              </w:rPr>
            </w:pPr>
            <w:r>
              <w:rPr>
                <w:rFonts w:ascii="Arial" w:cs="Arial" w:eastAsia="Arial" w:hAnsi="Arial"/>
                <w:sz w:val="18"/>
                <w:szCs w:val="18"/>
                <w:color w:val="auto"/>
              </w:rPr>
              <w:t>2019-Present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Officer *</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President/Chief Legal and Administrative</w:t>
            </w:r>
          </w:p>
        </w:tc>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2018-2019</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 and Corporate Secretary *</w:t>
            </w: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President/General Counsel and Corporate</w:t>
            </w:r>
          </w:p>
        </w:tc>
        <w:tc>
          <w:tcPr>
            <w:tcW w:w="1720" w:type="dxa"/>
            <w:vAlign w:val="bottom"/>
            <w:vMerge w:val="restart"/>
          </w:tcPr>
          <w:p>
            <w:pPr>
              <w:ind w:left="20"/>
              <w:spacing w:after="0"/>
              <w:rPr>
                <w:sz w:val="20"/>
                <w:szCs w:val="20"/>
                <w:color w:val="auto"/>
              </w:rPr>
            </w:pPr>
            <w:r>
              <w:rPr>
                <w:rFonts w:ascii="Arial" w:cs="Arial" w:eastAsia="Arial" w:hAnsi="Arial"/>
                <w:sz w:val="18"/>
                <w:szCs w:val="18"/>
                <w:color w:val="auto"/>
              </w:rPr>
              <w:t>2016-2018</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Secretary *</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J. Peterson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President/Chief Financial Officer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2018-Present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Vice President/Controller/Chief Accounting Officer *</w:t>
            </w:r>
          </w:p>
        </w:tc>
        <w:tc>
          <w:tcPr>
            <w:tcW w:w="1720" w:type="dxa"/>
            <w:vAlign w:val="bottom"/>
          </w:tcPr>
          <w:p>
            <w:pPr>
              <w:ind w:left="20"/>
              <w:spacing w:after="0"/>
              <w:rPr>
                <w:sz w:val="20"/>
                <w:szCs w:val="20"/>
                <w:color w:val="auto"/>
              </w:rPr>
            </w:pPr>
            <w:r>
              <w:rPr>
                <w:rFonts w:ascii="Arial" w:cs="Arial" w:eastAsia="Arial" w:hAnsi="Arial"/>
                <w:sz w:val="18"/>
                <w:szCs w:val="18"/>
                <w:color w:val="auto"/>
              </w:rPr>
              <w:t>2016-2018</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DeBonis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President/Operations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2016-Present</w:t>
            </w:r>
          </w:p>
        </w:tc>
        <w:tc>
          <w:tcPr>
            <w:tcW w:w="0" w:type="dxa"/>
            <w:vAlign w:val="bottom"/>
          </w:tcPr>
          <w:p>
            <w:pPr>
              <w:spacing w:after="0"/>
              <w:rPr>
                <w:sz w:val="1"/>
                <w:szCs w:val="1"/>
                <w:color w:val="auto"/>
              </w:rPr>
            </w:pPr>
          </w:p>
        </w:tc>
      </w:tr>
      <w:tr>
        <w:trPr>
          <w:trHeight w:val="176"/>
        </w:trPr>
        <w:tc>
          <w:tcPr>
            <w:tcW w:w="3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Jose L. Esparza, Jr.</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5"/>
                <w:szCs w:val="15"/>
                <w:color w:val="auto"/>
              </w:rPr>
            </w:pPr>
          </w:p>
        </w:tc>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President/Information Services/Customer</w:t>
            </w:r>
          </w:p>
        </w:tc>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2019-Present</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Engagement **</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President/Customer Engagement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2018-2019</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Vice President/Energy Solutions **</w:t>
            </w:r>
          </w:p>
        </w:tc>
        <w:tc>
          <w:tcPr>
            <w:tcW w:w="1720" w:type="dxa"/>
            <w:vAlign w:val="bottom"/>
          </w:tcPr>
          <w:p>
            <w:pPr>
              <w:ind w:left="20"/>
              <w:spacing w:after="0"/>
              <w:rPr>
                <w:sz w:val="20"/>
                <w:szCs w:val="20"/>
                <w:color w:val="auto"/>
              </w:rPr>
            </w:pPr>
            <w:r>
              <w:rPr>
                <w:rFonts w:ascii="Arial" w:cs="Arial" w:eastAsia="Arial" w:hAnsi="Arial"/>
                <w:sz w:val="18"/>
                <w:szCs w:val="18"/>
                <w:color w:val="auto"/>
              </w:rPr>
              <w:t>2016-2018</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Justin L. Brown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President/General Counsel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2018-Present</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Vice President/Regulation &amp; Public Affairs **</w:t>
            </w:r>
          </w:p>
        </w:tc>
        <w:tc>
          <w:tcPr>
            <w:tcW w:w="1720" w:type="dxa"/>
            <w:vAlign w:val="bottom"/>
          </w:tcPr>
          <w:p>
            <w:pPr>
              <w:ind w:left="20"/>
              <w:spacing w:after="0"/>
              <w:rPr>
                <w:sz w:val="20"/>
                <w:szCs w:val="20"/>
                <w:color w:val="auto"/>
              </w:rPr>
            </w:pPr>
            <w:r>
              <w:rPr>
                <w:rFonts w:ascii="Arial" w:cs="Arial" w:eastAsia="Arial" w:hAnsi="Arial"/>
                <w:sz w:val="18"/>
                <w:szCs w:val="18"/>
                <w:color w:val="auto"/>
              </w:rPr>
              <w:t>2016-2018</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M. Daily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President and Chief Executive Officer - Centuri Group, Inc.</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2016-Present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80" w:hanging="65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Position held at Southwest Gas Holdings, Inc. (formed January 2017) and Southwest Gas Corporation</w:t>
      </w:r>
    </w:p>
    <w:p>
      <w:pPr>
        <w:spacing w:after="0" w:line="14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Position held at Southwest Gas Corporation only</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Identification of Certain Significant Employees.</w:t>
      </w:r>
      <w:r>
        <w:rPr>
          <w:rFonts w:ascii="Arial" w:cs="Arial" w:eastAsia="Arial" w:hAnsi="Arial"/>
          <w:sz w:val="18"/>
          <w:szCs w:val="18"/>
          <w:color w:val="auto"/>
        </w:rPr>
        <w:t xml:space="preserve"> None.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Family Relationships.</w:t>
      </w:r>
      <w:r>
        <w:rPr>
          <w:rFonts w:ascii="Arial" w:cs="Arial" w:eastAsia="Arial" w:hAnsi="Arial"/>
          <w:sz w:val="18"/>
          <w:szCs w:val="18"/>
          <w:color w:val="auto"/>
        </w:rPr>
        <w:t xml:space="preserve"> No Directors or Executive Officers are related either by blood, marriage, or adoption.</w:t>
      </w:r>
    </w:p>
    <w:p>
      <w:pPr>
        <w:spacing w:after="0" w:line="117" w:lineRule="exact"/>
        <w:rPr>
          <w:sz w:val="20"/>
          <w:szCs w:val="20"/>
          <w:color w:val="auto"/>
        </w:rPr>
      </w:pPr>
    </w:p>
    <w:p>
      <w:pPr>
        <w:jc w:val="both"/>
        <w:ind w:right="20" w:firstLine="8"/>
        <w:spacing w:after="0" w:line="263"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Business Experience</w:t>
      </w:r>
      <w:r>
        <w:rPr>
          <w:rFonts w:ascii="Arial" w:cs="Arial" w:eastAsia="Arial" w:hAnsi="Arial"/>
          <w:sz w:val="18"/>
          <w:szCs w:val="18"/>
          <w:color w:val="auto"/>
        </w:rPr>
        <w:t>. Information with respect to Directors will be set forth under the heading “Election of Directors” in the definitive 2021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which will be filed with the SEC within 120 days after December 31, 2020 and by this reference is incorporated herein. All executive officers have held responsible positions with the Company for at least five years as described in (b) above.</w:t>
      </w:r>
    </w:p>
    <w:p>
      <w:pPr>
        <w:spacing w:after="0" w:line="7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Involvement in Certain Legal Proceedings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Promoters and Control Persons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jc w:val="both"/>
        <w:ind w:firstLine="8"/>
        <w:spacing w:after="0" w:line="26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Information with respect to the designated financial experts of the Board of Directors’ audit committee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the heading “Committees of the Board” in the definitive 2021 Proxy Statement, which will be filed with the SEC within 120 days after December 31, 2020 and by this reference is incorporated herein.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i)</w:t>
      </w:r>
      <w:r>
        <w:rPr>
          <w:rFonts w:ascii="Arial" w:cs="Arial" w:eastAsia="Arial" w:hAnsi="Arial"/>
          <w:sz w:val="18"/>
          <w:szCs w:val="18"/>
          <w:i w:val="1"/>
          <w:iCs w:val="1"/>
          <w:color w:val="auto"/>
        </w:rPr>
        <w:t xml:space="preserve"> Identification of the Audit Committee</w:t>
      </w:r>
      <w:r>
        <w:rPr>
          <w:rFonts w:ascii="Arial" w:cs="Arial" w:eastAsia="Arial" w:hAnsi="Arial"/>
          <w:sz w:val="18"/>
          <w:szCs w:val="18"/>
          <w:color w:val="auto"/>
        </w:rPr>
        <w:t>. Information with respect to the composition of the Board of Directors’ audit committee will be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“Committees of the Board” in the definitive 2021 Proxy Statement, which will be filed with the SEC within 120 days after December 31, 2020 and by this reference is incorporated herein.</w:t>
      </w:r>
    </w:p>
    <w:p>
      <w:pPr>
        <w:spacing w:after="0" w:line="7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Delinquent Section 16(a) Reports. </w:t>
      </w:r>
      <w:r>
        <w:rPr>
          <w:rFonts w:ascii="Arial" w:cs="Arial" w:eastAsia="Arial" w:hAnsi="Arial"/>
          <w:sz w:val="18"/>
          <w:szCs w:val="18"/>
          <w:color w:val="auto"/>
        </w:rPr>
        <w:t>Information with respect to delinquent Section 16(a) reports will be set forth under the heading “Delinquent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16(a) Reports” in the definitive 2021 Proxy Statement, which will be filed with the SEC within 120 days after December 31, 2020 and by this reference is incorporated herein.</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We have adopted a code of business conduct and ethics for employees, including the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chief financial officer, chief accounting officer, and non-employee directors. A code of ethics is defined as written standards that are reasonably designed to deter wrongdoing and to promote: 1) honest and ethical conduct; 2) full, fair, accurate, timely, and understandable disclosure in reports and documents that a registrant files; 3) compliance with applicable governmental laws, rules, and regulations; 4) the prompt internal reporting of violations of the code to an appropriate person or persons identified in the code; and 5) accountability for adherence to the code. The Code of</w:t>
      </w: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 xml:space="preserve">Business Conduct and Ethics can be viewed on our website (www.swgasholdings.com). If any substantive amendments to the Code of Business Conduct and Ethics are made or any waivers are granted, including any implicit waiver, from a provision of the Code of Business Conduct and Ethics, to our president and chief executive officer, chief financial officer and chief accounting officer, the nature of such amendment or waiver will be disclosed on </w:t>
      </w:r>
      <w:r>
        <w:rPr>
          <w:rFonts w:ascii="Arial" w:cs="Arial" w:eastAsia="Arial" w:hAnsi="Arial"/>
          <w:sz w:val="18"/>
          <w:szCs w:val="18"/>
          <w:u w:val="single" w:color="auto"/>
          <w:color w:val="auto"/>
        </w:rPr>
        <w:t>www.swgasholdings.com</w:t>
      </w:r>
      <w:r>
        <w:rPr>
          <w:rFonts w:ascii="Arial" w:cs="Arial" w:eastAsia="Arial" w:hAnsi="Arial"/>
          <w:sz w:val="18"/>
          <w:szCs w:val="18"/>
          <w:color w:val="auto"/>
        </w:rPr>
        <w:t>.</w:t>
      </w:r>
    </w:p>
    <w:p>
      <w:pPr>
        <w:spacing w:after="0" w:line="21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with respect to executive compensation will be set forth under the heading “Executive Compensation” in the definitive 2021 Proxy Statement, which will be filed with the SEC within 120 days after December 31, 2020 and by this reference is incorporated herein.</w:t>
      </w:r>
    </w:p>
    <w:p>
      <w:pPr>
        <w:spacing w:after="0" w:line="62" w:lineRule="exact"/>
        <w:rPr>
          <w:sz w:val="20"/>
          <w:szCs w:val="20"/>
          <w:color w:val="auto"/>
        </w:rPr>
      </w:pPr>
    </w:p>
    <w:p>
      <w:pPr>
        <w:jc w:val="both"/>
        <w:ind w:firstLine="8"/>
        <w:spacing w:after="0" w:line="263" w:lineRule="auto"/>
        <w:tabs>
          <w:tab w:leader="none" w:pos="29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Interlocks and Insider Participation. </w:t>
      </w:r>
      <w:r>
        <w:rPr>
          <w:rFonts w:ascii="Arial" w:cs="Arial" w:eastAsia="Arial" w:hAnsi="Arial"/>
          <w:sz w:val="18"/>
          <w:szCs w:val="18"/>
          <w:color w:val="auto"/>
        </w:rPr>
        <w:t>Information with respect to Compensation Committee interlocks and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is set forth under the heading “Governance of the Company” in the definitive 2021 Proxy Statement, which will be filed with the SEC within 120 days after December 31, 2020 and by this reference is incorporated herein.</w:t>
      </w:r>
    </w:p>
    <w:p>
      <w:pPr>
        <w:spacing w:after="0" w:line="75" w:lineRule="exact"/>
        <w:rPr>
          <w:rFonts w:ascii="Arial" w:cs="Arial" w:eastAsia="Arial" w:hAnsi="Arial"/>
          <w:sz w:val="18"/>
          <w:szCs w:val="18"/>
          <w:color w:val="auto"/>
        </w:rPr>
      </w:pPr>
    </w:p>
    <w:p>
      <w:pPr>
        <w:jc w:val="both"/>
        <w:ind w:firstLine="8"/>
        <w:spacing w:after="0" w:line="263" w:lineRule="auto"/>
        <w:tabs>
          <w:tab w:leader="none" w:pos="28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2021 Proxy Statement, which will be filed with the SEC within 120 days after December 31, 2020 and by this reference is incorporated herein.</w:t>
      </w:r>
    </w:p>
    <w:p>
      <w:pPr>
        <w:spacing w:after="0" w:line="193" w:lineRule="exact"/>
        <w:rPr>
          <w:sz w:val="20"/>
          <w:szCs w:val="20"/>
          <w:color w:val="auto"/>
        </w:rPr>
      </w:pPr>
    </w:p>
    <w:p>
      <w:pPr>
        <w:ind w:left="1260" w:right="10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95" w:lineRule="exact"/>
        <w:rPr>
          <w:sz w:val="20"/>
          <w:szCs w:val="20"/>
          <w:color w:val="auto"/>
        </w:rPr>
      </w:pPr>
    </w:p>
    <w:p>
      <w:pPr>
        <w:jc w:val="both"/>
        <w:ind w:firstLine="8"/>
        <w:spacing w:after="0" w:line="286"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Security Ownership of Certain Beneficial Owners. </w:t>
      </w:r>
      <w:r>
        <w:rPr>
          <w:rFonts w:ascii="Arial" w:cs="Arial" w:eastAsia="Arial" w:hAnsi="Arial"/>
          <w:sz w:val="17"/>
          <w:szCs w:val="17"/>
          <w:color w:val="auto"/>
        </w:rPr>
        <w:t>Information with respect to security ownership of certain beneficial owners is set forth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heading “Securities Ownership by Directors, Director Nominees, Executive Officers, and Certain Beneficial Owners” in the definitive 2021 Proxy Statement, which will be filed with the SEC within 120 days after December 31, 2020 and by this reference is incorporated herein.</w:t>
      </w:r>
    </w:p>
    <w:p>
      <w:pPr>
        <w:spacing w:after="0" w:line="57" w:lineRule="exact"/>
        <w:rPr>
          <w:rFonts w:ascii="Arial" w:cs="Arial" w:eastAsia="Arial" w:hAnsi="Arial"/>
          <w:sz w:val="17"/>
          <w:szCs w:val="17"/>
          <w:color w:val="auto"/>
        </w:rPr>
      </w:pPr>
    </w:p>
    <w:p>
      <w:pPr>
        <w:jc w:val="both"/>
        <w:ind w:firstLine="8"/>
        <w:spacing w:after="0" w:line="263"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by Directors, Director Nominees, Executive Officers, and Certain Beneficial Owners” in the definitive 2021 Proxy Statement, which will be filed with the SEC within 120 days after December 31, 2020 and by this reference is incorporated herein.</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securities authorized for issuance under the Company’s equity compensation plans at December 31, 2020.</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54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(Thousands of shares)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Equity compensation plans approved by security holders (1)</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Equity compensation plans not approved by security holders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Weighted-average</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Number of securities</w:t>
            </w:r>
          </w:p>
        </w:tc>
      </w:tr>
      <w:tr>
        <w:trPr>
          <w:trHeight w:val="135"/>
        </w:trPr>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securities</w:t>
            </w:r>
          </w:p>
        </w:tc>
        <w:tc>
          <w:tcPr>
            <w:tcW w:w="18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grant</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4"/>
              </w:rPr>
              <w:t>remaining available</w:t>
            </w:r>
          </w:p>
        </w:tc>
      </w:tr>
      <w:tr>
        <w:trPr>
          <w:trHeight w:val="135"/>
        </w:trPr>
        <w:tc>
          <w:tcPr>
            <w:tcW w:w="204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0"/>
              </w:rPr>
              <w:t>to be issued</w:t>
            </w: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4"/>
              </w:rPr>
              <w:t>date fair</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3"/>
              </w:rPr>
              <w:t>for future issuance</w:t>
            </w:r>
          </w:p>
        </w:tc>
      </w:tr>
      <w:tr>
        <w:trPr>
          <w:trHeight w:val="135"/>
        </w:trPr>
        <w:tc>
          <w:tcPr>
            <w:tcW w:w="2040" w:type="dxa"/>
            <w:vAlign w:val="bottom"/>
            <w:gridSpan w:val="2"/>
          </w:tcPr>
          <w:p>
            <w:pPr>
              <w:ind w:left="840"/>
              <w:spacing w:after="0" w:line="135" w:lineRule="exact"/>
              <w:rPr>
                <w:sz w:val="20"/>
                <w:szCs w:val="20"/>
                <w:color w:val="auto"/>
              </w:rPr>
            </w:pPr>
            <w:r>
              <w:rPr>
                <w:rFonts w:ascii="Arial" w:cs="Arial" w:eastAsia="Arial" w:hAnsi="Arial"/>
                <w:sz w:val="14"/>
                <w:szCs w:val="14"/>
                <w:color w:val="auto"/>
              </w:rPr>
              <w:t>upon</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89"/>
              </w:rPr>
              <w:t>value</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w:t>
            </w:r>
          </w:p>
        </w:tc>
      </w:tr>
      <w:tr>
        <w:trPr>
          <w:trHeight w:val="186"/>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vesting of award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3"/>
              </w:rPr>
              <w:t>of award</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reflected in column a)</w:t>
            </w:r>
          </w:p>
        </w:tc>
      </w:tr>
      <w:tr>
        <w:trPr>
          <w:trHeight w:val="201"/>
        </w:trPr>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(b)</w:t>
            </w:r>
          </w:p>
        </w:tc>
        <w:tc>
          <w:tcPr>
            <w:tcW w:w="2000" w:type="dxa"/>
            <w:vAlign w:val="bottom"/>
          </w:tcPr>
          <w:p>
            <w:pPr>
              <w:jc w:val="center"/>
              <w:spacing w:after="0"/>
              <w:rPr>
                <w:sz w:val="20"/>
                <w:szCs w:val="20"/>
                <w:color w:val="auto"/>
              </w:rPr>
            </w:pPr>
            <w:r>
              <w:rPr>
                <w:rFonts w:ascii="Arial" w:cs="Arial" w:eastAsia="Arial" w:hAnsi="Arial"/>
                <w:sz w:val="14"/>
                <w:szCs w:val="14"/>
                <w:color w:val="auto"/>
                <w:w w:val="97"/>
              </w:rPr>
              <w:t>(c)</w:t>
            </w:r>
          </w:p>
        </w:tc>
      </w:tr>
      <w:tr>
        <w:trPr>
          <w:trHeight w:val="241"/>
        </w:trPr>
        <w:tc>
          <w:tcPr>
            <w:tcW w:w="1940" w:type="dxa"/>
            <w:vAlign w:val="bottom"/>
          </w:tcPr>
          <w:p>
            <w:pPr>
              <w:jc w:val="right"/>
              <w:ind w:right="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0"/>
                <w:szCs w:val="20"/>
                <w:color w:val="auto"/>
              </w:rPr>
            </w:pPr>
          </w:p>
        </w:tc>
        <w:tc>
          <w:tcPr>
            <w:tcW w:w="2000" w:type="dxa"/>
            <w:vAlign w:val="bottom"/>
          </w:tcPr>
          <w:p>
            <w:pPr>
              <w:jc w:val="right"/>
              <w:ind w:right="2"/>
              <w:spacing w:after="0"/>
              <w:rPr>
                <w:sz w:val="20"/>
                <w:szCs w:val="20"/>
                <w:color w:val="auto"/>
              </w:rPr>
            </w:pPr>
            <w:r>
              <w:rPr>
                <w:rFonts w:ascii="Arial" w:cs="Arial" w:eastAsia="Arial" w:hAnsi="Arial"/>
                <w:sz w:val="18"/>
                <w:szCs w:val="18"/>
                <w:color w:val="auto"/>
              </w:rPr>
              <w:t>1,854</w:t>
            </w:r>
          </w:p>
        </w:tc>
      </w:tr>
      <w:tr>
        <w:trPr>
          <w:trHeight w:val="230"/>
        </w:trPr>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3"/>
        </w:trPr>
        <w:tc>
          <w:tcPr>
            <w:tcW w:w="1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1,854</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-479425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-187960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840" w:space="720"/>
            <w:col w:w="5680"/>
          </w:cols>
          <w:pgMar w:left="320" w:top="1003" w:right="339" w:bottom="1440" w:gutter="0" w:footer="0" w:header="0"/>
          <w:type w:val="continuous"/>
        </w:sectPr>
      </w:pPr>
    </w:p>
    <w:p>
      <w:pPr>
        <w:jc w:val="both"/>
        <w:ind w:left="180" w:right="20" w:hanging="10"/>
        <w:spacing w:after="0" w:line="261"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securities to be issued upon vesting of awards includes 153,000 performance shares, which was derived by assuming that target performance will be achieved during the relevant performance period. The number of securities remaining available for future issuance includes shares relating to the Omnibus Incentive Plan and Management Incentive Plan.</w:t>
      </w:r>
    </w:p>
    <w:p>
      <w:pPr>
        <w:spacing w:after="0" w:line="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Additional information regarding the equity compensation plans is included in </w:t>
      </w:r>
      <w:r>
        <w:rPr>
          <w:rFonts w:ascii="Arial" w:cs="Arial" w:eastAsia="Arial" w:hAnsi="Arial"/>
          <w:sz w:val="18"/>
          <w:szCs w:val="18"/>
          <w:b w:val="1"/>
          <w:bCs w:val="1"/>
          <w:color w:val="auto"/>
        </w:rPr>
        <w:t>Note 9 - Share-Based Compensation</w:t>
      </w:r>
      <w:r>
        <w:rPr>
          <w:rFonts w:ascii="Arial" w:cs="Arial" w:eastAsia="Arial" w:hAnsi="Arial"/>
          <w:sz w:val="18"/>
          <w:szCs w:val="18"/>
          <w:color w:val="auto"/>
        </w:rPr>
        <w:t xml:space="preserve"> of the notes to consolidated financial statements in the 2020 Annual Report to Stockholders.</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2" w:name="page23"/>
    <w:bookmarkEnd w:id="22"/>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set forth under the heading “Governance of the Company” in the definitive 2021 Proxy Statement, which will be filed with the SEC within 120 days after December 31, 2020 and by this reference is incorporated herein.</w:t>
      </w:r>
    </w:p>
    <w:p>
      <w:pPr>
        <w:spacing w:after="0" w:line="1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accounting fees and services associated with PricewaterhouseCoopers LLP is set forth under the heading “Selection of Independent Registered Public Accounting Firm” in the definitive 2021 Proxy Statement, which will be filed with the SEC within 120 days after December 31, 2020 and by this reference is incorporated herein.</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3" w:name="page24"/>
    <w:bookmarkEnd w:id="23"/>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117" w:lineRule="exact"/>
        <w:rPr>
          <w:rFonts w:ascii="Arial" w:cs="Arial" w:eastAsia="Arial" w:hAnsi="Arial"/>
          <w:sz w:val="18"/>
          <w:szCs w:val="18"/>
          <w:color w:val="auto"/>
        </w:rPr>
      </w:pPr>
    </w:p>
    <w:p>
      <w:pPr>
        <w:jc w:val="both"/>
        <w:ind w:left="180" w:hanging="10"/>
        <w:spacing w:after="0" w:line="263" w:lineRule="auto"/>
        <w:tabs>
          <w:tab w:leader="none" w:pos="4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 of Independent Registered Public Accounting Firm) required to be reported herein are incorporated by reference to the information reported in the 2020 Annual Report to Stockholders under the following captions: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8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94" w:lineRule="exact"/>
        <w:rPr>
          <w:sz w:val="20"/>
          <w:szCs w:val="20"/>
          <w:color w:val="auto"/>
        </w:rPr>
      </w:pPr>
    </w:p>
    <w:p>
      <w:pPr>
        <w:ind w:left="420" w:hanging="250"/>
        <w:spacing w:after="0"/>
        <w:tabs>
          <w:tab w:leader="none" w:pos="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schedules have been omitted because the required information is either inapplicable or included in the notes to consolidated financial statements.</w:t>
      </w:r>
    </w:p>
    <w:p>
      <w:pPr>
        <w:spacing w:after="0" w:line="136" w:lineRule="exact"/>
        <w:rPr>
          <w:rFonts w:ascii="Arial" w:cs="Arial" w:eastAsia="Arial" w:hAnsi="Arial"/>
          <w:sz w:val="16"/>
          <w:szCs w:val="16"/>
          <w:color w:val="auto"/>
        </w:rPr>
      </w:pPr>
    </w:p>
    <w:p>
      <w:pPr>
        <w:ind w:left="420" w:hanging="250"/>
        <w:spacing w:after="0"/>
        <w:tabs>
          <w:tab w:leader="none" w:pos="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60" w:type="dxa"/>
            <w:vAlign w:val="bottom"/>
            <w:gridSpan w:val="24"/>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56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Agreement and Plan of Merger entered into on September 20, 2019 by Southwest Gas Holdings, Inc., a California</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corporation and Southwest Gas Holdings, Inc., a Delaware corporation. Incorporated herein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gridSpan w:val="12"/>
          </w:tcPr>
          <w:p>
            <w:pPr>
              <w:spacing w:after="0" w:line="15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to Form 8-K12B dated September 20, 2019, File No. 001-37976.</w:t>
              </w:r>
            </w:hyperlink>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3(i)</w:t>
            </w:r>
          </w:p>
        </w:tc>
        <w:tc>
          <w:tcPr>
            <w:tcW w:w="9060" w:type="dxa"/>
            <w:vAlign w:val="bottom"/>
            <w:gridSpan w:val="33"/>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Certificate of Incorporation of Southwest Gas Holdings, Inc., a Delaware corporation. Incorporated herein by reference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to Exhibit 3.1 to Form 8-K12B dated September 20, 2019, File No. 001-37976.</w:t>
              </w:r>
            </w:hyperlink>
          </w:p>
        </w:tc>
        <w:tc>
          <w:tcPr>
            <w:tcW w:w="31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3(ii)</w:t>
            </w:r>
          </w:p>
        </w:tc>
        <w:tc>
          <w:tcPr>
            <w:tcW w:w="9060" w:type="dxa"/>
            <w:vAlign w:val="bottom"/>
            <w:gridSpan w:val="33"/>
          </w:tcPr>
          <w:p>
            <w:pPr>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Bylaws of Southwest Gas Holdings, Inc., a Delaware corporation. Incorporated herein by reference to Exhibit 3.2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Form 8-K12B dated September 20, 2019, File No. 001-37976.</w:t>
              </w:r>
            </w:hyperlink>
          </w:p>
        </w:tc>
        <w:tc>
          <w:tcPr>
            <w:tcW w:w="340" w:type="dxa"/>
            <w:vAlign w:val="bottom"/>
            <w:tcBorders>
              <w:top w:val="single" w:sz="8" w:color="0000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Indenture between City of Big Bear Lake, California, and Harris Trust and Savings Bank as Trustee, dated December 1,</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 xml:space="preserve">1993, with respect to the issuance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50,000,000 Industrial Development Revenue Bonds (Southwest Gas Corporation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gridSpan w:val="32"/>
          </w:tcPr>
          <w:p>
            <w:pPr>
              <w:spacing w:after="0" w:line="15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Project), 1993 Series A, due 2028. Incorporated herein by reference to Exhibit 4.11 to Form 10-K for the year 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December 31, 1993, File No. 001-07850.</w:t>
              </w:r>
            </w:hyperlink>
          </w:p>
        </w:tc>
        <w:tc>
          <w:tcPr>
            <w:tcW w:w="1860" w:type="dxa"/>
            <w:vAlign w:val="bottom"/>
            <w:tcBorders>
              <w:top w:val="single" w:sz="8" w:color="0000FF"/>
            </w:tcBorders>
            <w:gridSpan w:val="5"/>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Indenture between Southwest Gas Corporation and Harris Trust and Savings Bank dated July 15, 1996, with respect to</w:t>
              </w:r>
            </w:hyperlink>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tcBorders>
              <w:top w:val="single" w:sz="8" w:color="0000FF"/>
            </w:tcBorders>
            <w:gridSpan w:val="27"/>
          </w:tcPr>
          <w:p>
            <w:pPr>
              <w:spacing w:after="0"/>
              <w:rPr>
                <w:rFonts w:ascii="Arial" w:cs="Arial" w:eastAsia="Arial" w:hAnsi="Arial"/>
                <w:sz w:val="18"/>
                <w:szCs w:val="18"/>
                <w:u w:val="single" w:color="auto"/>
                <w:color w:val="0000FF"/>
                <w:w w:val="94"/>
              </w:rPr>
            </w:pPr>
            <w:hyperlink r:id="rId46">
              <w:r>
                <w:rPr>
                  <w:rFonts w:ascii="Arial" w:cs="Arial" w:eastAsia="Arial" w:hAnsi="Arial"/>
                  <w:sz w:val="18"/>
                  <w:szCs w:val="18"/>
                  <w:u w:val="single" w:color="auto"/>
                  <w:color w:val="0000FF"/>
                  <w:w w:val="94"/>
                </w:rPr>
                <w:t>Debt Securities. Incorporated herein by reference to Exhibit 4.04 to Form 8-K dated July 26, 1996, File No. 001–07850.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4.03</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First Supplemental Indenture of Southwest Gas Corporation to Harris Trust and Savings Bank dated August 1, 1996,</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supplementing and amending the Indenture dated as of July 15, 1996, with respect to 7 1/2% and 8% Debentures, due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2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2006 and 2026, respectively. Incorporated herein by reference to Exhibit 4.11 to Form 8-K dated July 31, 1996, File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No. 001</w:t>
              </w:r>
              <w:r>
                <w:rPr>
                  <w:rFonts w:ascii="Arial" w:cs="Arial" w:eastAsia="Arial" w:hAnsi="Arial"/>
                  <w:sz w:val="18"/>
                  <w:szCs w:val="18"/>
                  <w:u w:val="single" w:color="auto"/>
                  <w:color w:val="0000FF"/>
                </w:rPr>
                <w:t>-07850</w:t>
              </w:r>
              <w:r>
                <w:rPr>
                  <w:rFonts w:ascii="Arial" w:cs="Arial" w:eastAsia="Arial" w:hAnsi="Arial"/>
                  <w:sz w:val="18"/>
                  <w:szCs w:val="18"/>
                  <w:color w:val="0000FF"/>
                </w:rPr>
                <w:t>.</w:t>
              </w:r>
            </w:hyperlink>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Second Supplemental Indenture of Southwest Gas Corporation to Harris Trust and Savings Bank dated December 30,</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1996, supplementing and amending the Indenture dated as of July 15, 1996, with respect to Medium-Term Notes.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780" w:type="dxa"/>
            <w:vAlign w:val="bottom"/>
            <w:gridSpan w:val="19"/>
          </w:tcPr>
          <w:p>
            <w:pPr>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Incorporated herein by reference to Exhibit 4.04 to Form 8-K dated December 30, 1996, File No. 001–07850.</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4.05</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FF"/>
              </w:rPr>
            </w:pPr>
            <w:hyperlink r:id="rId48">
              <w:r>
                <w:rPr>
                  <w:rFonts w:ascii="Arial" w:cs="Arial" w:eastAsia="Arial" w:hAnsi="Arial"/>
                  <w:sz w:val="18"/>
                  <w:szCs w:val="18"/>
                  <w:color w:val="0000FF"/>
                </w:rPr>
                <w:t>Indenture of Trust between Clark County, Nevada, and the BNY Midwest Trust Company, as Trustee, dated as of</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March 1, 2003, relating to Clark County, Nevada Industrial Development Revenue Bonds Series 2003. Incorporated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0" w:type="dxa"/>
            <w:vAlign w:val="bottom"/>
            <w:gridSpan w:val="20"/>
          </w:tcPr>
          <w:p>
            <w:pPr>
              <w:spacing w:after="0"/>
              <w:rPr>
                <w:rFonts w:ascii="Arial" w:cs="Arial" w:eastAsia="Arial" w:hAnsi="Arial"/>
                <w:sz w:val="18"/>
                <w:szCs w:val="18"/>
                <w:u w:val="single" w:color="auto"/>
                <w:color w:val="0000FF"/>
                <w:w w:val="96"/>
              </w:rPr>
            </w:pPr>
            <w:hyperlink r:id="rId48">
              <w:r>
                <w:rPr>
                  <w:rFonts w:ascii="Arial" w:cs="Arial" w:eastAsia="Arial" w:hAnsi="Arial"/>
                  <w:sz w:val="18"/>
                  <w:szCs w:val="18"/>
                  <w:u w:val="single" w:color="auto"/>
                  <w:color w:val="0000FF"/>
                  <w:w w:val="96"/>
                </w:rPr>
                <w:t>herein by reference to Exhibit 10.01 to Form 10-Q for the quarter ended September 30, 2008, File No. 001-07850.</w:t>
              </w:r>
            </w:hyperlink>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4.06</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dated as of September 1, 2008, relating to Clark County, Nevada Industrial Development Revenue Bonds Series 2008A.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0" w:type="dxa"/>
            <w:vAlign w:val="bottom"/>
            <w:tcBorders>
              <w:top w:val="single" w:sz="8" w:color="0000FF"/>
            </w:tcBorders>
            <w:gridSpan w:val="30"/>
          </w:tcPr>
          <w:p>
            <w:pPr>
              <w:spacing w:after="0" w:line="142" w:lineRule="exact"/>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Incorporated herein by reference to Exhibit 10.02 to Form 10-Q for the quarter ended September 30, 2008, File No. 001-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Borders>
              <w:bottom w:val="single" w:sz="8" w:color="0000FF"/>
            </w:tcBorders>
          </w:tcPr>
          <w:p>
            <w:pPr>
              <w:spacing w:after="0" w:line="189" w:lineRule="exact"/>
              <w:rPr>
                <w:rFonts w:ascii="Arial" w:cs="Arial" w:eastAsia="Arial" w:hAnsi="Arial"/>
                <w:sz w:val="18"/>
                <w:szCs w:val="18"/>
                <w:color w:val="0000FF"/>
                <w:w w:val="87"/>
              </w:rPr>
            </w:pPr>
            <w:hyperlink r:id="rId49">
              <w:r>
                <w:rPr>
                  <w:rFonts w:ascii="Arial" w:cs="Arial" w:eastAsia="Arial" w:hAnsi="Arial"/>
                  <w:sz w:val="18"/>
                  <w:szCs w:val="18"/>
                  <w:color w:val="0000FF"/>
                  <w:w w:val="87"/>
                </w:rPr>
                <w:t>07850.</w:t>
              </w:r>
            </w:hyperlink>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2"/>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dated December 1, 2009, relating to Clark County, Nevada Industrial Development Revenue Bonds Series 2009A.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940" w:type="dxa"/>
            <w:vAlign w:val="bottom"/>
            <w:tcBorders>
              <w:top w:val="single" w:sz="8" w:color="0000FF"/>
            </w:tcBorders>
            <w:gridSpan w:val="27"/>
          </w:tcPr>
          <w:p>
            <w:pPr>
              <w:spacing w:after="0" w:line="142" w:lineRule="exact"/>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Incorporated herein by reference to Exhibit 4.27 to Form 10-K for the year ended December 31, 2009, File No. 001-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Borders>
              <w:bottom w:val="single" w:sz="8" w:color="0000FF"/>
            </w:tcBorders>
          </w:tcPr>
          <w:p>
            <w:pPr>
              <w:spacing w:after="0" w:line="189" w:lineRule="exact"/>
              <w:rPr>
                <w:rFonts w:ascii="Arial" w:cs="Arial" w:eastAsia="Arial" w:hAnsi="Arial"/>
                <w:sz w:val="18"/>
                <w:szCs w:val="18"/>
                <w:color w:val="0000FF"/>
                <w:w w:val="87"/>
              </w:rPr>
            </w:pPr>
            <w:hyperlink r:id="rId50">
              <w:r>
                <w:rPr>
                  <w:rFonts w:ascii="Arial" w:cs="Arial" w:eastAsia="Arial" w:hAnsi="Arial"/>
                  <w:sz w:val="18"/>
                  <w:szCs w:val="18"/>
                  <w:color w:val="0000FF"/>
                  <w:w w:val="87"/>
                </w:rPr>
                <w:t>07850.</w:t>
              </w:r>
            </w:hyperlink>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Note Purchase Agreement, dated November 18, 2010, by and between Southwest Gas Corporation and Metropolitan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Life Insurance Company, John Hancock Life Insurance Company (U.S.A.), certain of their respective affiliates, and</w:t>
              </w:r>
            </w:hyperlink>
          </w:p>
        </w:tc>
        <w:tc>
          <w:tcPr>
            <w:tcW w:w="160" w:type="dxa"/>
            <w:vAlign w:val="bottom"/>
            <w:tcBorders>
              <w:bottom w:val="single" w:sz="8" w:color="0000FF"/>
            </w:tcBorders>
            <w:gridSpan w:val="8"/>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gridSpan w:val="25"/>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Union Fidelity Life Insurance Company. Incorporated herein by reference to Exhibit 4.1 to Form 8-K dated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November 18, 2010, File No. 001-07850.</w:t>
              </w:r>
            </w:hyperlink>
          </w:p>
        </w:tc>
        <w:tc>
          <w:tcPr>
            <w:tcW w:w="1840" w:type="dxa"/>
            <w:vAlign w:val="bottom"/>
            <w:tcBorders>
              <w:top w:val="single" w:sz="8" w:color="0000FF"/>
            </w:tcBorders>
            <w:gridSpan w:val="4"/>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Amendment No. 1 to Note Purchase Agreement, dated March 28, 2014, by and among Southwest Gas Corporation and</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the holders of the Notes. Incorporated herein by reference to</w:t>
              </w:r>
            </w:hyperlink>
          </w:p>
        </w:tc>
        <w:tc>
          <w:tcPr>
            <w:tcW w:w="4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Exhibit 4.1 to Form 8-K dated March  31,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File No. 001</w:t>
              </w:r>
              <w:r>
                <w:rPr>
                  <w:rFonts w:ascii="Arial" w:cs="Arial" w:eastAsia="Arial" w:hAnsi="Arial"/>
                  <w:sz w:val="18"/>
                  <w:szCs w:val="18"/>
                  <w:u w:val="single" w:color="auto"/>
                  <w:color w:val="0000FF"/>
                </w:rPr>
                <w:t>–07850.</w:t>
              </w:r>
            </w:hyperlink>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40" w:type="dxa"/>
            <w:vAlign w:val="bottom"/>
            <w:gridSpan w:val="1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2 to Note Purchase Agreement, dated September</w:t>
              </w:r>
            </w:hyperlink>
          </w:p>
        </w:tc>
        <w:tc>
          <w:tcPr>
            <w:tcW w:w="4220" w:type="dxa"/>
            <w:vAlign w:val="bottom"/>
            <w:gridSpan w:val="21"/>
          </w:tcPr>
          <w:p>
            <w:pPr>
              <w:ind w:left="80"/>
              <w:spacing w:after="0"/>
              <w:rPr>
                <w:rFonts w:ascii="Arial" w:cs="Arial" w:eastAsia="Arial" w:hAnsi="Arial"/>
                <w:sz w:val="18"/>
                <w:szCs w:val="18"/>
                <w:color w:val="0000FF"/>
                <w:w w:val="98"/>
              </w:rPr>
            </w:pPr>
            <w:hyperlink r:id="rId53">
              <w:r>
                <w:rPr>
                  <w:rFonts w:ascii="Arial" w:cs="Arial" w:eastAsia="Arial" w:hAnsi="Arial"/>
                  <w:sz w:val="18"/>
                  <w:szCs w:val="18"/>
                  <w:color w:val="0000FF"/>
                  <w:w w:val="98"/>
                </w:rPr>
                <w:t>30, 2016, by and among Southwest Gas Corporation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2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and the holders of the Notes. Incorporated herein by reference to Exhibit 4.02 to Form 10-Q for the quarter ended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 xml:space="preserve">September 30, 2016, File No. </w:t>
              </w:r>
              <w:r>
                <w:rPr>
                  <w:rFonts w:ascii="Arial" w:cs="Arial" w:eastAsia="Arial" w:hAnsi="Arial"/>
                  <w:sz w:val="18"/>
                  <w:szCs w:val="18"/>
                  <w:u w:val="single" w:color="auto"/>
                  <w:color w:val="0000FF"/>
                </w:rPr>
                <w:t>001–07850.</w:t>
              </w:r>
            </w:hyperlink>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Form of 6.1% Senior Note due 2041. Incorporated herein by reference to Exhibit 4.2 to Form 8-K dated November 18,</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2010, File No. 001-07850.</w:t>
              </w:r>
            </w:hyperlink>
          </w:p>
        </w:tc>
        <w:tc>
          <w:tcPr>
            <w:tcW w:w="2920" w:type="dxa"/>
            <w:vAlign w:val="bottom"/>
            <w:tcBorders>
              <w:top w:val="single" w:sz="8" w:color="0000FF"/>
            </w:tcBorders>
            <w:gridSpan w:val="9"/>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Indenture, dated March 23, 2012, by and between Southwest Gas Corporation and The Bank of New York Mellon Trust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Company, N.A., as Trustee. 3.875% Notes due 2022. Incorporated herein by reference to Exhibit 4.1 to Form 8-K dated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gridSpan w:val="12"/>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March 20, 2012, File No. 001-07850.</w:t>
              </w:r>
            </w:hyperlink>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1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3"/>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Indenture, dated as of October 4, 2013, by and between Southwest Gas Corporation and the Bank of New York Mellon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Trust Company, N.A., as Trustee. 4.875% Notes due 2043. Incorporated herein by reference to Exhibit 4.1 to Form 8-K</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 xml:space="preserve">dated October 1, 2013. File No. </w:t>
              </w:r>
              <w:r>
                <w:rPr>
                  <w:rFonts w:ascii="Arial" w:cs="Arial" w:eastAsia="Arial" w:hAnsi="Arial"/>
                  <w:sz w:val="18"/>
                  <w:szCs w:val="18"/>
                  <w:u w:val="single" w:color="auto"/>
                  <w:color w:val="0000FF"/>
                </w:rPr>
                <w:t>001-07850.</w:t>
              </w:r>
            </w:hyperlink>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40" w:type="dxa"/>
            <w:vAlign w:val="bottom"/>
            <w:tcBorders>
              <w:top w:val="single" w:sz="8" w:color="0000FF"/>
            </w:tcBorders>
            <w:gridSpan w:val="5"/>
          </w:tcPr>
          <w:p>
            <w:pPr>
              <w:spacing w:after="0"/>
              <w:rPr>
                <w:sz w:val="24"/>
                <w:szCs w:val="2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22</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80" w:type="dxa"/>
            <w:vAlign w:val="bottom"/>
            <w:gridSpan w:val="29"/>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8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80" w:type="dxa"/>
            <w:vAlign w:val="bottom"/>
            <w:gridSpan w:val="37"/>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Southwest Gas Holdings, Inc. Dividend Reinvestment and Direct Stock Purchase Plan. Incorporated by reference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 xml:space="preserve">prospectus 424(b)(5) </w:t>
              </w:r>
            </w:hyperlink>
            <w:hyperlink r:id="rId59">
              <w:r>
                <w:rPr>
                  <w:rFonts w:ascii="Arial" w:cs="Arial" w:eastAsia="Arial" w:hAnsi="Arial"/>
                  <w:sz w:val="18"/>
                  <w:szCs w:val="18"/>
                  <w:u w:val="single" w:color="auto"/>
                  <w:color w:val="0000FF"/>
                </w:rPr>
                <w:t xml:space="preserve">dated </w:t>
              </w:r>
            </w:hyperlink>
            <w:hyperlink r:id="rId58">
              <w:r>
                <w:rPr>
                  <w:rFonts w:ascii="Arial" w:cs="Arial" w:eastAsia="Arial" w:hAnsi="Arial"/>
                  <w:sz w:val="18"/>
                  <w:szCs w:val="18"/>
                  <w:u w:val="single" w:color="auto"/>
                  <w:color w:val="0000FF"/>
                </w:rPr>
                <w:t>December 2, 2020, File No. 333-251074.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Indenture, dated September 29, 2016, by and between Southwest Gas Corporation and The Bank of New York Mellon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Trust Company, N.A., as Trustee. 3.80% Senior Notes due 2046. Incorporated herein by reference to Exhibit 4.01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0" w:type="dxa"/>
            <w:vAlign w:val="bottom"/>
            <w:tcBorders>
              <w:bottom w:val="single" w:sz="8" w:color="0000FF"/>
            </w:tcBorders>
            <w:gridSpan w:val="9"/>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Form 8-K dated September 26, 2016, File No. 001-07850.</w:t>
              </w:r>
            </w:hyperlink>
          </w:p>
        </w:tc>
        <w:tc>
          <w:tcPr>
            <w:tcW w:w="472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Indenture, dated March 15, 2018, by and between Southwest Gas Corporation and The Bank of New York Mellon Trust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Company, N.A., as Trustee. Incorporated herein by reference to Exhibit 4.1 to Form 8-K dated March 15, 2018,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gridSpan w:val="27"/>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First Supplemental Indenture, dated March 15, 2018, by and between Southwest Gas Corporation and The Bank of New</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6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York Mellon Trust Company, N.A., as Trustee. Incorporated herein by reference to Exhibit 4.2 to Form 8-K dated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15, 2018, File Nos. 001-37976 and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3.70% Senior Note due 2028 (included in Exhibit 4.23). Incorporated herein by reference to Exhibit 4.24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Form 10-K for the year ended December 31, 2018, File Nos. 001-37976 and 001-07850.</w:t>
              </w:r>
            </w:hyperlink>
          </w:p>
        </w:tc>
        <w:tc>
          <w:tcPr>
            <w:tcW w:w="24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8"/>
              </w:rPr>
            </w:pPr>
            <w:hyperlink r:id="rId63">
              <w:r>
                <w:rPr>
                  <w:rFonts w:ascii="Arial" w:cs="Arial" w:eastAsia="Arial" w:hAnsi="Arial"/>
                  <w:sz w:val="18"/>
                  <w:szCs w:val="18"/>
                  <w:color w:val="0000FF"/>
                  <w:w w:val="98"/>
                </w:rPr>
                <w:t>Indenture, dated as of May 31, 2019, by and between Southwest Gas Corporation and The Bank of New York Mellon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Trust Company, N.A., as Trustee. Incorporated herein by reference to Exhibit 4.1 to Form 8-K dated May 28, 2019.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20" w:type="dxa"/>
            <w:vAlign w:val="bottom"/>
            <w:gridSpan w:val="19"/>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No. 001</w:t>
              </w:r>
              <w:r>
                <w:rPr>
                  <w:rFonts w:ascii="Arial" w:cs="Arial" w:eastAsia="Arial" w:hAnsi="Arial"/>
                  <w:sz w:val="18"/>
                  <w:szCs w:val="18"/>
                  <w:u w:val="single" w:color="auto"/>
                  <w:color w:val="0000FF"/>
                </w:rPr>
                <w:t>-07850</w:t>
              </w:r>
              <w:r>
                <w:rPr>
                  <w:rFonts w:ascii="Arial" w:cs="Arial" w:eastAsia="Arial" w:hAnsi="Arial"/>
                  <w:sz w:val="18"/>
                  <w:szCs w:val="18"/>
                  <w:color w:val="0000FF"/>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First Supplemental Indenture, dated May 31, 2019, by and between Southwest Gas Corporation and The Bank of New</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4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York Mellon Trust Company, N.A., as Trustee. Incorporated herein by reference to Exhibit 4.2 to Form 8-K dated May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 xml:space="preserve">28, 2019. File No. </w:t>
              </w:r>
              <w:r>
                <w:rPr>
                  <w:rFonts w:ascii="Arial" w:cs="Arial" w:eastAsia="Arial" w:hAnsi="Arial"/>
                  <w:sz w:val="18"/>
                  <w:szCs w:val="18"/>
                  <w:u w:val="single" w:color="auto"/>
                  <w:color w:val="0000FF"/>
                </w:rPr>
                <w:t>001-07850.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Form of 4.150% Senior Note due 2049. Incorporated by reference to Exhibit 4.3 to Form 8-K dated May 28, 2019. File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No. 001</w:t>
              </w:r>
              <w:r>
                <w:rPr>
                  <w:rFonts w:ascii="Arial" w:cs="Arial" w:eastAsia="Arial" w:hAnsi="Arial"/>
                  <w:sz w:val="18"/>
                  <w:szCs w:val="18"/>
                  <w:u w:val="single" w:color="auto"/>
                  <w:color w:val="0000FF"/>
                </w:rPr>
                <w:t>-07850</w:t>
              </w:r>
              <w:r>
                <w:rPr>
                  <w:rFonts w:ascii="Arial" w:cs="Arial" w:eastAsia="Arial" w:hAnsi="Arial"/>
                  <w:sz w:val="18"/>
                  <w:szCs w:val="18"/>
                  <w:color w:val="0000FF"/>
                </w:rPr>
                <w:t>.</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8"/>
              </w:rPr>
            </w:pPr>
            <w:hyperlink r:id="rId65">
              <w:r>
                <w:rPr>
                  <w:rFonts w:ascii="Arial" w:cs="Arial" w:eastAsia="Arial" w:hAnsi="Arial"/>
                  <w:sz w:val="18"/>
                  <w:szCs w:val="18"/>
                  <w:color w:val="0000FF"/>
                  <w:w w:val="98"/>
                </w:rPr>
                <w:t>Indenture, dated June 4, 2020, by and between Southwest Gas Corporation and The Bank of New York Mellon Trust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Company, N.A., as Trustee. Incorporated herein by reference to Exhibit 4.1 to Form 8-K dated June 1, 2020. File Nos.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80" w:type="dxa"/>
            <w:vAlign w:val="bottom"/>
            <w:gridSpan w:val="32"/>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001-07850 and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First Supplemental Indenture, dated June 4, 2020, by and between Southwest Gas Corporation and The Bank of New</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York Mellon Trust Company, N.A., as Trustee. Incorporated herein by reference to Exhibit 4.2 to Form 8-K dated June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1, 2020. File Nos. 001-07850 and 001-37976.</w:t>
              </w:r>
            </w:hyperlink>
          </w:p>
        </w:tc>
        <w:tc>
          <w:tcPr>
            <w:tcW w:w="546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Form of 2.200% Senior Note due 2030. Incorporated by reference to Exhibit 4.3 to Form 8-K dated June 1, 2020. File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Nos. 001-07850 and 001-37976.</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Description of Common Stock of Southwest Gas Holdings, Inc. Incorporated by reference to Exhibit 4.24 to Form 10-K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for the year ended December 31, 2019. File Nos. 001-07850 and 001-37976.</w:t>
              </w:r>
            </w:hyperlink>
          </w:p>
        </w:tc>
        <w:tc>
          <w:tcPr>
            <w:tcW w:w="160" w:type="dxa"/>
            <w:vAlign w:val="bottom"/>
            <w:gridSpan w:val="8"/>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8"/>
                <w:szCs w:val="18"/>
                <w:color w:val="auto"/>
              </w:rPr>
              <w:t>4.26</w:t>
            </w: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180" w:type="dxa"/>
            <w:vAlign w:val="bottom"/>
            <w:gridSpan w:val="37"/>
          </w:tcPr>
          <w:p>
            <w:pPr>
              <w:spacing w:after="0"/>
              <w:rPr>
                <w:sz w:val="20"/>
                <w:szCs w:val="20"/>
                <w:color w:val="auto"/>
              </w:rPr>
            </w:pPr>
            <w:r>
              <w:rPr>
                <w:rFonts w:ascii="Arial" w:cs="Arial" w:eastAsia="Arial" w:hAnsi="Arial"/>
                <w:sz w:val="18"/>
                <w:szCs w:val="18"/>
                <w:color w:val="auto"/>
                <w:w w:val="96"/>
              </w:rPr>
              <w:t>The Company and Southwest hereby agree to furnish to the SEC, upon request, a copy of any instruments defining the</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180" w:type="dxa"/>
            <w:vAlign w:val="bottom"/>
            <w:gridSpan w:val="37"/>
          </w:tcPr>
          <w:p>
            <w:pPr>
              <w:spacing w:after="0" w:line="176" w:lineRule="exact"/>
              <w:rPr>
                <w:sz w:val="20"/>
                <w:szCs w:val="20"/>
                <w:color w:val="auto"/>
              </w:rPr>
            </w:pPr>
            <w:r>
              <w:rPr>
                <w:rFonts w:ascii="Arial" w:cs="Arial" w:eastAsia="Arial" w:hAnsi="Arial"/>
                <w:sz w:val="18"/>
                <w:szCs w:val="18"/>
                <w:color w:val="auto"/>
                <w:w w:val="97"/>
              </w:rPr>
              <w:t>rights of holders of long-term debt issued by Southwest Gas Holdings or its subsidiaries; the total amount of securities</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180" w:type="dxa"/>
            <w:vAlign w:val="bottom"/>
            <w:gridSpan w:val="37"/>
          </w:tcPr>
          <w:p>
            <w:pPr>
              <w:spacing w:after="0" w:line="176" w:lineRule="exact"/>
              <w:rPr>
                <w:sz w:val="20"/>
                <w:szCs w:val="20"/>
                <w:color w:val="auto"/>
              </w:rPr>
            </w:pPr>
            <w:r>
              <w:rPr>
                <w:rFonts w:ascii="Arial" w:cs="Arial" w:eastAsia="Arial" w:hAnsi="Arial"/>
                <w:sz w:val="18"/>
                <w:szCs w:val="18"/>
                <w:color w:val="auto"/>
              </w:rPr>
              <w:t>authorized thereunder does not exceed 10% of the consolidated total assets of Southwest Gas Holdings and its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180" w:type="dxa"/>
            <w:vAlign w:val="bottom"/>
            <w:gridSpan w:val="37"/>
          </w:tcPr>
          <w:p>
            <w:pPr>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242"/>
        </w:trPr>
        <w:tc>
          <w:tcPr>
            <w:tcW w:w="620" w:type="dxa"/>
            <w:vAlign w:val="bottom"/>
          </w:tcPr>
          <w:p>
            <w:pPr>
              <w:ind w:left="20"/>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180" w:type="dxa"/>
            <w:vAlign w:val="bottom"/>
            <w:gridSpan w:val="37"/>
          </w:tcPr>
          <w:p>
            <w:pPr>
              <w:spacing w:after="0"/>
              <w:rPr>
                <w:rFonts w:ascii="Arial" w:cs="Arial" w:eastAsia="Arial" w:hAnsi="Arial"/>
                <w:sz w:val="18"/>
                <w:szCs w:val="18"/>
                <w:color w:val="0000FF"/>
              </w:rPr>
            </w:pPr>
            <w:hyperlink r:id="rId45">
              <w:r>
                <w:rPr>
                  <w:rFonts w:ascii="Arial" w:cs="Arial" w:eastAsia="Arial" w:hAnsi="Arial"/>
                  <w:sz w:val="18"/>
                  <w:szCs w:val="18"/>
                  <w:color w:val="0000FF"/>
                </w:rPr>
                <w:t>Project Agreement between Southwest Gas Corporation and City of Big Bear Lake, California, dated as of</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December 1, 1993. Incorporated herein by reference to Exhibit 10.05 to Form 10-K for the year ended December 31,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1993, File No. 001-07850.</w:t>
              </w:r>
            </w:hyperlink>
          </w:p>
        </w:tc>
        <w:tc>
          <w:tcPr>
            <w:tcW w:w="716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Southwest  Gas  Corporation  Supplemental  Executive  Retirement  Plan,  amended  and  restated  August  3,  2020.</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Incorporated herein by reference to Exhibit 10.03 to Form 10-Q for the quarter ended September 30, 2020, File Nos.</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gridSpan w:val="29"/>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001-37976 and 001-07850.</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Southwest Gas Holdings, Inc. Management Incentive Plan, amended and restated August 3, 2020. Incorporated herein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60" w:type="dxa"/>
            <w:vAlign w:val="bottom"/>
            <w:tcBorders>
              <w:top w:val="single" w:sz="8" w:color="0000FF"/>
            </w:tcBorders>
            <w:gridSpan w:val="36"/>
          </w:tcPr>
          <w:p>
            <w:pPr>
              <w:spacing w:after="0" w:line="15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by reference to Exhibit 10.04 to Form 10-Q for the quarter ended September 30, 2020, File Nos. 001-37976 and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69">
              <w:r>
                <w:rPr>
                  <w:rFonts w:ascii="Arial" w:cs="Arial" w:eastAsia="Arial" w:hAnsi="Arial"/>
                  <w:sz w:val="18"/>
                  <w:szCs w:val="18"/>
                  <w:color w:val="0000FF"/>
                  <w:w w:val="87"/>
                </w:rPr>
                <w:t>07850.</w:t>
              </w:r>
            </w:hyperlink>
          </w:p>
        </w:tc>
        <w:tc>
          <w:tcPr>
            <w:tcW w:w="8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37"/>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Southwest Gas Corporation Directors Deferral Plan, amended and restated December 28, 2016. Incorporated herein by</w:t>
              </w:r>
            </w:hyperlink>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40" w:type="dxa"/>
            <w:vAlign w:val="bottom"/>
            <w:tcBorders>
              <w:top w:val="single" w:sz="8" w:color="0000FF"/>
            </w:tcBorders>
            <w:gridSpan w:val="35"/>
          </w:tcPr>
          <w:p>
            <w:pPr>
              <w:spacing w:after="0"/>
              <w:rPr>
                <w:rFonts w:ascii="Arial" w:cs="Arial" w:eastAsia="Arial" w:hAnsi="Arial"/>
                <w:sz w:val="18"/>
                <w:szCs w:val="18"/>
                <w:u w:val="single" w:color="auto"/>
                <w:color w:val="0000FF"/>
                <w:w w:val="97"/>
              </w:rPr>
            </w:pPr>
            <w:hyperlink r:id="rId70">
              <w:r>
                <w:rPr>
                  <w:rFonts w:ascii="Arial" w:cs="Arial" w:eastAsia="Arial" w:hAnsi="Arial"/>
                  <w:sz w:val="18"/>
                  <w:szCs w:val="18"/>
                  <w:u w:val="single" w:color="auto"/>
                  <w:color w:val="0000FF"/>
                  <w:w w:val="97"/>
                </w:rPr>
                <w:t>reference to Exhibit 10.05 to Form 10-K for the year ended December 31, 2018, File Nos. 001-37976 and 001-07850.</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10.05*</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80" w:type="dxa"/>
            <w:vAlign w:val="bottom"/>
            <w:gridSpan w:val="37"/>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Southwest Gas Corporation 1986 Executive Deferral Plan, amended and restated August 3, 2020. Incorporated herein by</w:t>
              </w:r>
            </w:hyperlink>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0" w:type="dxa"/>
            <w:vAlign w:val="bottom"/>
            <w:tcBorders>
              <w:top w:val="single" w:sz="8" w:color="0000FF"/>
            </w:tcBorders>
            <w:gridSpan w:val="28"/>
          </w:tcPr>
          <w:p>
            <w:pPr>
              <w:spacing w:after="0"/>
              <w:rPr>
                <w:rFonts w:ascii="Arial" w:cs="Arial" w:eastAsia="Arial" w:hAnsi="Arial"/>
                <w:sz w:val="18"/>
                <w:szCs w:val="18"/>
                <w:u w:val="single" w:color="auto"/>
                <w:color w:val="0000FF"/>
                <w:w w:val="93"/>
              </w:rPr>
            </w:pPr>
            <w:hyperlink r:id="rId71">
              <w:r>
                <w:rPr>
                  <w:rFonts w:ascii="Arial" w:cs="Arial" w:eastAsia="Arial" w:hAnsi="Arial"/>
                  <w:sz w:val="18"/>
                  <w:szCs w:val="18"/>
                  <w:u w:val="single" w:color="auto"/>
                  <w:color w:val="0000FF"/>
                  <w:w w:val="93"/>
                </w:rPr>
                <w:t>reference to Exhibit 10.01 to Form 10-Q for the quarter ended September 30, 2020, File Nos. 001-37976 and 001-07850.</w:t>
              </w:r>
            </w:hyperlink>
          </w:p>
        </w:tc>
        <w:tc>
          <w:tcPr>
            <w:tcW w:w="1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00" w:type="dxa"/>
            <w:vAlign w:val="bottom"/>
            <w:gridSpan w:val="6"/>
          </w:tcPr>
          <w:p>
            <w:pPr>
              <w:ind w:left="3080"/>
              <w:spacing w:after="0"/>
              <w:rPr>
                <w:sz w:val="20"/>
                <w:szCs w:val="20"/>
                <w:color w:val="auto"/>
              </w:rPr>
            </w:pPr>
            <w:r>
              <w:rPr>
                <w:rFonts w:ascii="Arial" w:cs="Arial" w:eastAsia="Arial" w:hAnsi="Arial"/>
                <w:sz w:val="18"/>
                <w:szCs w:val="18"/>
                <w:color w:val="auto"/>
                <w:w w:val="99"/>
              </w:rPr>
              <w:t>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20" w:type="dxa"/>
            <w:vAlign w:val="bottom"/>
            <w:gridSpan w:val="33"/>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20" w:type="dxa"/>
            <w:vAlign w:val="bottom"/>
            <w:gridSpan w:val="3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10.06*</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20" w:type="dxa"/>
            <w:vAlign w:val="bottom"/>
            <w:gridSpan w:val="37"/>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Southwest Gas Corporation 2005 Executive Deferral Plan, amended and restated August 3, 2020. Incorporated here by</w:t>
              </w:r>
            </w:hyperlink>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0" w:type="dxa"/>
            <w:vAlign w:val="bottom"/>
            <w:tcBorders>
              <w:top w:val="single" w:sz="8" w:color="0000FF"/>
            </w:tcBorders>
            <w:gridSpan w:val="21"/>
          </w:tcPr>
          <w:p>
            <w:pPr>
              <w:spacing w:after="0"/>
              <w:rPr>
                <w:rFonts w:ascii="Arial" w:cs="Arial" w:eastAsia="Arial" w:hAnsi="Arial"/>
                <w:sz w:val="18"/>
                <w:szCs w:val="18"/>
                <w:u w:val="single" w:color="auto"/>
                <w:color w:val="0000FF"/>
                <w:w w:val="91"/>
              </w:rPr>
            </w:pPr>
            <w:hyperlink r:id="rId74">
              <w:r>
                <w:rPr>
                  <w:rFonts w:ascii="Arial" w:cs="Arial" w:eastAsia="Arial" w:hAnsi="Arial"/>
                  <w:sz w:val="18"/>
                  <w:szCs w:val="18"/>
                  <w:u w:val="single" w:color="auto"/>
                  <w:color w:val="0000FF"/>
                  <w:w w:val="91"/>
                </w:rPr>
                <w:t>reference to Exhibit 10.02 to Form 10-Q for the quarter ended September 30, 2020, File Nos. 001-37976 and 001-07850.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20" w:type="dxa"/>
            <w:vAlign w:val="bottom"/>
            <w:gridSpan w:val="37"/>
          </w:tcPr>
          <w:p>
            <w:pPr>
              <w:spacing w:after="0"/>
              <w:rPr>
                <w:rFonts w:ascii="Arial" w:cs="Arial" w:eastAsia="Arial" w:hAnsi="Arial"/>
                <w:sz w:val="18"/>
                <w:szCs w:val="18"/>
                <w:color w:val="0000FF"/>
                <w:w w:val="94"/>
              </w:rPr>
            </w:pPr>
            <w:hyperlink r:id="rId75">
              <w:r>
                <w:rPr>
                  <w:rFonts w:ascii="Arial" w:cs="Arial" w:eastAsia="Arial" w:hAnsi="Arial"/>
                  <w:sz w:val="18"/>
                  <w:szCs w:val="18"/>
                  <w:color w:val="0000FF"/>
                  <w:w w:val="94"/>
                </w:rPr>
                <w:t>Financing agreement dated as of March 1, 2003 by and between Clark County, Nevada, and Southwest Gas Corporation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8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75">
              <w:r>
                <w:rPr>
                  <w:rFonts w:ascii="Arial" w:cs="Arial" w:eastAsia="Arial" w:hAnsi="Arial"/>
                  <w:sz w:val="18"/>
                  <w:szCs w:val="18"/>
                  <w:color w:val="0000FF"/>
                  <w:w w:val="96"/>
                </w:rPr>
                <w:t>relating to Clark County, Nevada Industrial Development Revenue Bonds Series 2003A, Series 2003B, Series 2003C,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Series 2003D and Series 2003E. Incorporated herein by reference to Exhibit 10 to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gridSpan w:val="30"/>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September 30, 2003,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First Amendment to Financing Agreement by and between Clark County, Nevada, and Southwest Gas Corporation dated</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0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as of July 1, 2005, amending the Financing Agreement dated as of March 1, 2003, with respect to Clark County, Nevada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Industrial Development Revenue Bonds Series 2003A, Series 2003B, Series 2003C, Series 2003D, and Series 2003E.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720" w:type="dxa"/>
            <w:vAlign w:val="bottom"/>
            <w:tcBorders>
              <w:top w:val="single" w:sz="8" w:color="0000FF"/>
            </w:tcBorders>
            <w:gridSpan w:val="17"/>
          </w:tcPr>
          <w:p>
            <w:pPr>
              <w:spacing w:after="0"/>
              <w:rPr>
                <w:rFonts w:ascii="Arial" w:cs="Arial" w:eastAsia="Arial" w:hAnsi="Arial"/>
                <w:sz w:val="18"/>
                <w:szCs w:val="18"/>
                <w:u w:val="single" w:color="auto"/>
                <w:color w:val="0000FF"/>
                <w:w w:val="91"/>
              </w:rPr>
            </w:pPr>
            <w:hyperlink r:id="rId76">
              <w:r>
                <w:rPr>
                  <w:rFonts w:ascii="Arial" w:cs="Arial" w:eastAsia="Arial" w:hAnsi="Arial"/>
                  <w:sz w:val="18"/>
                  <w:szCs w:val="18"/>
                  <w:u w:val="single" w:color="auto"/>
                  <w:color w:val="0000FF"/>
                  <w:w w:val="91"/>
                </w:rPr>
                <w:t>Incorporated herein by reference to Exhibit 10.2 to Form 10-Q for the quarter ended June 30, 2005, File No. 001-07850.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10.09</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20" w:type="dxa"/>
            <w:vAlign w:val="bottom"/>
            <w:gridSpan w:val="37"/>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Financing Agreement between Clark County, Nevada, and Southwest Gas Corporation, dated as of September 1, 2008,</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relating to Clark County, Nevada Industrial Development Revenue Bonds Series 2008A.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gridSpan w:val="28"/>
          </w:tcPr>
          <w:p>
            <w:pPr>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reference to Exhibit 10.03 to Form 10-Q for the quarter ended September 30, 2008, File No. 001-07850.</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ind w:left="20"/>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20" w:type="dxa"/>
            <w:vAlign w:val="bottom"/>
            <w:gridSpan w:val="37"/>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Financing Agreement between Clark County, Nevada and Southwest Gas Corporation, dated December 1, 2009, relating</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tcBorders>
              <w:top w:val="single" w:sz="8" w:color="0000FF"/>
            </w:tcBorders>
            <w:gridSpan w:val="32"/>
          </w:tcPr>
          <w:p>
            <w:pPr>
              <w:spacing w:after="0" w:line="156" w:lineRule="exact"/>
              <w:rPr>
                <w:rFonts w:ascii="Arial" w:cs="Arial" w:eastAsia="Arial" w:hAnsi="Arial"/>
                <w:sz w:val="18"/>
                <w:szCs w:val="18"/>
                <w:color w:val="0000FF"/>
                <w:w w:val="97"/>
              </w:rPr>
            </w:pPr>
            <w:hyperlink r:id="rId78">
              <w:r>
                <w:rPr>
                  <w:rFonts w:ascii="Arial" w:cs="Arial" w:eastAsia="Arial" w:hAnsi="Arial"/>
                  <w:sz w:val="18"/>
                  <w:szCs w:val="18"/>
                  <w:color w:val="0000FF"/>
                  <w:w w:val="97"/>
                </w:rPr>
                <w:t>to Clark County, Nevada Industrial Development Revenue Bonds Series 2009A.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Exhibit 10.21 to Form 10-K for the year ended December 31, 2009, File No.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 xml:space="preserve">Southwest Gas Corporation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400 million Credit Facility. Incorporated herein by reference to Exhibit 10.2 to Form 8-K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date April 10, 2020, File Nos. 001-07850 and 001-37976.</w:t>
              </w:r>
            </w:hyperlink>
          </w:p>
        </w:tc>
        <w:tc>
          <w:tcPr>
            <w:tcW w:w="47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rPr>
            </w:pPr>
            <w:hyperlink r:id="rId80">
              <w:r>
                <w:rPr>
                  <w:rFonts w:ascii="Arial" w:cs="Arial" w:eastAsia="Arial" w:hAnsi="Arial"/>
                  <w:sz w:val="18"/>
                  <w:szCs w:val="18"/>
                  <w:color w:val="0000FF"/>
                </w:rPr>
                <w:t>Southwest Gas Holdings, Inc. 2006 Restricted Stock/Unit Plan, amended and restated as of December 28, 2016.</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Incorporated herein by reference to Exhibit 10.14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37976 and 001-07850.</w:t>
              </w:r>
            </w:hyperlink>
          </w:p>
        </w:tc>
        <w:tc>
          <w:tcPr>
            <w:tcW w:w="7260" w:type="dxa"/>
            <w:vAlign w:val="bottom"/>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Form of Performance Share Award Agreement with Named Executive Officers. Incorporated herein by reference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Exhibit 10.19 to Form 10-K for the year ended December 31, 2016, File No. 001-07850.</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8"/>
              </w:rPr>
            </w:pPr>
            <w:hyperlink r:id="rId82">
              <w:r>
                <w:rPr>
                  <w:rFonts w:ascii="Arial" w:cs="Arial" w:eastAsia="Arial" w:hAnsi="Arial"/>
                  <w:sz w:val="18"/>
                  <w:szCs w:val="18"/>
                  <w:color w:val="0000FF"/>
                  <w:w w:val="98"/>
                </w:rPr>
                <w:t>Form of Restricted Stock Unit Award Agreement with Named Executive Officers. Incorporated herein by reference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Exhibit 10.20 to Form 10-K for the year ended December 31, 2016, File No. 001-07850.</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 xml:space="preserve">Southwest Gas Holdings, Inc. </w:t>
              </w:r>
              <w:r>
                <w:rPr>
                  <w:rFonts w:ascii="Arial" w:cs="Arial" w:eastAsia="Arial" w:hAnsi="Arial"/>
                  <w:sz w:val="18"/>
                  <w:szCs w:val="18"/>
                  <w:u w:val="single" w:color="auto"/>
                  <w:color w:val="0000FF"/>
                  <w:w w:val="96"/>
                </w:rPr>
                <w:t>$</w:t>
              </w:r>
              <w:r>
                <w:rPr>
                  <w:rFonts w:ascii="Arial" w:cs="Arial" w:eastAsia="Arial" w:hAnsi="Arial"/>
                  <w:sz w:val="18"/>
                  <w:szCs w:val="18"/>
                  <w:color w:val="0000FF"/>
                  <w:w w:val="96"/>
                </w:rPr>
                <w:t>100 million Credit Facility. Incorporated herein by reference to Exhibit 10.1 to Form 8-K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dated April 10, 2020, File No. 001-37976.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8"/>
              </w:rPr>
            </w:pPr>
            <w:hyperlink r:id="rId84">
              <w:r>
                <w:rPr>
                  <w:rFonts w:ascii="Arial" w:cs="Arial" w:eastAsia="Arial" w:hAnsi="Arial"/>
                  <w:sz w:val="18"/>
                  <w:szCs w:val="18"/>
                  <w:color w:val="0000FF"/>
                  <w:w w:val="98"/>
                </w:rPr>
                <w:t>Centuri Employment Agreement with Paul Daily, Chief Executive Officer. Incorporated herein by reference to Exhibit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June, 30 2017, File No. 001-07850.</w:t>
              </w:r>
            </w:hyperlink>
          </w:p>
        </w:tc>
        <w:tc>
          <w:tcPr>
            <w:tcW w:w="3280" w:type="dxa"/>
            <w:vAlign w:val="bottom"/>
            <w:tcBorders>
              <w:top w:val="single" w:sz="8" w:color="0000FF"/>
            </w:tcBorders>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Centuri/NPL Executive Deferred Compensation Plan. Incorporated herein by reference to Exhibit 10.02 to Form 10-Q</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for the quarter ended June, 30 2017, File No. 001-07850.</w:t>
              </w:r>
            </w:hyperlink>
          </w:p>
        </w:tc>
        <w:tc>
          <w:tcPr>
            <w:tcW w:w="47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Centuri Long-term Capital Investment Program. Incorporated herein by reference to Exhibit 10.03 to Form 10-Q for the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quarter ended June, 30 2017, File No. 001-07850.</w:t>
              </w:r>
            </w:hyperlink>
          </w:p>
        </w:tc>
        <w:tc>
          <w:tcPr>
            <w:tcW w:w="5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7"/>
              </w:rPr>
            </w:pPr>
            <w:hyperlink r:id="rId87">
              <w:r>
                <w:rPr>
                  <w:rFonts w:ascii="Arial" w:cs="Arial" w:eastAsia="Arial" w:hAnsi="Arial"/>
                  <w:sz w:val="18"/>
                  <w:szCs w:val="18"/>
                  <w:color w:val="0000FF"/>
                  <w:w w:val="97"/>
                </w:rPr>
                <w:t>Centuri Short-term Incentive Program. Incorporated herein by reference to Exhibit 10.01 to Form 10-Q for the quarter</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ended March 31, 2018, File Nos. 001-37976 and 001-07850.</w:t>
              </w:r>
            </w:hyperlink>
          </w:p>
        </w:tc>
        <w:tc>
          <w:tcPr>
            <w:tcW w:w="4580" w:type="dxa"/>
            <w:vAlign w:val="bottom"/>
            <w:tcBorders>
              <w:top w:val="single" w:sz="8" w:color="0000FF"/>
            </w:tcBorders>
            <w:gridSpan w:val="20"/>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8"/>
              </w:rPr>
            </w:pPr>
            <w:hyperlink r:id="rId88">
              <w:r>
                <w:rPr>
                  <w:rFonts w:ascii="Arial" w:cs="Arial" w:eastAsia="Arial" w:hAnsi="Arial"/>
                  <w:sz w:val="18"/>
                  <w:szCs w:val="18"/>
                  <w:color w:val="0000FF"/>
                  <w:w w:val="98"/>
                </w:rPr>
                <w:t>Southwest Gas Holdings, Inc. Omnibus Incentive Plan. Incorporated herein by reference to Appendix B to the Proxy</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Statement dated March 27, 2017, File No. 001-37976.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00" w:type="dxa"/>
            <w:vAlign w:val="bottom"/>
            <w:gridSpan w:val="6"/>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8"/>
              </w:rPr>
            </w:pPr>
            <w:hyperlink r:id="rId89">
              <w:r>
                <w:rPr>
                  <w:rFonts w:ascii="Arial" w:cs="Arial" w:eastAsia="Arial" w:hAnsi="Arial"/>
                  <w:sz w:val="18"/>
                  <w:szCs w:val="18"/>
                  <w:color w:val="0000FF"/>
                  <w:w w:val="98"/>
                </w:rPr>
                <w:t>Form of Change in Control Agreement with Officers. Incorporated herein by reference to Exhibit 10.24 to Form 10-K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for the year ended December 31, 2017, File Nos. 001-37976 and 001-07850.</w:t>
              </w:r>
            </w:hyperlink>
          </w:p>
        </w:tc>
        <w:tc>
          <w:tcPr>
            <w:tcW w:w="80" w:type="dxa"/>
            <w:vAlign w:val="bottom"/>
            <w:gridSpan w:val="4"/>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0" w:type="dxa"/>
            <w:vAlign w:val="bottom"/>
            <w:gridSpan w:val="10"/>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7"/>
              </w:rPr>
            </w:pPr>
            <w:hyperlink r:id="rId90">
              <w:r>
                <w:rPr>
                  <w:rFonts w:ascii="Arial" w:cs="Arial" w:eastAsia="Arial" w:hAnsi="Arial"/>
                  <w:sz w:val="18"/>
                  <w:szCs w:val="18"/>
                  <w:color w:val="0000FF"/>
                  <w:w w:val="97"/>
                </w:rPr>
                <w:t xml:space="preserve">Centuri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450 million Credit Facility Agreement. Incorporated herein by reference to Exhibit 10.25 to Form 10-K for the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year ended December 31, 2017, File Nos. 001-37976 and 001-07850.</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0" w:type="dxa"/>
            <w:vAlign w:val="bottom"/>
            <w:gridSpan w:val="10"/>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1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Form of Centuri Construction Group, Inc. Short-term Incentive Program. Incorporated herein by reference to Exhibit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01</w:t>
              </w:r>
              <w:r>
                <w:rPr>
                  <w:rFonts w:ascii="Arial" w:cs="Arial" w:eastAsia="Arial" w:hAnsi="Arial"/>
                  <w:sz w:val="18"/>
                  <w:szCs w:val="18"/>
                  <w:color w:val="0000FF"/>
                </w:rPr>
                <w:t xml:space="preserve"> to Form 10-Q for the quarter ended March, 31 2018, File Nos. 001-37976 and 001-07850.</w:t>
              </w:r>
            </w:hyperlink>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tcBorders>
              <w:top w:val="single" w:sz="8" w:color="0000FF"/>
            </w:tcBorders>
            <w:gridSpan w:val="4"/>
          </w:tcPr>
          <w:p>
            <w:pPr>
              <w:ind w:left="308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80" w:type="dxa"/>
            <w:vAlign w:val="bottom"/>
            <w:gridSpan w:val="18"/>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40" w:type="dxa"/>
            <w:vAlign w:val="bottom"/>
            <w:gridSpan w:val="3"/>
          </w:tcPr>
          <w:p>
            <w:pPr>
              <w:jc w:val="center"/>
              <w:ind w:right="680"/>
              <w:spacing w:after="0" w:line="175" w:lineRule="exact"/>
              <w:rPr>
                <w:sz w:val="20"/>
                <w:szCs w:val="20"/>
                <w:color w:val="auto"/>
              </w:rPr>
            </w:pPr>
            <w:r>
              <w:rPr>
                <w:rFonts w:ascii="Arial" w:cs="Arial" w:eastAsia="Arial" w:hAnsi="Arial"/>
                <w:sz w:val="16"/>
                <w:szCs w:val="16"/>
                <w:b w:val="1"/>
                <w:bCs w:val="1"/>
                <w:color w:val="auto"/>
                <w:w w:val="92"/>
              </w:rPr>
              <w:t>Number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8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80" w:type="dxa"/>
            <w:vAlign w:val="bottom"/>
            <w:gridSpan w:val="25"/>
          </w:tcPr>
          <w:p>
            <w:pPr>
              <w:spacing w:after="0"/>
              <w:rPr>
                <w:rFonts w:ascii="Arial" w:cs="Arial" w:eastAsia="Arial" w:hAnsi="Arial"/>
                <w:sz w:val="18"/>
                <w:szCs w:val="18"/>
                <w:color w:val="0000FF"/>
                <w:w w:val="98"/>
              </w:rPr>
            </w:pPr>
            <w:hyperlink r:id="rId93">
              <w:r>
                <w:rPr>
                  <w:rFonts w:ascii="Arial" w:cs="Arial" w:eastAsia="Arial" w:hAnsi="Arial"/>
                  <w:sz w:val="18"/>
                  <w:szCs w:val="18"/>
                  <w:color w:val="0000FF"/>
                  <w:w w:val="98"/>
                </w:rPr>
                <w:t>Form of Centuri Construction Group, Inc. Executive Long-Term Incentive Plan. Incorporated herein by reference to</w:t>
              </w:r>
            </w:hyperlink>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Exhibit 10.02 to Form 10-Q for the quarter ended March, 31 2018, File Nos. 001-37976 and 001-07850.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80" w:type="dxa"/>
            <w:vAlign w:val="bottom"/>
            <w:gridSpan w:val="25"/>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Southwest Gas Corporation Board of Directors Retirement Plan, amended and restated effective December 28, 2016.</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Incorporated herein by reference to Exhibit 10.28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tcBorders>
              <w:bottom w:val="single" w:sz="8" w:color="0000FF"/>
            </w:tcBorders>
            <w:gridSpan w:val="5"/>
          </w:tcPr>
          <w:p>
            <w:pPr>
              <w:spacing w:after="0" w:line="15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37976 and 001-07850.</w:t>
              </w:r>
            </w:hyperlink>
          </w:p>
        </w:tc>
        <w:tc>
          <w:tcPr>
            <w:tcW w:w="720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Southwest Gas Corporation Directors Deferral Plan, amended and restated November 14, 2018. Incorporated herein by</w:t>
              </w:r>
            </w:hyperlink>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20" w:type="dxa"/>
            <w:vAlign w:val="bottom"/>
            <w:tcBorders>
              <w:top w:val="single" w:sz="8" w:color="0000FF"/>
            </w:tcBorders>
            <w:gridSpan w:val="17"/>
          </w:tcPr>
          <w:p>
            <w:pPr>
              <w:spacing w:after="0"/>
              <w:rPr>
                <w:rFonts w:ascii="Arial" w:cs="Arial" w:eastAsia="Arial" w:hAnsi="Arial"/>
                <w:sz w:val="18"/>
                <w:szCs w:val="18"/>
                <w:u w:val="single" w:color="auto"/>
                <w:color w:val="0000FF"/>
                <w:w w:val="94"/>
              </w:rPr>
            </w:pPr>
            <w:hyperlink r:id="rId95">
              <w:r>
                <w:rPr>
                  <w:rFonts w:ascii="Arial" w:cs="Arial" w:eastAsia="Arial" w:hAnsi="Arial"/>
                  <w:sz w:val="18"/>
                  <w:szCs w:val="18"/>
                  <w:u w:val="single" w:color="auto"/>
                  <w:color w:val="0000FF"/>
                  <w:w w:val="94"/>
                </w:rPr>
                <w:t>reference to Exhibit 10.29 to Form 10-K for the year ended December 31, 2018, File Nos. 001-37976 and 001-07850.</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80" w:type="dxa"/>
            <w:vAlign w:val="bottom"/>
            <w:gridSpan w:val="25"/>
          </w:tcPr>
          <w:p>
            <w:pPr>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First Amendment to Centuri and subsidiaries Credit Facility Agreement, the other credit parties referred to therein, and</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Wells Fargo Bank. Incorporated herein by reference to Exhibit 10.30 to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12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2018, File Nos. 001-37976 and 001-07850.</w:t>
              </w:r>
            </w:hyperlink>
          </w:p>
        </w:tc>
        <w:tc>
          <w:tcPr>
            <w:tcW w:w="574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Amendment to the Centuri Group, Inc. Executive Long-Term Incentive Plan. Incorporated herein by reference to Exhibit</w:t>
              </w:r>
            </w:hyperlink>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March 31, 2019, File Nos. 001-37976 and 001-07850.</w:t>
              </w:r>
            </w:hyperlink>
          </w:p>
        </w:tc>
        <w:tc>
          <w:tcPr>
            <w:tcW w:w="18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Amendment to the Centuri Group, Inc. Long-Term Capital Investment Plan. Incorporated herein by reference to Exhibit</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10.</w:t>
              </w:r>
              <w:r>
                <w:rPr>
                  <w:rFonts w:ascii="Arial" w:cs="Arial" w:eastAsia="Arial" w:hAnsi="Arial"/>
                  <w:sz w:val="18"/>
                  <w:szCs w:val="18"/>
                  <w:u w:val="single" w:color="auto"/>
                  <w:color w:val="0000FF"/>
                </w:rPr>
                <w:t>02</w:t>
              </w:r>
              <w:r>
                <w:rPr>
                  <w:rFonts w:ascii="Arial" w:cs="Arial" w:eastAsia="Arial" w:hAnsi="Arial"/>
                  <w:sz w:val="18"/>
                  <w:szCs w:val="18"/>
                  <w:color w:val="0000FF"/>
                </w:rPr>
                <w:t xml:space="preserve"> to form 10-Q for the quarter ended March 31, 2019, File Nos. 001-37976 and 1-7850.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Form of Paul Daily Award Agreement under the Centuri Group, Inc. Executive Long-Term Incentive Plan. Incorporated</w:t>
              </w:r>
            </w:hyperlink>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960" w:type="dxa"/>
            <w:vAlign w:val="bottom"/>
            <w:tcBorders>
              <w:top w:val="single" w:sz="8" w:color="0000FF"/>
            </w:tcBorders>
            <w:gridSpan w:val="24"/>
          </w:tcPr>
          <w:p>
            <w:pPr>
              <w:spacing w:after="0" w:line="142" w:lineRule="exact"/>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herein by reference to Exhibit 10.03 to form 10-Q for the quarter ended March 31, 2019, File Nos. 001-37976 and 001-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Borders>
              <w:bottom w:val="single" w:sz="8" w:color="0000FF"/>
            </w:tcBorders>
            <w:gridSpan w:val="3"/>
          </w:tcPr>
          <w:p>
            <w:pPr>
              <w:spacing w:after="0" w:line="189" w:lineRule="exact"/>
              <w:rPr>
                <w:rFonts w:ascii="Arial" w:cs="Arial" w:eastAsia="Arial" w:hAnsi="Arial"/>
                <w:sz w:val="18"/>
                <w:szCs w:val="18"/>
                <w:color w:val="0000FF"/>
                <w:w w:val="87"/>
              </w:rPr>
            </w:pPr>
            <w:hyperlink r:id="rId99">
              <w:r>
                <w:rPr>
                  <w:rFonts w:ascii="Arial" w:cs="Arial" w:eastAsia="Arial" w:hAnsi="Arial"/>
                  <w:sz w:val="18"/>
                  <w:szCs w:val="18"/>
                  <w:color w:val="0000FF"/>
                  <w:w w:val="87"/>
                </w:rPr>
                <w:t>07850.</w:t>
              </w:r>
            </w:hyperlink>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Amendment to the Centuri Group, Inc. Executive Deferred Compensation Plan. Incorporated herein by reference to</w:t>
              </w:r>
            </w:hyperlink>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2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Exhibit 10.01 to Form 10-Q for the quarter ended March 31, 2020, File Nos. 001-37976 and 001-07850.</w:t>
              </w:r>
            </w:hyperlink>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80" w:type="dxa"/>
            <w:vAlign w:val="bottom"/>
            <w:gridSpan w:val="25"/>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Southwest Gas Corporation Employees’ Investment Plan. Incorporated herein by reference to Exhibit 4.1 to Form S-8</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dated December 16, 2016, File No. 333-215145.</w:t>
              </w:r>
            </w:hyperlink>
          </w:p>
        </w:tc>
        <w:tc>
          <w:tcPr>
            <w:tcW w:w="53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13.01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Portions of Southwest Gas Holdings, Inc. 2020 Annual Report to Stockholders incorporated by reference to the Form</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10-K.</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21.01</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List of subsidiaries - Southwest Gas Holdings, Inc.</w:t>
              </w:r>
            </w:hyperlink>
          </w:p>
        </w:tc>
        <w:tc>
          <w:tcPr>
            <w:tcW w:w="0" w:type="dxa"/>
            <w:vAlign w:val="bottom"/>
          </w:tcPr>
          <w:p>
            <w:pPr>
              <w:spacing w:after="0"/>
              <w:rPr>
                <w:sz w:val="1"/>
                <w:szCs w:val="1"/>
                <w:color w:val="auto"/>
              </w:rPr>
            </w:pP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rPr>
              <w:t>23.01</w:t>
            </w: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980" w:type="dxa"/>
            <w:vAlign w:val="bottom"/>
            <w:gridSpan w:val="25"/>
          </w:tcPr>
          <w:p>
            <w:pPr>
              <w:spacing w:after="0"/>
              <w:rPr>
                <w:rFonts w:ascii="Arial" w:cs="Arial" w:eastAsia="Arial" w:hAnsi="Arial"/>
                <w:sz w:val="18"/>
                <w:szCs w:val="18"/>
                <w:color w:val="0000FF"/>
                <w:w w:val="94"/>
              </w:rPr>
            </w:pPr>
            <w:hyperlink w:anchor="page116">
              <w:r>
                <w:rPr>
                  <w:rFonts w:ascii="Arial" w:cs="Arial" w:eastAsia="Arial" w:hAnsi="Arial"/>
                  <w:sz w:val="18"/>
                  <w:szCs w:val="18"/>
                  <w:color w:val="0000FF"/>
                  <w:w w:val="94"/>
                </w:rPr>
                <w:t>Consent of PricewaterhouseCoopers LLP, an independent registered public accounting firm - Southwest Gas Holdings,</w:t>
              </w:r>
            </w:hyperlink>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Inc.</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23.02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80" w:type="dxa"/>
            <w:vAlign w:val="bottom"/>
            <w:gridSpan w:val="25"/>
          </w:tcPr>
          <w:p>
            <w:pPr>
              <w:spacing w:after="0"/>
              <w:rPr>
                <w:rFonts w:ascii="Arial" w:cs="Arial" w:eastAsia="Arial" w:hAnsi="Arial"/>
                <w:sz w:val="18"/>
                <w:szCs w:val="18"/>
                <w:color w:val="0000FF"/>
                <w:w w:val="96"/>
              </w:rPr>
            </w:pPr>
            <w:hyperlink w:anchor="page117">
              <w:r>
                <w:rPr>
                  <w:rFonts w:ascii="Arial" w:cs="Arial" w:eastAsia="Arial" w:hAnsi="Arial"/>
                  <w:sz w:val="18"/>
                  <w:szCs w:val="18"/>
                  <w:color w:val="0000FF"/>
                  <w:w w:val="96"/>
                </w:rPr>
                <w:t>Consent  of  PricewaterhouseCoopers  LLP,  an  independent  registered  public  accounting  firm  -  Southwest  Gas</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17">
              <w:r>
                <w:rPr>
                  <w:rFonts w:ascii="Arial" w:cs="Arial" w:eastAsia="Arial" w:hAnsi="Arial"/>
                  <w:sz w:val="18"/>
                  <w:szCs w:val="18"/>
                  <w:color w:val="0000FF"/>
                </w:rPr>
                <w:t>Corporation.</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0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31.01</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Section 302 Certifications–Southwest Gas Holdings, Inc.</w:t>
              </w:r>
            </w:hyperlink>
          </w:p>
        </w:tc>
        <w:tc>
          <w:tcPr>
            <w:tcW w:w="0" w:type="dxa"/>
            <w:vAlign w:val="bottom"/>
          </w:tcPr>
          <w:p>
            <w:pPr>
              <w:spacing w:after="0"/>
              <w:rPr>
                <w:sz w:val="1"/>
                <w:szCs w:val="1"/>
                <w:color w:val="auto"/>
              </w:rPr>
            </w:pP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31.02</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Section 302 Certifications–Southwest Gas Corporation.</w:t>
              </w:r>
            </w:hyperlink>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32.01</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Section 906 Certifications–Southwest Gas Holdings, Inc.</w:t>
              </w:r>
            </w:hyperlink>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32.02</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Section 906 Certifications–Southwest Gas Corporation.</w:t>
              </w:r>
            </w:hyperlink>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980" w:type="dxa"/>
            <w:vAlign w:val="bottom"/>
            <w:gridSpan w:val="25"/>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980" w:type="dxa"/>
            <w:vAlign w:val="bottom"/>
            <w:gridSpan w:val="25"/>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83"/>
        </w:trPr>
        <w:tc>
          <w:tcPr>
            <w:tcW w:w="2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980" w:type="dxa"/>
            <w:vAlign w:val="bottom"/>
            <w:gridSpan w:val="25"/>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84"/>
        </w:trPr>
        <w:tc>
          <w:tcPr>
            <w:tcW w:w="2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980" w:type="dxa"/>
            <w:vAlign w:val="bottom"/>
            <w:gridSpan w:val="25"/>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83"/>
        </w:trPr>
        <w:tc>
          <w:tcPr>
            <w:tcW w:w="24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980" w:type="dxa"/>
            <w:vAlign w:val="bottom"/>
            <w:gridSpan w:val="25"/>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83"/>
        </w:trPr>
        <w:tc>
          <w:tcPr>
            <w:tcW w:w="24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980" w:type="dxa"/>
            <w:vAlign w:val="bottom"/>
            <w:gridSpan w:val="25"/>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84"/>
        </w:trPr>
        <w:tc>
          <w:tcPr>
            <w:tcW w:w="2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980" w:type="dxa"/>
            <w:vAlign w:val="bottom"/>
            <w:gridSpan w:val="25"/>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80" w:type="dxa"/>
            <w:vAlign w:val="bottom"/>
            <w:gridSpan w:val="2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009"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Date: February 25, 2021</w:t>
            </w:r>
          </w:p>
        </w:tc>
        <w:tc>
          <w:tcPr>
            <w:tcW w:w="3000" w:type="dxa"/>
            <w:vAlign w:val="bottom"/>
          </w:tcPr>
          <w:p>
            <w:pPr>
              <w:ind w:left="24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r>
      <w:tr>
        <w:trPr>
          <w:trHeight w:val="224"/>
        </w:trPr>
        <w:tc>
          <w:tcPr>
            <w:tcW w:w="41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John P. Hester</w:t>
            </w:r>
          </w:p>
        </w:tc>
      </w:tr>
    </w:tbl>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 BOUGHNER</w:t>
            </w:r>
          </w:p>
        </w:tc>
        <w:tc>
          <w:tcPr>
            <w:tcW w:w="340" w:type="dxa"/>
            <w:vAlign w:val="bottom"/>
          </w:tcPr>
          <w:p>
            <w:pPr>
              <w:spacing w:after="0"/>
              <w:rPr>
                <w:sz w:val="23"/>
                <w:szCs w:val="23"/>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(Robert L. Boughner)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JOSÉ A. CÁRDENAS</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7"/>
              </w:rPr>
              <w:t>(José A. Cárdenas)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C. COMER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9"/>
              </w:rPr>
              <w:t>(Stephen C. Comer)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Director, President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LEWIS-RAYMOND</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L. MARIUCCI</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5"/>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MELARKEY</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Chairman of the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40" w:type="dxa"/>
            <w:vAlign w:val="bottom"/>
          </w:tcPr>
          <w:p>
            <w:pPr>
              <w:spacing w:after="0"/>
              <w:rPr>
                <w:sz w:val="19"/>
                <w:szCs w:val="19"/>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of Directors</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RANDALL THOMAN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(A. Randall Thoman)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A. THOMAS</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1"/>
              </w:rPr>
              <w:t>(Thomas A. Thomas)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T. THORNTON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PETERSON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360" w:type="dxa"/>
            <w:vAlign w:val="bottom"/>
          </w:tcPr>
          <w:p>
            <w:pPr>
              <w:spacing w:after="0"/>
              <w:rPr>
                <w:sz w:val="20"/>
                <w:szCs w:val="20"/>
                <w:color w:val="auto"/>
              </w:rPr>
            </w:pPr>
            <w:r>
              <w:rPr>
                <w:rFonts w:ascii="Arial" w:cs="Arial" w:eastAsia="Arial" w:hAnsi="Arial"/>
                <w:sz w:val="18"/>
                <w:szCs w:val="18"/>
                <w:color w:val="auto"/>
              </w:rPr>
              <w:t>Date: February 25, 2021</w:t>
            </w:r>
          </w:p>
        </w:tc>
        <w:tc>
          <w:tcPr>
            <w:tcW w:w="3180" w:type="dxa"/>
            <w:vAlign w:val="bottom"/>
          </w:tcPr>
          <w:p>
            <w:pPr>
              <w:ind w:left="25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r>
      <w:tr>
        <w:trPr>
          <w:trHeight w:val="224"/>
        </w:trPr>
        <w:tc>
          <w:tcPr>
            <w:tcW w:w="4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John P. Hester</w:t>
            </w:r>
          </w:p>
        </w:tc>
      </w:tr>
    </w:tbl>
    <w:p>
      <w:pPr>
        <w:ind w:left="69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Director, President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MELARKEY</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S. HALLER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Director, Executive Vice President/Chief Legal</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40" w:type="dxa"/>
            <w:vAlign w:val="bottom"/>
          </w:tcPr>
          <w:p>
            <w:pPr>
              <w:spacing w:after="0"/>
              <w:rPr>
                <w:sz w:val="19"/>
                <w:szCs w:val="19"/>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and Administrative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PETERSON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Director, 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891"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Exhibit 13.01</w:t>
            </w:r>
          </w:p>
        </w:tc>
        <w:tc>
          <w:tcPr>
            <w:tcW w:w="0" w:type="dxa"/>
            <w:vAlign w:val="bottom"/>
          </w:tcPr>
          <w:p>
            <w:pPr>
              <w:spacing w:after="0"/>
              <w:rPr>
                <w:sz w:val="1"/>
                <w:szCs w:val="1"/>
                <w:color w:val="auto"/>
              </w:rPr>
            </w:pPr>
          </w:p>
        </w:tc>
      </w:tr>
      <w:tr>
        <w:trPr>
          <w:trHeight w:val="316"/>
        </w:trPr>
        <w:tc>
          <w:tcPr>
            <w:tcW w:w="3900" w:type="dxa"/>
            <w:vAlign w:val="bottom"/>
          </w:tcPr>
          <w:p>
            <w:pPr>
              <w:spacing w:after="0"/>
              <w:rPr>
                <w:sz w:val="20"/>
                <w:szCs w:val="20"/>
                <w:color w:val="auto"/>
              </w:rPr>
            </w:pPr>
            <w:r>
              <w:rPr>
                <w:rFonts w:ascii="Arial" w:cs="Arial" w:eastAsia="Arial" w:hAnsi="Arial"/>
                <w:sz w:val="18"/>
                <w:szCs w:val="18"/>
                <w:color w:val="auto"/>
              </w:rPr>
              <w:t>Consolidated Selected Financial Data</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 except per share amounts)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3,298,873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3,119,917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2,880,013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2,548,792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2,460,490</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 (1)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2,875,869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2,748,106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2,522,580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2,205,668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2,145,016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423,004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357,433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343,124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315,474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60"/>
              <w:spacing w:after="0" w:line="163" w:lineRule="exact"/>
              <w:rPr>
                <w:sz w:val="20"/>
                <w:szCs w:val="20"/>
                <w:color w:val="auto"/>
              </w:rPr>
            </w:pPr>
            <w:r>
              <w:rPr>
                <w:rFonts w:ascii="Arial" w:cs="Arial" w:eastAsia="Arial" w:hAnsi="Arial"/>
                <w:sz w:val="18"/>
                <w:szCs w:val="18"/>
                <w:color w:val="auto"/>
              </w:rPr>
              <w:t>Net income attributable to Southwest Gas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00" w:type="dxa"/>
            <w:vAlign w:val="bottom"/>
            <w:vMerge w:val="continue"/>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232,324</w:t>
            </w:r>
          </w:p>
        </w:tc>
        <w:tc>
          <w:tcPr>
            <w:tcW w:w="100" w:type="dxa"/>
            <w:vAlign w:val="bottom"/>
          </w:tcPr>
          <w:p>
            <w:pPr>
              <w:spacing w:after="0"/>
              <w:rPr>
                <w:sz w:val="10"/>
                <w:szCs w:val="10"/>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213,936</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182,277</w:t>
            </w:r>
          </w:p>
        </w:tc>
        <w:tc>
          <w:tcPr>
            <w:tcW w:w="12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193,841</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152,041</w:t>
            </w:r>
          </w:p>
        </w:tc>
        <w:tc>
          <w:tcPr>
            <w:tcW w:w="0" w:type="dxa"/>
            <w:vAlign w:val="bottom"/>
          </w:tcPr>
          <w:p>
            <w:pPr>
              <w:spacing w:after="0"/>
              <w:rPr>
                <w:sz w:val="1"/>
                <w:szCs w:val="1"/>
                <w:color w:val="auto"/>
              </w:rPr>
            </w:pPr>
          </w:p>
        </w:tc>
      </w:tr>
      <w:tr>
        <w:trPr>
          <w:trHeight w:val="208"/>
        </w:trPr>
        <w:tc>
          <w:tcPr>
            <w:tcW w:w="3900" w:type="dxa"/>
            <w:vAlign w:val="bottom"/>
          </w:tcPr>
          <w:p>
            <w:pPr>
              <w:ind w:left="140"/>
              <w:spacing w:after="0" w:line="202" w:lineRule="exact"/>
              <w:rPr>
                <w:sz w:val="20"/>
                <w:szCs w:val="20"/>
                <w:color w:val="auto"/>
              </w:rPr>
            </w:pPr>
            <w:r>
              <w:rPr>
                <w:rFonts w:ascii="Arial" w:cs="Arial" w:eastAsia="Arial" w:hAnsi="Arial"/>
                <w:sz w:val="18"/>
                <w:szCs w:val="18"/>
                <w:color w:val="auto"/>
              </w:rPr>
              <w:t>Holdings, Inc.</w:t>
            </w:r>
          </w:p>
        </w:tc>
        <w:tc>
          <w:tcPr>
            <w:tcW w:w="2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8,735,853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8,170,048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7,357,729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6,237,066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Capitalization: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2,674,953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2,505,914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2,251,590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1,812,403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1,661,273</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165,716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84,542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81,831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2,732,200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2,300,482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2,107,258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1,798,576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1,549,983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5,572,869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4,890,938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4,440,679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3,610,979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3,233,846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Common stock data: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equity percentage of capitalization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Return on average common equity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Payout ratio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Book value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Market value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value to book value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shares outstanding (000)</w:t>
            </w:r>
          </w:p>
        </w:tc>
        <w:tc>
          <w:tcPr>
            <w:tcW w:w="2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57,193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55,007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48,090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47,482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Number of common stockholders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13,619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hanging="10"/>
        <w:spacing w:after="0" w:line="272" w:lineRule="auto"/>
        <w:tabs>
          <w:tab w:leader="none" w:pos="666"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Periods prior to 2018 depict revised Operating expenses and Operating income for the reclassification of non-service cost components of net periodic benefit costs in both the Company’s and Southwest’s Consolidated Statements of Income due to the adoption of ASU 2017-07. Net income overall was not impacted.</w:t>
      </w:r>
    </w:p>
    <w:p>
      <w:pPr>
        <w:spacing w:after="0" w:line="1" w:lineRule="exact"/>
        <w:rPr>
          <w:rFonts w:ascii="Arial" w:cs="Arial" w:eastAsia="Arial" w:hAnsi="Arial"/>
          <w:sz w:val="15"/>
          <w:szCs w:val="15"/>
          <w:color w:val="auto"/>
        </w:rPr>
      </w:pPr>
    </w:p>
    <w:p>
      <w:pPr>
        <w:ind w:left="180" w:hanging="10"/>
        <w:spacing w:after="0" w:line="257"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 2019, the Company adopted FASB Topic 842 resulting in the addition of right-of-use (“ROU”) assets in the Company’s Consolidated Balance Sheet. Refer to </w:t>
      </w:r>
      <w:r>
        <w:rPr>
          <w:rFonts w:ascii="Arial" w:cs="Arial" w:eastAsia="Arial" w:hAnsi="Arial"/>
          <w:sz w:val="16"/>
          <w:szCs w:val="16"/>
          <w:b w:val="1"/>
          <w:bCs w:val="1"/>
          <w:color w:val="auto"/>
        </w:rPr>
        <w:t xml:space="preserve">Note 2 - Utility Plant and Leases </w:t>
      </w:r>
      <w:r>
        <w:rPr>
          <w:rFonts w:ascii="Arial" w:cs="Arial" w:eastAsia="Arial" w:hAnsi="Arial"/>
          <w:sz w:val="16"/>
          <w:szCs w:val="16"/>
          <w:color w:val="auto"/>
        </w:rPr>
        <w:t>in the notes to the consolidated financial statements in this Annual Report to Stockholders.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1,368,939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1,321,412</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397,121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924,291</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and maintenance (1)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381,964</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233,463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Operating income (1)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256,488</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to consolidated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7,256,636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6,798,746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6,141,584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5,482,669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5,001,756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utility plant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4,131,971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Construction expenditures and property additions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692,216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778,748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682,869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560,448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457,120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 net from:</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424,061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367,794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382,502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309,216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507,224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(63,339)</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throughput (thousands of therms):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684,626</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Small commercial</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297,677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294,525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Large commercial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90,949</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Industrial/Other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970,561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throughput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2,221,515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2,301,477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2,183,205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2,070,936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cost of gas purchased ($/therm)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Customers at year end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1,984,000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at year end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Customer to employee ratio</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Degree days – actual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Degree days – ten-year average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80" w:hanging="10"/>
        <w:spacing w:after="0" w:line="310" w:lineRule="auto"/>
        <w:tabs>
          <w:tab w:leader="none" w:pos="606"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Periods prior to 2018 depict revised Operations and maintenance expense and Operating income for the reclassification of non-service cost components of net periodic benefit costs in Southwest’s Consolidated Statements of Income due to the adoption of ASU 2017-07. Net income overall was not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Southwest had 2,123,000 residential, commercial, industrial, and other natural gas customers, of which 1,132,000 customers were located in Arizona, 790,000 in Nevada, and 201,000 in California. First-time meter sets were approximately 37,000 in 2020 compared to 35,000 in 2019. The remaining increase in active customer accounts compared to the December 31, 2019 total of 2,081,000 was primarily due to a management-initiated moratorium on disconnections as a result of the COVID-19 pandemic. As utility service is an essential service to the residents in the states in which Southwest operates, it implemented the moratorium in March 2020 and also ceased charging late fees until further notice. The duration of our moratorium is currently uncertain. Residential and commercial customers represented over 99% of the total customer base. During 2020, 52% of operating margin (gas operating revenues less the net cost of gas sold) was earned in Arizona, 36% in Nevada, and 12%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continuing COVID-19 environment could impact these statistics and associated patterns in the short term.</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such as with the recently concluded Arizona general rate case, whereby hearings were deferred amidst the current pandemic, resulting in both a decision and new rate establishment occurring later than originally expected. Refer to the Summary Operating Results table for a reconciliation of revenues to operating margin, and </w:t>
      </w:r>
      <w:r>
        <w:rPr>
          <w:rFonts w:ascii="Arial" w:cs="Arial" w:eastAsia="Arial" w:hAnsi="Arial"/>
          <w:sz w:val="17"/>
          <w:szCs w:val="17"/>
          <w:i w:val="1"/>
          <w:iCs w:val="1"/>
          <w:color w:val="auto"/>
        </w:rPr>
        <w:t>Rates and Regulatory Proceedings</w:t>
      </w:r>
      <w:r>
        <w:rPr>
          <w:rFonts w:ascii="Arial" w:cs="Arial" w:eastAsia="Arial" w:hAnsi="Arial"/>
          <w:sz w:val="17"/>
          <w:szCs w:val="17"/>
          <w:color w:val="auto"/>
        </w:rPr>
        <w:t xml:space="preserve"> in this Management’s Discussion and Analysis, for details of various rate proceedings.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55 primary locations across 40 states and provinces in the United States (“U.S.”) and Canada. Centuri operates in the U.S. primarily as NPL, Neuco, and Linetec, and in Canada, primarily as NPL Canada.</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programs throughout the U.S. Generally, Centuri revenues are lowest during the first quarter of the year due to less favorable winter weather working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In certain circumstances, such as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categorized the novel coronavirus (“COVID-19”) as a pandemic, and it was declared a national emergency in the U.S. The outbreak resulted in government officials implementing stringent measures to help control the spread of the virus, including quarantines, “shelter in place” and “stay at home” orders, travel restrictions, business curtailments, school closures, and other measures. In addition, governments and central banks in several parts of the world enacted fiscal and monetary stimulus measures to mitigate financial impacts of COVID-19 on individuals and businesses.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utility operations, as essential services, have been ongoing during this time and Southwest continues to provide services to meet the demand of its customers. Consistent with federal and state guidelines and protocols, Southwest has continued to operate across its territories. Similarly, the majority of Centuri’s largest clients issued essential service letters to Centuri businesses in keeping with the federal definition of “essential” set out by the Department of Homeland Security. This allowed Centuri to similarly continue nearly all operations from the outset of the pandemic in the U.S., and demand has not significantly diminished. For the duration of the pandemic, the ability to work may be impacted by individuals contracting or being exposed to COVID-19, governmental requirements to postpone certain non-essential services in some of the Company’s jurisdictions, or by management-imposed restrictions for safety precautions; to date, these factors have not had a significant impact on the Company’s ability to maintain operations. Employees at many offices (including corporate headquarters) continue to work from home on a temporary basis and travel restrictions largely continue. Both segments initially implemented business continuity plans, including the deployment of technology to conduct administrative and critical functions remotely, where possible, and employees and management teams have effectively communicated and responded quickly to changes. To date, there has not been a significant disruption in the Company’s supply chains, transportation network, or ability to serve customers.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an essential service provider, Southwest implemented several important measures with regard to its customers. As noted above, it initiated a moratorium on natural gas disconnections for non-payment; it is working with customers who are experiencing financial hardship through flexible payment arrangements; it is coordinating with certain governmental and nonprofit entities for customer payment assistance; and it also ceased charging late fees until further notice. Management has increased the allowance for uncollectibles; however, neither this nor other measures associated with the moratorium have had a material impact on our financial position overall. See </w:t>
      </w:r>
      <w:r>
        <w:rPr>
          <w:rFonts w:ascii="Arial" w:cs="Arial" w:eastAsia="Arial" w:hAnsi="Arial"/>
          <w:sz w:val="17"/>
          <w:szCs w:val="17"/>
          <w:b w:val="1"/>
          <w:bCs w:val="1"/>
          <w:color w:val="auto"/>
        </w:rPr>
        <w:t>Note 4 - Receivables and Related Allowances</w:t>
      </w:r>
      <w:r>
        <w:rPr>
          <w:rFonts w:ascii="Arial" w:cs="Arial" w:eastAsia="Arial" w:hAnsi="Arial"/>
          <w:sz w:val="17"/>
          <w:szCs w:val="17"/>
          <w:color w:val="auto"/>
        </w:rPr>
        <w:t>. In the utility infrastructure services segment, a limited number of Centuri customers delayed some projects, notably during the second quarter of 2020, and primarily in response to local governmental restrictions. Project delays, whether due to governmental restrictions or reassessments of timing by Centuri’s customers, resulted in temporary reductions of workforce crews, primarily during that quarter. Some crew reductions are ongoing in specific areas and the associated revenue impacts have not been significant. Management continues to monitor the dynamic nature of these circumstances, the full future impacts of which are not currently known, such as the impact from business curtailments, weak market conditions, or governmental restrictions, including any restrictions which could limit the fulfillment by Centuri of its contractual obligations.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incurred additional expenses in connection with its response to these conditions, including costs of disinfecting work locations and equipment, costs related to enabling employees to support customers while working remotely, and impacts on earnings and cash flows from the moratorium on customer disconnection and late fee assessment. These additional costs were not material to the Company’s 2020 results overall, and were mitigated by reduced travel and in-person training costs; important training and business meetings were held virtually, rather than in person. Appropriate access to cash exists and certain of Southwest’s regulatory commissions implemented measures to further mitigate impacts of these conditions on Southwest. See </w:t>
      </w:r>
      <w:r>
        <w:rPr>
          <w:rFonts w:ascii="Arial" w:cs="Arial" w:eastAsia="Arial" w:hAnsi="Arial"/>
          <w:sz w:val="18"/>
          <w:szCs w:val="18"/>
          <w:i w:val="1"/>
          <w:iCs w:val="1"/>
          <w:color w:val="auto"/>
        </w:rPr>
        <w:t>Rates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Regulatory Proceedings </w:t>
      </w:r>
      <w:r>
        <w:rPr>
          <w:rFonts w:ascii="Arial" w:cs="Arial" w:eastAsia="Arial" w:hAnsi="Arial"/>
          <w:sz w:val="18"/>
          <w:szCs w:val="18"/>
          <w:color w:val="auto"/>
        </w:rPr>
        <w:t>for additional detail.</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extent to which COVID-19 may adversely impact the Company’s business depends on future developments, including the timing of the full resumption of commerce across our service territories, the magnitude of further spread of the virus, impacts of these conditions on our customers, the state of the North American economy, the availability and distribution of effective treatments and vaccines, and other unmitigated effects of the virus. Management does not currently expect the impact of these conditions to be material to the Company’s liquidity or financial position; however, continued uncertainty of economic and operational impacts means management cannot predict whether related financial impacts in future periods will be any different from impacts reflected for the period ended December 31, 2020. In anticipation of a redeployment of employees to their normal work locations, management has created a multi-phase reintegration plan to safeguard the well-being of our teams, including hygiene, sanitization, and social distancing practices, as well as the use of personal protective equipment for employees and visitors. Management will continue to monitor developments affecting employees, customers, and operations, and take additional steps as necessary to address impacts from the pandemic. Events and changes in circumstances arising after December 31, 2020, including those resulting from the impacts of COVID-19, will be reflected in management’s estimates for future periods.</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and are covered in greater detail in later sections of management’s discussion and analysis. </w:t>
      </w:r>
      <w:r>
        <w:rPr>
          <w:rFonts w:ascii="Arial" w:cs="Arial" w:eastAsia="Arial" w:hAnsi="Arial"/>
          <w:sz w:val="18"/>
          <w:szCs w:val="18"/>
          <w:color w:val="auto"/>
        </w:rPr>
        <w:t>As reflected in the table below, the natural gas operations segment accounted</w:t>
      </w:r>
      <w:r>
        <w:rPr>
          <w:rFonts w:ascii="Arial" w:cs="Arial" w:eastAsia="Arial" w:hAnsi="Arial"/>
          <w:sz w:val="18"/>
          <w:szCs w:val="18"/>
          <w:b w:val="1"/>
          <w:bCs w:val="1"/>
          <w:color w:val="auto"/>
        </w:rPr>
        <w:t xml:space="preserve"> </w:t>
      </w:r>
      <w:r>
        <w:rPr>
          <w:rFonts w:ascii="Arial" w:cs="Arial" w:eastAsia="Arial" w:hAnsi="Arial"/>
          <w:sz w:val="18"/>
          <w:szCs w:val="18"/>
          <w:color w:val="auto"/>
        </w:rPr>
        <w:t>for an average of 73% of consolidated net income over the past three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5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4"/>
              </w:rPr>
              <w:t>Natural gas operations</w:t>
            </w:r>
          </w:p>
        </w:tc>
        <w:tc>
          <w:tcPr>
            <w:tcW w:w="5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159,118</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163,171</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138,842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Natural Gas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of Revenue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Arial" w:cs="Arial" w:eastAsia="Arial" w:hAnsi="Arial"/>
                <w:sz w:val="18"/>
                <w:szCs w:val="18"/>
                <w:color w:val="auto"/>
              </w:rPr>
              <w:t>Gas operating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1,368,939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1,357,728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Less: Net cost of gas sold</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2020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net income of $232 million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earnings per share of $4.15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highlights include the following:</w:t>
      </w:r>
    </w:p>
    <w:p>
      <w:pPr>
        <w:spacing w:after="0" w:line="2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37,000 first-time meters sets (1.8% growth rate) occurred over the past 12 months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margin increased $24 million, or 2.4% between 2020 and 2019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Operations and maintenance expense decreased $16 million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$450 million in 2.2% 10-year Notes (a record low fixed rate for Southwest)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Nevada general rate case finalized with rate relief effective October 2020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Arizona general rate case finalized with rate relief effective January 2021</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California general rate case agreement reached, with margin tracking until rate effective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revenues of $1.9 billion in 2020, an increase of $197 million, or 11%, compared to 2019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Emergency restoration services provided $82 million of revenue in 2020 compared to $13 million in 2019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net income of $74.9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Natural Gas Operations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1,357,728</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419,388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938,340</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404,813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191,816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281,813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(17,240)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81,740</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182,833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Contribution to consolidated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i w:val="1"/>
                <w:iCs w:val="1"/>
                <w:color w:val="auto"/>
              </w:rPr>
              <w:t>2020 vs. 2019</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operations decreased $4 million between 2020 and 2019. The decrease was primarily due to an increase in Depreciation and amortization and Net interest deductions and a decline in Other income (deductions), offset by higher operating margin and a decrease in Operations and maintenance expense.</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margin increased $24 million between years. Customer growth provided $14 million as 37,000 first-time meter sets were added in 2020, and combined rate relief, primarily in Nevada and California, provided $7 million of incremental operating margin during the current year. Additionally, an increase in regulatory asset recoveries (offset in amortization expense below) contributed to the increase. The prior-year included an approximate $5 million reduction in margin resulting from a one-time adjustment to reflect the impacts of U.S. tax reform on the Arizona decoupling mechanism. The remaining decrease includes the impacts from a temporary moratorium on late fees and connection/re-connection charges during the COVID-19 pandemic.</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Operations and maintenance expense decreased $16 million, or 4%, between 2020 and 2019 primarily due to lower travel and in-person training costs due to the current COVID-19 environment, lower legal claims, as well as management cost saving initiatives. These were partially offset by incremental expenditures for pipeline damage prevention programs associated with a growing infrastructure and customer base.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$19.7 million, or 9%, between years primarily due to a $668 million, or 9%, increase in average gas plant in service for the current year. The increase in gas plant was attributable to pipeline capacity reinforcement work, franchise requirements, scheduled and accelerated pipe replacement activities, and new infrastructure. Amortization related to regulatory account recoveries, as referenced above, increased $1.4 million between years.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$16 million between 2020 and 2019. The current year reflects a $9.2 million increase in COLI policy cash surrender values and recognized death benefits, while 2019 reflected a $17.4 million increase. Non-service-related components of employee pension and postretirement benefit cost, included in this category, increased $5 million between years. Additionally, lower interest earned on regulatory balances contributed to the decrease between years.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$6.1 million between 2020 and 2019, primarily due to interest associated with the issuance of $300 million of Senior Notes in May 2019 and $450 million of Senior Notes in June 2020, offset by a reduction in outstanding borrowings under the credit facility.</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expense in both 2020 and 2019 reflects the fact that COLI results are recognized without tax consequence and therefore, impact the effective tax rate.</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2019 vs. 2018</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contribution to consolidated net income from natural gas operations increased $24 million between 2019 and 2018. The increase was primarily due to higher operating margin and an improvement in Other income (deductions), as well as lower Income tax expense. The increase was offset by increases in Operations and maintenance expense, Depreciation and amortization, and Net interest deductions.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$45 million between 2018 and 2019. Customer growth provided $11 million, and combined rate relief, primarily in Nevada and California, provided $12 million of incremental operating margin. The remaining increase primarily resulted from the net recovery of regulatory program balances (with a $12.2 million partial offsetting impact in amortization expense), in addition to margin from customers outside the decoupling mechanisms and other miscellaneous revenues. The net increase in regulatory program recoveries included California public purpose and cap and trade programs (net of climate credits returned), as well as recoveries from Nevada renewable energy and infrastructure replacement programs, offset by the return of amounts for conservation and energy efficiency programs.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increased $17 million, or 4%, between 2019 and 2018 primarily due to general cost increases and higher legal claims experience. Higher expenditures for pipeline integrity management and damage prevention programs, as well as incremental information technology costs also contributed to the increase.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increased $23.8 million, or 12%, between years. Amortization related to regulatory account recoveries, as noted above, increased $12.2 million between 2018 and 2019. Depreciation and amortization of gas plant increased $11.6 million primarily due to a $586 million, or 9%, increase in average gas plant in service in 2019 as compared to 2018. The increase in gas plant was attributable to pipeline capacity reinforcement work, franchise requirements, scheduled and accelerated pipe replacement activities, and new infrastructure.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$2 million, or 4%, between 2019 and 2018 primarily due to higher property taxes associated with net plant additions, and due to the Nevada Commerce Tax, as well as California franchise taxes.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(deductions) improved $27 million between 2019 and 2018, primarily due to a $17.4 million increase in COLI policy cash surrender values and recognized death benefits during 2019, as compared to a $3.2 million COLI-related loss in 2018. The cash surrender values of these policies fluctuated based on the value of the underlying investments, which increased substantially during 2019, similar to the broader stock market during the same year. Additionally, non-service-related components of employee pension and postretirement benefit cost, included in this category, decreased $6 million between 2018 and 2019.</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increased $13.3 million between 2019 and 2018, primarily due to higher interest from the issuance of $300 million of Senior Notes in May 2019. Higher interest rates and average outstanding balances under Southwest’s credit facility and increased carrying costs on PGA balances in Arizona also contributed to the increase between comparative periods.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reduction in income taxes and effective tax rates between 2019 and 2018 was partially due to lower state income taxes (due to apportionment changes) and $2.3 million in amortization of excess deferred income taxes during 2019, resulting from recent U.S. tax reform. The significant amount of COLI earnings in 2019 (noted above), which are recognized without tax consequence, also favorably impacted the effective rate during the same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Utility Infrastructure Services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1,522,285</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1,387,689</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57,396</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77,200</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62,772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44,352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44,977</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i w:val="1"/>
                <w:iCs w:val="1"/>
                <w:color w:val="auto"/>
              </w:rPr>
              <w:t>2020 vs. 2019</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utility infrastructure services increased $22.5 million in 2020 compared to 2019. Results were positively impacted by emergency restoration services performed by Linetec and increased volume under certain blanket and bid contracts, both in the U.S. and Canada.</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revenues increased $197.3 million, or 11%, primarily due to incremental electric infrastructure revenues of $145.3 million from expansion of work with existing customers and securing work with new customers. Included in the incremental electric infrastructure revenues during 2020 is $81.5 million from emergency restoration services performed by Linetec, following hurricane and tornado damage to customers’ above-ground utility infrastructure in and around the Gulf Coast and eastern regions of the U.S., as compared to $13.2 million in similar services during 2019. Centuri’s revenues derived from storm-related services vary from period to period due to the unpredictable nature of weather-related events. Additionally, Centuri experienced continued growth with existing gas infrastructure customers under master service and bid agreements and benefited from generally favorable weather working conditions throughout the year. Centuri achieved increases in revenues despite a temporary shut-down of certain crews, primarily in the second quarter of 2020, in response to local government requirements to postpone non-essential business services, and precautions to ensure employee safety, during the COVID-19 outbreak. Revenues from replacement work composed approximately 54% and 60% of total revenues for 2020 and 2019, respectively, as governmental safety-related programs have resulted in many utilities undertaking multi-year infrastructure replacement projects in recent years. Centuri revenues from contracts with Southwest totaled $134.9 million in 2020 and $158.7 million in 2019. Centuri accounts for services provided to Southwest at contractual prices.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Utility infrastructure services expenses increased $156.2 million, or 10%, between 2020 and 2019 largely due to incremental expenses related to electric infrastructure services of $109.3 million, including costs associated with storm restoration work, as well as costs to complete additional gas and electric infrastructure work. These costs were mitigated by increased productivity and efficiencies on electrical infrastructure projects and lower fuel costs as a percentage of revenues. Storm restoration work typically generates a higher profit margin than core infrastructure services, due to improved operating efficiencies related to equipment utilization and absorption of fixed costs. Additionally, during 2020, Centuri received $4.1 million in wage subsidies from the Canadian government associated with COVID-19 relief programs, recorded as a reduction to wage expense. Ongoing efforts to complete an industrial construction project in Canada resulted in additional costs of approximately $3 million during 2020 compared to $8 million during 2019. Included in Utility infrastructure services expenses were general and administrative (“G&amp;A”) costs, which increased $24.4 million in 2020 when compared to 2019, due to higher payroll and operating costs associated with continued growth of the business and higher profit-based incentive compensation. Offsetting these increases were lower insurance costs from favorable claims experience under Centuri’s self-insurance programs. Gains on sale of equipment (reflected as an offset to Utility infrastructure services expenses) were approximately $1.8 million and $5.5 million in 2020 and 2019, respectively.</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$9.1 million between 2020 and 2019, primarily due to $5.8 million of incremental depreciation related to the continued growth of Linetec. Additional equipment purchased to support the growing volume of work being performed also contributed to the overall increase.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interest deductions was due primarily to lower incremental borrowing rates associated with outstanding borrowings under the $590 million secured revolving credit and term loan facility.</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income tax expense increase in 2020 reflects the increased level of pre-tax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vs. 2018</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utility infrastructure services increased $7.4 million in 2019 compared to 2018. Results in 2019 were positively impacted by a full year of activities from Linetec and increased volume under certain blanket contracts, notably in Canada. These increases were partially offset by higher depreciation and amortization resulting from the Linetec acquisition.</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revenue increased $228.7 million, or 15%, between comparative years, primarily due to a full year of Linetec operations in 2019 ($236.1 million) compared to revenue recognized in the previous year following the November 2018 acquisition date ($14.1 million). Continued growth with customers under existing master service and bid agreements also contributed to the increase in revenue overall. Partially offsetting these increases were decreased revenues from certain non-routine projects, including customer-requested support in 2018 during an employment strike, and emergency response situations, in addition to a multi-year water pipe replacement project that expired in July 2019 and was not renewed. Revenues in 2018 also included the settlement of an earlier contract dispute related to that project ($9 million). Implementation of new regulatory requirements for operating locations within certain eastern states in the U.S. resulted in lower revenues during 2019 as Centuri worked with customers to adopt the new requirements. During the past several years, utility infrastructure services segment efforts have been focused on obtaining utility system replacement work under both blanket contracts and incremental bid projects. For both 2019 and 2018, revenues from replacement work were approximately 60% of total revenues, as governmental safety-related programs have resulted in many utilities undertaking multi-year infrastructure replacement projects in recent years. Centuri revenues from contracts with Southwest totaled $158.7 million in 2019 and $135.9 million in 2018. As noted earlier, Centuri accounts for services provided to Southwest at contractual prices.</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expenses increased $185.5 million, or 13%, between 2019 and 2018 largely due to incremental expenses related to Linetec of $172.1 million in 2019. Included in total Utility infrastructure services expenses were G&amp;A costs, which decreased $5.6 million in 2019 when compared to 2018, due primarily to the impact of deal costs from the acquisition of Linetec during 2018 ($6.9 million), which did not recur. The 2019 period includes higher operating costs overall, associated with growth of the business. The new regulatory requirements noted above for operating locations in certain states in the eastern U.S. also resulted in productivity inefficiencies during 2019. Furthermore, efforts to complete an industrial construction project in Canada resulted in additional costs of approximately $8 million during 2019 as a result of delays in commissioning the project. Gains on sale of equipment (reflected as an offset to Utility infrastructure services expenses) were approximately $5.5 million and $1.7 million in 2019 and 2018, respectively.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$30.2 million between 2019 and 2018, primarily due to $25 million of incremental depreciation and amortization expenses in 2019 related to finite-lived tangible and intangible assets resulting from the Linetec acquisition. Additional equipment purchased to support the growing volume of work being performed also contributed to the overall increase.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interest deductions between comparative years was due primarily to lower borrowing rates in 2019 associated with outstanding amounts under the $590 million secured revolving credit and term loan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$3 million between 2019 and 2018, primarily due to an increase in pre-tax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On May 1, 2019, Southwest filed a general rate case application requesting to increase revenue by approximately $57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to update the cost of service to reflect recent U.S. tax reform changes, including the return of excess deferred income taxes to customers, and to reflect capital investments of approximately $670 million, including certain post-test year additions, such as the southern Arizona LNG facility discussed below. The application also included a proposed 10.3% return on equity (“ROE”) relative to a capital structure of 51.1% equity. Southwest updated its request to reflect the actual amortization of excess accumulated deferred income taxes (“EADIT”) resulting from recent U.S. tax reform (the amortization is determined based on a prescribed methodology, which was known after the Company’s 2018 federal income tax return was filed in 2019), and to include additional post-test year plant in the amount of $124.5 million associated with its COYL and VSP programs, discussed further below. The amendment overall increased the deficiency by $36 million, to $93 million, which was further updated to $90.6 million based on certain aspects of its cost of service, including a revised proposed ROE of 10.15%. The request and amendments thereto included the retention of a fully decoupled rate design, other previously approved regulatory mechanisms, and a new infrastructure tracking mechanism for specific plastic pipe, in addition to a proposal for a renewable natural gas (“RNG”) program for the purchase of RNG for customers as part of its PGA mechanism. The original hearing date was postponed due to the COVID-19 pandemic and was convened in June and July of 2020. Prior to the start of the hearing, Southwest entered into a stipulation with the parties to the case, agreeing to continue the COYL program; to establish a Tax Expense Adjustor Mechanism to track annual changes in the amortization of EADIT, as well as any future changes in the federal tax rate; to include a 10-year amortization of EADIT associated with deemed “unprotected” plant; and to incorporate various tariff proposals. EADIT associated with “protected” plant relates to timing differences from using accelerated depreciation for tax purposes and another method for book purposes, and unprotected amounts relate to all other timing differences.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Administrative Law Judge released his Recommended Opinion and Order (“ROO”) in November and the commission ultimately voted in December 2020 to approve an amended ROO, with new rates becoming effective in January 2021. The decision resulted in an overall revenue increase of $36.8 million; the continuation of full revenue decoupling; and continuation of the COYL program. An ROE of 9.1% was approved with a capital structure comprised of 48.9% long-term debt and 51.1% common equity. The overall increase reflects the final ROE and the inclusion of six months (as compared to eleven months originally contemplated by the ROO) of post-test year plant additions, including additions related to the LNG facility, COYL, and VSP. See additional discussion related to these programs below. The continuation of the property tax tracker was also supported in the final decision, as well as approval of a new income tax tracking mechanism (“Tax Expense Adjustor Mechanism”). While the RNG proposal was not approved as part of the final decision in the case, the commission agreed to conduct a workshop to further explore the role of RNG in Arizona.</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In the process to address the 2019 activity, in April 2020, Southwest filed a request to adjust the existing rate to consider the 14-month period of January 1, 2019 through February 29, 2020, proposing a rate of $0.00655 per therm based on an ending balance of approximately $3.5 million. Although the commission staff concurred with Southwest’s proposed rate, the ACC ultimately elected to reduce the rate to zero in an effort to provide some measure of customer relief in light of current issues related to the COVID-19 pandemic, and at the time of both the April filing and the ACC decision, the balance was a liability (in an over-recovered status). Activity through the remainder of 2020 resulted in a slight under-collected balance at December 31, 2020, which is expected to be addressed in Southwest’s next annual filing.</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February 2018, the ACC directed all Arizona utilities to address tax savings from the enactment of U.S. tax reform beginning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2018, through one of various means. In April 2018, Southwest filed an application with the ACC, requesting approval for a tax refund process or, in the alternative, the authority to file a general rate case to reflect the impacts of tax reform. Ultimately, Southwest was instructed to refund customers $20 million annually, as compared to rate levels established in the previously concluded general rate case. The per-therm surcredit customer refunds continued until the end of 2020, after which, rates associated with the most recent general rate case became effective, reflecting the effects of tax reform. Differences between the $20 million annually expected to be returned during the years 2018 - 2020, and actual amounts returned on a per-therm basis, resulted in an over-returned asset balance of $2.6 million as of December 31, 2020. The remaining balance is expected to be resolved through the Tax Expense Adjustor Mechanism implemented as part of the recent general rate case decision.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2014, Southwest sought ACC preapproval to construct, operate, and maintain a 233,000 dekatherm LNG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southern Arizona. This facility is intended to enhance service reliability and flexibility related to natural gas deliveries in the southern Arizona area by providing a local storage option, and to be connected directly to Southwest’s distribution system. Southwest was ultimately granted approval for construction and deferral of costs not to exceed $80 million. The facility was placed in service in December 2019 at a capital expenditure cost of approximately $75.3 million</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(including land acquisition costs). The capital costs and the operating expenses associated with plant operation were approved and considered as part of Southwest’s recently resolved general rate case. Due to the timing of the operating costs incurred (following the in-service date), rates to recover the associated regulatory asset balance will be part of the next Arizona general rate case application.</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Customer-Owned Yard Line (“COYL”) Program. </w:t>
      </w:r>
      <w:r>
        <w:rPr>
          <w:rFonts w:ascii="Arial" w:cs="Arial" w:eastAsia="Arial" w:hAnsi="Arial"/>
          <w:sz w:val="17"/>
          <w:szCs w:val="17"/>
          <w:color w:val="auto"/>
        </w:rPr>
        <w:t>Southwest received approval, in connection with its 2010 Arizona general rate case, to implement a</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to conduct leak surveys, and if leaks were present, to replace and relocate service lines and meters for Arizona customers whose meters were set off from the customer’s home, representing a non-traditional configuration. In 2014, the ACC approved a “Phase II” of the COYL program, which included the replacement of non-leaking COYLs. The surcharge is designed to collect the annual revenue requirement as the program progresses. In the filing made in February 2019, Southwest requested to increase its surcharge to recover a revenue requirement of $6.7 million (an increase of $3.2 million) associated with $26.6 million in capital projects completed in 2018. The ACC ultimately issued an order in October 2019 authorizing Southwest to retain the existing annual surcharge in place, indicating it would review the program as part of the general rate case. Southwest also proposed to have the ACC review an estimated $21.1 million of 2019 COYL capital projects, and if authorized, to also render a decision regarding cost recovery as part of the rate case. Parties to the rate case stipulated to continue the COYL program and recommended recovery of this plant as part of Southwest’s filed post-test year plant adjustment, with inclusion of related amounts in base rates. Further consideration in the rate case decision limited the post-test year plant adjustment (inclusive of COYL plant) to six months, and limited future COYL activity to the replacement of leaking COYLs, or in cases when other replacement activity is taking place in the vicinity. A filing in the first quarter of 2021 will be made, proposing the recovery of the additional revenue requirement associated with the 2019 and 2020 cost of service activity and 2019 plant, which was placed in service following the six-month post-test year period includible in the concluded rate case.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Vintage Steel Pipe Program (“VSP”)</w:t>
      </w:r>
      <w:r>
        <w:rPr>
          <w:rFonts w:ascii="Arial" w:cs="Arial" w:eastAsia="Arial" w:hAnsi="Arial"/>
          <w:sz w:val="16"/>
          <w:szCs w:val="16"/>
          <w:color w:val="auto"/>
        </w:rPr>
        <w:t>. Southwest received approval, in connection with its 2016 Arizona general rate case, to implement a VSP</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program, due to having a substantial amount of pre-1970s vintage steel pipe in Arizona. As part of the program, Southwest proposed to start replacing the pipe on an accelerated basis and to recover the costs through an annual surcharge filing. Surcharges related thereto have been customarily designed to be revised annually as the program progressed, in order to collect the annual revenue requirement associated with the related capital expenditures. In the most recent VSP filing, in February 2019, Southwest requested to increase its surcharge revenue by $9.5 million (to $11.9 million) associated with the replacement of approximately $100 million in 2018 VSP capital projects. The ACC issued an order in October 2019 authorizing Southwest to retain the existing annual surcharge, and indicated it would review the program as part of the general rate case. Southwest also proposed to have the ACC review an estimated $103.4 million of 2019 VSP capital projects, and if authorized, to also render a decision regarding cost recovery as part of the rate case. The resolution of Southwest’s rate case allowed the inclusion of post-test year plant (inclusive of VSP) placed in service during the six months following the test year. However, the commission ultimately decided to discontinue the accelerated VSP program at this time. A filing in the first quarter of 2021 will be made, proposing the recovery of the additional revenue requirement associated with the 2019 and 2020 cost of service activity and 2019 and 2020 plant, which was placed in service following the six month post-test year period includible in the concluded rate case.</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has embarked on an initiative to replace its customer service system and gas transaction systems,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is utilized to support all Southwest service territories. Combined, these undertakings are referred to as the Customer Data Modernization Initiative (the “CDMI”). In March 2019, Southwest filed an application with the ACC seeking an accounting order which, if approved, would have authorized Southwest to track and defer all costs associated with the CDMI to mitigate adverse financial implications associated with this multi-year initiative. The total cost for the CDMI was estimated at $174 million, approximately $96 million of which would be allocable to the Arizona rate jurisdiction. The project is expected to be moved to production in 2021. A hearing in this matter was held in June 2020, with a legal briefing completed in mid-September. A separate ROO from that associated with the general rate case was issued in February 2021, which did not support the implementation of an accounting order to track and defer such costs. The parties have an opportunity to file exceptions to the associated ROO, which are expected to be considered at a commission meeting in late March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Southwest’s existing rates became effective June 2014 and included a Post-Test Year (“PTY”) Ratemaking Mechanism,</w:t>
      </w:r>
      <w:r>
        <w:rPr>
          <w:rFonts w:ascii="Arial" w:cs="Arial" w:eastAsia="Arial" w:hAnsi="Arial"/>
          <w:sz w:val="16"/>
          <w:szCs w:val="16"/>
          <w:i w:val="1"/>
          <w:iCs w:val="1"/>
          <w:color w:val="auto"/>
        </w:rPr>
        <w:t xml:space="preserve"> </w:t>
      </w:r>
      <w:r>
        <w:rPr>
          <w:rFonts w:ascii="Arial" w:cs="Arial" w:eastAsia="Arial" w:hAnsi="Arial"/>
          <w:sz w:val="16"/>
          <w:szCs w:val="16"/>
          <w:color w:val="auto"/>
        </w:rPr>
        <w:t>which allowed for attrition increases of 2.75% annually for 2015 through 2018, after which time new rates from a subsequent rate case cycle would have been expected to be in effect. In December 2016, Southwest filed to modify the earlier (2014) general rate case decision to extend the rate case cycle by two years, and received CPUC approval in June 2017, including extension of the annual 2.75% PTY attrition adjustments for 2019 and 2020.</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2019, Southwest filed the previously deferred general rate case, based on a test year of 2021, seeking authority to increase rates in its California rate jurisdictions. The proposed combined revenue increase of $12.8 million was net of a</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jc w:val="both"/>
        <w:spacing w:after="0" w:line="270" w:lineRule="auto"/>
        <w:rPr>
          <w:sz w:val="20"/>
          <w:szCs w:val="20"/>
          <w:color w:val="auto"/>
        </w:rPr>
      </w:pPr>
      <w:r>
        <w:rPr>
          <w:rFonts w:ascii="Arial" w:cs="Arial" w:eastAsia="Arial" w:hAnsi="Arial"/>
          <w:sz w:val="17"/>
          <w:szCs w:val="17"/>
          <w:color w:val="auto"/>
        </w:rPr>
        <w:t>$10.9 million revenue reduction associated with changes from U.S. tax reform, which included the amortization of $9.8 million (approximately $2 million annually over five years) associated with the difference in authorized income tax expense and actual incurred income tax expense for years 2019 and 2020, which when returned will impact cash flows, but would not be expected to have an impact on earnings. Southwest has been tracking those amounts, as directed, and reserving them for return to customers. The overall revenue request also included $1.6 million of EADIT proposed to be returned to customers each year until the amount is reset as part of a future rate case. Southwest’s proposal included an ROE of 10.5%, relative to a 53% equity ratio; continuation of annual post-test year margin adjustments of 2.75%; implementation of various safety-related programs, including a targeted pipe replacement program and a meter protection program (with a combination of measures, such as snow sheds, excess flow valves, upgraded meter set piping and upgraded Encoder Receiver Transmitter protocol); as well as an expansion of the school COYL replacement program. Southwest reached an agreement in principle with the Public Advocate’s Office for settlement of the pending general rate case.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agreement in principle includes a $6.4 million total combined revenue increase with a 10% ROE, relative to a 52% equity ratio. Approximately $4 million of the original proposed increase of $12.8 million is associated with a North Lake Tahoe project that will not be completed by the beginning of 2021; consequently, the parties agreed to remove it from the base rate increase and instead to provide for the recovery of the cost of the project through a future surcharge. The agreement also maintains Southwest’s existing 2.75% annual attrition adjustments, the continuation of the pension balancing account, and a proposed increase in the residential basic service charge from the existing $5.00 to $5.75 per month. The parties also agreed to a cumulative total of $119 million in capital projects over the five-year rate cycle to implement proposed risk-informed decision-making proposals, consisting of the school COYL replacement, meter protection, and pipe replacement programs. Southwest is authorized to implement a surcharge annually to recover the revenue requirement associated with these programs. The agreement in principle was filed in early August 2020, and originally expected to be considered for approval in late 2020, with new rates effective in January 2021. However, the proposed decision from the Administrative Law Judge is still pending. In light of the administrative delay, Southwest was granted authority to establish a general rate case memorandum account to track the margin/revenue shortfall related to the delay in rate relief. Final resolution of the general rate case is expected in the first quarter of 2021.</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2019, Southwest made its latest annual PTY attrition filing, requesting annual revenue increases of $2.06 million in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$556,000 in northern California, and $278,000 for South Lake Tahoe. This filing was approved in December 2019 and rates were made effective in January 2020. At the same time, rates were also updated to recover the regulatory asset associated with the revenue decoupling mechanism, or margin tracker. Since Southwest’s general rate case test year is 2021, there is no attrition increase for 2021; however, the PTY attrition increases are included in the rate case agreement and expected to continue in 2022.</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regulations promulgated by the California Air Resources Board,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Amounts distributed in April 2019 and 2020 were comparable. GHG compliance costs recovered through rates have no impact on earnings.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things, sought to formally allow the inclusion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(or biomethane) as a potential component of Southwest’s gas supply portfolio through the Biomethane Gas Program (“BGP”). This proposal is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April 2019, Southwest filed an application with the CPUC seeking authority to establish a two-way,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bearing balancing account to record costs associated with the CDMI to mitigate adverse financial impacts associated with this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which would allow Southwest to track costs, including operations and maintenance costs and capital-related costs, such as depreciation, taxes, and return associated with California’s portion of the CDMI. The balance tracked in the memorandum account would be transferred to the two-way balancing account, if</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approved. In January 2020, Southwest and the Public Advocates Office reached a settlement agreement to adopt Southwest’s Application for Authority to Implement the CDMI. The CPUC issued a final decision approving the settlement agreement as filed in July 2020. A rate to begin recovering the balance accumulated through June 30 was established and made effective September 1, 2020. This rate was further updated in January 2021 and will be updated annually thereafter each January.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On March 25, 2020, Southwest filed an Advice Letter to establish a memorandum account to track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customer protections under Emergency Relief regulations implemented in California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filed an Advice Letter to establish a COVID-19 Pandemic Protections Memorandum Account (“CPPMA”) to record all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is effective March 4, 2020 through June 30, 2021. These customer protections focus on flexible payment plan options, additional protections for income-qualified customers, as well as the suspension of disconnections for non-payment and the waiver of deposit and late fee requirements. Tracked amounts will be considered by the CPUC for future recovery.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Nevada General Rate Case. </w:t>
      </w:r>
      <w:r>
        <w:rPr>
          <w:rFonts w:ascii="Arial" w:cs="Arial" w:eastAsia="Arial" w:hAnsi="Arial"/>
          <w:sz w:val="16"/>
          <w:szCs w:val="16"/>
          <w:color w:val="auto"/>
        </w:rPr>
        <w:t>Southwest filed a general rate case application with the PUCN in February 2020, which requested a statewide overall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rate increase of approximately $38.3 million. The request sought an ROE of 10% relative to a proposed capital structure of 50% equity and continuation of the General Revenues Adjustment (“GRA”) mechanism (full revenue decoupling). The request also proposed the recovery of previously excluded costs attributable to several software applications. In June 2020, Southwest submitted its certification filing to update certain balances through May 31, 2020, which increased its overall proposed rate increase to $38.5 million. Commission staff and the Bureau of Consumer Protection each filed testimony in July, recommending an overall increase of approximately $21.6 million and approximately $20 million, respectively. A hearing in this matter was held in August 2020, with the Commission issuing its final order on September 25, 2020, which provided for an authorized combined revenue increase of approximately $23 million for northern and southern Nevada and continuation of the existing authorized 9.25% ROE, with a capital structure of 49.26% equity and 50.74% debt. Southwest’s existing GRA (discussed further below) was authorized to continue without modification. Full cost recovery of the unamortized balance of excluded software projects from the previous general rate case was authorized in this case, along with the inclusion of all proposed Gas Infrastructure Replacement (“GIR”) and Mesquite Expansion projects in rate base, and full recovery of test year and certification period operations and maintenance expenses associated with the CDMI project. Rates became effective in October 2020.</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previous general rate case decision, in December 2018, authorized an ROE of 9.25% relative to Southwest’s proposed capital structure of 49.66% equity applicable to both southern and northern Nevada. Rates from this earlier proceeding originally became effective in January 2019. As part of that proceeding, management filed a request for reconsideration of several rate case issues during the same month of effective rates; however, the PUCN ultimately granted no further rate relief. A modified final decision, following certain technical clarifications to calculations of the decision, resulted in a final revenue increase of $9.2 million in southern Nevada and a revenue decrease in northern Nevada of $2.1 million. The modified rates became effective in March 2019. Management decided to seek judicial review of the PUCN’s rate order, which was considered in January 2020. The District Court Judge deferred to the PUCN’s original findings. In March 2020, Southwest filed an appeal with the Nevada Supreme Court, which remains active; the resolution will likely take 12-24 months from the appeal date.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General Revenues Adjustment (“GRA”)</w:t>
      </w:r>
      <w:r>
        <w:rPr>
          <w:rFonts w:ascii="Arial" w:cs="Arial" w:eastAsia="Arial" w:hAnsi="Arial"/>
          <w:sz w:val="17"/>
          <w:szCs w:val="17"/>
          <w:color w:val="auto"/>
        </w:rPr>
        <w:t>. The continuation of the GRA was affirmed as part of Southwest’s recently concluded general rate case,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2020. Southwest makes Annual Rate Adjustment (“ARA”) filings to update rates to recover or return amounts associated with various regulatory mechanisms, including the GRA. In June 2019, Southwest made its annual filing, which provided for a decrease of approximately $8 million for an over-collected balance in southern Nevada and an increase of approximately $2 million in northern Nevada. The proposed changes were approved, with rates effective January 2020. In May 2020, Southwest made its most recent ARA filing, which proposed an annualized margin decrease of $5.3 million in southern Nevada and an increase of $1.6 million in northern Nevada. The ARA filing was resolved through a settlement of the parties, in which the proposed changes associated with the GRA were approved, effective January 2021.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Infrastructure Replacement Mechanism</w:t>
      </w:r>
      <w:r>
        <w:rPr>
          <w:rFonts w:ascii="Arial" w:cs="Arial" w:eastAsia="Arial" w:hAnsi="Arial"/>
          <w:sz w:val="18"/>
          <w:szCs w:val="18"/>
          <w:color w:val="auto"/>
        </w:rPr>
        <w:t>. In 2014, the PUCN approved final rules for the GIR mechanism, which defers and recovers certain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accelerated replacement of qualifying infrastructure that would not otherwise currently provide incremental revenues. Associated with the replacement of various types of pipe infrastructure under the mechanism</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(Early Vintage Plastic Pipe, COYL, and VSP), the related regulations provide Southwest with the opportunity to file a GIR “Advance Application” annually, generally in May, to seek preapproval of qualifying replacement projects.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a GIR rate application is generally filed each October to reset the GIR recovery surcharge rate related to previously approved and completed projects, with new rates typically becoming effective each January. On October 1, 2019, Southwest filed a rate application to reset the recovery surcharge to include cumulative deferrals through August 31, 2019. This surcharge rate became effective in February 2020, designed to result in a reduction in annual revenue of approximately $5.3 million in southern Nevada and no incremental revenue in northern Nevada. On September 30, 2020, Southwest filed its latest rate application to reset the recovery surcharge to include cumulative deferrals through August 31, 2020. The surcharge rate is expected to result in a reduction in annual revenue of approximately $11.8 million, effective in January 2021.</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Conservation and Energy Efficiency. </w:t>
      </w:r>
      <w:r>
        <w:rPr>
          <w:rFonts w:ascii="Arial" w:cs="Arial" w:eastAsia="Arial" w:hAnsi="Arial"/>
          <w:sz w:val="18"/>
          <w:szCs w:val="18"/>
          <w:color w:val="auto"/>
        </w:rPr>
        <w:t>The PUCN allows deferral (and later recovery) of approved conservation and energy efficiency costs, recovery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are adjusted in association with ARA filings. In its June 2019 ARA filing, Southwest proposed annualized margin increases of $3.2 million and $880,000 in southern and northern Nevada, respectively. However, Southwest entered into a stipulation and agreement to modify these amounts to $6.2 million and $1.1 million in southern and northern Nevada, respectively, which reflected the recovery of a related but separate program balance to be rolled into customer rates with the same effective date. The modification was approved, and rates became effective January 2020. In its May 2020 ARA filing, Southwest proposed annualized margin decreases of $313,000 and $55,000 for southern and northern Nevada, respectively, which were approved and became effective January 2021.</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for the expansion. The order approved a capital investment of approximately $28 million and the construction of approximately 37 miles of distribution pipeline (including the approach main). The annual revenue requirement associated with the project is $2.8 million. A volumetric rate, applicable to all southern Nevada customers (including new customers in Mesquite), was implemented in October 2019 to recover the cost. Southwest’s May 2020 ARA filing, which proposed an annualized margin increase of $185,000, reflects the cumulative deferred revenue requirement associated with the Mesquite facilities that were placed in service through April 30, 2020. During 2020, Southwest continued serving certain customers in Mesquite from an approved “virtual” pipeline network, providing temporary natural gas supply using portions of the approved distribution system and compressed natural gas. Construction of the tap site, approach main, as well as distribution mains was completed and placed in service in December 2020.</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is estimated to be $61.9 million. A stipulation in this matter was reached with the parties and approved by the PUCN in December 2019, which largely accepted Southwest’s proposal with modifications reflected in the rate recovery allocations split amongst northern Nevada, Elko, and Spring Creek expansion customers. Construction of the initial phase of the expansion began in the third quarter of 2020, and service commenced to the first Spring Creek customers in December 2020.</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In March 2019, Southwest filed a request seeking authority to establish a regulatory asset to defer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related to the CDMI to mitigate the financial attrition associated with this multi-year project. Approximately $59 million of the estimated $174 million cost of the CDMI would be allocable to the Nevada rate jurisdictions. A hearing on this matter was held in August 2019 and the PUCN issued its decision in September 2019, denying Southwest’s request for regulatory asset treatment, finding a general rate case the most appropriate avenue to address such costs. In response to the PUCN’s decision, Southwest filed a Petition for Reconsideration in October 2019, which was denied. As part of Southwest’s recently concluded general rate case, Southwest was authorized to include CDMI operations and maintenance costs since the beginning of the test year as part of its revenue requirement in the case.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to track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impacts associated with maintaining service for customers affected by COVID-19, including those whose service would have been otherwise terminated/disconnected, effective March 12, 2020, the date that Governor Steve Sisolak declared a state of emergency related to COVID-19. These costs will be considered by the PUCN for future recovery.</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Paiute Pipeline Company (“Paiute”), a wholly owned subsidiary of Southwest, filed a general rate case with the FERC in May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filing fulfilled an obligation from the settlement agreement reached in the 2014 Paiute general rate case. In January 2020, Paiute reached an agreement in principle with the FERC Staff and intervenors to settle its most recent general rate case. In addition to continuing the term-differentiated rate structures with its shippers, the agreement requires Paiute’s three largest transportation customers and all of its storage customers to extend their service agreements to have primary terms of at least five years. The settlement resulted in a revenue reduction of approximately $700,000 and is based on a 9.90% pre-tax rate of return. Also, as part of this agreement, Paiute agreed not to file a rate case prior to January 1, 2022, but no later than May 31, 2025.</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Paiute requested, and was granted, the authority to place the settlement rates into effect on an interim basis, effective February 2020. On March 30, 2020, Paiute filed the proposed settlement agreement with the FERC for review and approval. On July 6, 2020, the FERC issued a letter order approving the settlement, and the order became final on August 5,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December 31, 2020, over-collections in Arizona and both southern and northern Nevada resulted in a liability of approximately $54.6 million and under-collections in California resulted in an asset of $2.1 million on the Company’s and Southwest’s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at the end of its two most recent fiscal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(59,259)</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11,894</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48"/>
        </w:trPr>
        <w:tc>
          <w:tcPr>
            <w:tcW w:w="8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monthly (to allow for timely refunds</w:t>
      </w:r>
      <w:r>
        <w:rPr>
          <w:rFonts w:ascii="Arial" w:cs="Arial" w:eastAsia="Arial" w:hAnsi="Arial"/>
          <w:sz w:val="18"/>
          <w:szCs w:val="18"/>
          <w:i w:val="1"/>
          <w:iCs w:val="1"/>
          <w:color w:val="auto"/>
        </w:rPr>
        <w:t xml:space="preserve"> </w:t>
      </w:r>
      <w:r>
        <w:rPr>
          <w:rFonts w:ascii="Arial" w:cs="Arial" w:eastAsia="Arial" w:hAnsi="Arial"/>
          <w:sz w:val="18"/>
          <w:szCs w:val="18"/>
          <w:color w:val="auto"/>
        </w:rPr>
        <w:t>to/recoveries from customers), utilizing a rolling twelve-month average. During 2020, the Gas Cost Balancing Account continued providing a surcredit in order to refund the over-collected balance throughout the year.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 modeled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fashion provide the timeliest recovery of gas costs in any Southwest jurisdiction.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2019, Southwest filed to adjust its quarterly Deferred Energy Account Adjustment rate, which is based upon a</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rolling average, in addition to requesting adjusted Base Tariff Energy rates, both of which were approved effective January 2020. These new rates are intended to address the outstanding balances over a twelve-month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Price Volatility and Mitigation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To mitigate price volatility to its customers, Southwest has periodically entered into fixed-price term contracts and swaps under its collective volatility mitigation programs for a portion (up to 25% in the California jurisdiction and in the Arizona jurisdiction through October 2020) of its annual normal weather supply needs. For the 2020/2021 heating season, contracts contained in the fixed-price portion of the supply portfolio ranged from approximately $2.37 to approximately $2.97 per dekatherm. In consultation with its regulators, for periods beyond October 2020, Southwest currently does not plan to make any fixed-price term purchases broadly for the Arizona jurisdiction nor enter into swap agreements, nor does it do so for its Nevada territories; however, Southwest will continue to enter into fixed-price purchases for the California jurisdiction. Southwest’s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 See also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 Background, Organization,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Summary of Significant Accounting Policies</w:t>
      </w:r>
      <w:r>
        <w:rPr>
          <w:rFonts w:ascii="Arial" w:cs="Arial" w:eastAsia="Arial" w:hAnsi="Arial"/>
          <w:sz w:val="17"/>
          <w:szCs w:val="17"/>
          <w:color w:val="auto"/>
        </w:rPr>
        <w:t>.</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In mid-February 2021, the central U.S. (from south Texas to North Dakota and the eastern Rocky Mountains) experienced extreme cold temperatures, which increased natural gas demand and caused temporary shortages due to wellhead freeze-off. These conditions caused daily natural gas prices to reach unprecedented levels. During this time, Southwest secured natural gas supplies, albeit at substantially higher prices, and was able to maintain service to its customers. The incremental costs for these natural gas supplies (estimated at $200 million to $300 million) are expected to be funded using existing cash on hand and short-term borrowings, including current credit facilities. It is anticipated that these incremental gas costs will be recoverable from customers through the PGA mechanisms in each jurisdiction.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2019, the Pipeline and Hazardous Materials Safety Administration (“PHMSA”) issued final rules that amend the federal pipeline safety regulations applicable to gas transmission pipelines (effective July 2020) and revise PHMSA’s authority to issue emergency orders (effective December 2019). These rules cover, among other requirements, procedures related to reconfirming maximum allowable operating pressure of gas transmission pipelines in certain circumstances, the introduction of moderate consequence areas (“MCAs”), expansion of pipeline integrity assessments including work in MCAs, requirements for gathering additional material information on in-service transmission pipelines, and the authority of PHMSA to issue emergency orders to address imminent hazards caused by unsafe conditions or practices. These rules may require Southwest to incur additional costs of compliance.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continues to monitor changing pipeline safety legislation and participates, to the extent possible, in providing public comments and working with industry associations, such as the American Gas Association, in shaping regulatory language associated with these new mandates and reporting requirements. Additionally, Southwest works with its state and federal commissions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 the past three years, cash on hand and cash flows from operations have provided a substantial portion of cash used in investing activities (primarily construction expenditures and property additions). In recent years, Southwest has accelerated pipe replacement activities to fortify system integrity and reliability, notably in association with gas infrastructure replacement programs. This accelerated activity has necessitated the issuance of both debt and equity securities to supplement cash flows from operations. The Company’s capitalization strategy is to maintain an appropriate balance of equity and debt to preserve investment-grade credit ratings, which help minimize interest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consolidated operating activities increased $126 million between 2020 and 2019. The increase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primarily resulted from collections of amounts under PGA mechanisms ($36 million, compared to a return of $58 million in the prior year), an increase in recoveries ($11 million) related to the Arizona decoupling mechanism balance, as well as an increase in net income (and giving effect to depreciation and amortization). These impacts were partially offset by a $50 million supplemental contribution for pension funding made in January 2020 (included in Changes in other liabilities and deferred credits in the Consolidated Statement of Cash Flows of both the Company and Southwest). Other changes in operating cash flows resulted from changes in working capital components overall.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$150 million in 2020 as compared to 2019. The change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in capital expenditures in both business segments. The prior-year included $47.6 million in outlays for the remittance of purchase consideration previously held back in association with the 2018 Linetec acquisition.</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decreased $206 million in 2020 as compared to 2019. The change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primarily due to a reduction in borrowings and outstanding amounts under the Company’s credit facility and Southwest’s long-term portion of its credit facility. Part of the net proceeds from the issuance of $450 million of 2.20% notes in June 2020 by Southwest was used to pay down its credit facility and redeem $125 million of 4.45% notes in September 2020. In the prior year, Southwest also used a portion of the net proceeds from the $300 million in notes issued in May 2019 to reduce amounts then outstanding under its credit facility and commercial paper program. Other changes include the combined impacts of repayment and borrowings by Centuri under its secured revolving credit and term loan facility, offset by $70 million in equipment loan proceeds. Additionally, the Company issued $18 million more in common stock under the Equity Shelf Program in 2019 compared to 2020. Dividend payments increased in 2020 as compared to 2019 as a result of an increase in the quarterly dividend rate and an increase in the number of shares outstanding. See </w:t>
      </w:r>
      <w:r>
        <w:rPr>
          <w:rFonts w:ascii="Arial" w:cs="Arial" w:eastAsia="Arial" w:hAnsi="Arial"/>
          <w:sz w:val="17"/>
          <w:szCs w:val="17"/>
          <w:b w:val="1"/>
          <w:bCs w:val="1"/>
          <w:color w:val="auto"/>
        </w:rPr>
        <w:t>Note 7 - Common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8 - Debt</w:t>
      </w:r>
      <w:r>
        <w:rPr>
          <w:rFonts w:ascii="Arial" w:cs="Arial" w:eastAsia="Arial" w:hAnsi="Arial"/>
          <w:sz w:val="17"/>
          <w:szCs w:val="17"/>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8" w:name="page49"/>
    <w:bookmarkEnd w:id="48"/>
    <w:p>
      <w:pPr>
        <w:jc w:val="both"/>
        <w:spacing w:after="0" w:line="308" w:lineRule="auto"/>
        <w:rPr>
          <w:sz w:val="20"/>
          <w:szCs w:val="20"/>
          <w:color w:val="auto"/>
        </w:rPr>
      </w:pPr>
      <w:r>
        <w:rPr>
          <w:rFonts w:ascii="Arial" w:cs="Arial" w:eastAsia="Arial" w:hAnsi="Arial"/>
          <w:sz w:val="17"/>
          <w:szCs w:val="17"/>
          <w:color w:val="auto"/>
        </w:rPr>
        <w:t>The Company received approximately $128 million in stock proceeds during 2020 under its Equity Shelf Program and issued approximately 172,000 shares of common stock through the Dividend Reinvestment and Stock Purchase Plan, from which it raised approximately $11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operating activities increased $56 million between 2020 and 2019. The increase in operating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was attributable to collections of deferred purchased gas costs and recoveries related to the Arizona decoupling mechanism, as well as other working capital components overall, partially offset by the supplemental contribution for pension funding in 2020, described earlier.</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decreased $82 million in 2020 as compared to 2019, primarily due to the decrease in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financing activities decreased $147 million in 2020 as compared to 2019. The decrease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combined effects of the repayment of previously accumulated outstanding balances under Southwest’s credit facility and the redemption of the $125 million in maturing notes after receiving proceeds upon issuance of the $450 million notes in the current period, compared to the $300 million in notes issued, and repayment activity associated with the credit facility and commercial paper program, in the prior period. See </w:t>
      </w:r>
      <w:r>
        <w:rPr>
          <w:rFonts w:ascii="Arial" w:cs="Arial" w:eastAsia="Arial" w:hAnsi="Arial"/>
          <w:sz w:val="17"/>
          <w:szCs w:val="17"/>
          <w:b w:val="1"/>
          <w:bCs w:val="1"/>
          <w:color w:val="auto"/>
        </w:rPr>
        <w:t>Note 8 - Debt</w:t>
      </w:r>
      <w:r>
        <w:rPr>
          <w:rFonts w:ascii="Arial" w:cs="Arial" w:eastAsia="Arial" w:hAnsi="Arial"/>
          <w:sz w:val="17"/>
          <w:szCs w:val="17"/>
          <w:color w:val="auto"/>
        </w:rPr>
        <w:t>. In addition, capital contributed from, and dividends paid to, the parent holding company were greater during 2020 as compared to 2019.</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financing sources. However, the holding company may raise funds through stock issuance or other external financing sources in support of each business segment, as discussed above and in </w:t>
      </w:r>
      <w:r>
        <w:rPr>
          <w:rFonts w:ascii="Arial" w:cs="Arial" w:eastAsia="Arial" w:hAnsi="Arial"/>
          <w:sz w:val="16"/>
          <w:szCs w:val="16"/>
          <w:b w:val="1"/>
          <w:bCs w:val="1"/>
          <w:color w:val="auto"/>
        </w:rPr>
        <w:t>Note 7 - Common Stock</w:t>
      </w:r>
      <w:r>
        <w:rPr>
          <w:rFonts w:ascii="Arial" w:cs="Arial" w:eastAsia="Arial" w:hAnsi="Arial"/>
          <w:sz w:val="16"/>
          <w:szCs w:val="16"/>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Construction Expenditures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three-year period ended December 31, 2020, total gas plant in service increased from $6.6 billion to $8.4 billion, or at an average annual rate of 8%. Replacement, new business, and reinforcement work was a substantial portion of the plant increase. Customer growth impacted expenditures as Southwest set approximately 105,000 meters during the three-year period, which is reflected in new business.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construction expenditures for the natural gas operations segment were $692 million. The majority of these expenditures represented costs associated with scheduled and accelerated replacement of existing transmission, distribution, and general plant to fortify system integrity and reliability. Cash flows from operating activities of Southwest were $424 million and provided approximately 53% of construction expenditures and dividend requirements of the natural gas operations segment. Other funding was provided by cash on hand, external financing activities (including the $450 million notes issued in June 2020), capital contributed by Southwest Gas Holdings, Inc., and, as needed, the existing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Financing Activity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Net proceeds under the Equity Shelf Program for 2020 were $128 million, comprised of an aggregate of 1,917,512 shares of Southwest Gas Holdings, Inc. common stock, sold in the open market at a weighted average price of $67.39 per share, net of $1.3 million in agent commissions. These net proceeds, in addition to another $50 million for working capital purposes, were contributed to Southwest by the holding company. As of December 31, 2020, the Company had up to $46 million of common stock available for sale under the this program. See </w:t>
      </w:r>
      <w:r>
        <w:rPr>
          <w:rFonts w:ascii="Arial" w:cs="Arial" w:eastAsia="Arial" w:hAnsi="Arial"/>
          <w:sz w:val="16"/>
          <w:szCs w:val="16"/>
          <w:b w:val="1"/>
          <w:bCs w:val="1"/>
          <w:color w:val="auto"/>
        </w:rPr>
        <w:t>Note 7 - Common Stock</w:t>
      </w:r>
      <w:r>
        <w:rPr>
          <w:rFonts w:ascii="Arial" w:cs="Arial" w:eastAsia="Arial" w:hAnsi="Arial"/>
          <w:sz w:val="16"/>
          <w:szCs w:val="16"/>
          <w:color w:val="auto"/>
        </w:rPr>
        <w:t xml:space="preserve"> for more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Three-Year Construction Expenditures, Debt Maturities, and Financing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 estimates natural gas segment construction expenditures during the three-year period ending December 31, 2023 will be approximately $2.1 billion. Of this amount, approximately $700 million is expected to be incurred in 2021.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During the three-year period, cash flows from operating activities of Southwest are expected to provide approximately 50% of the funding for gas operations total construction expenditures and dividend requirements. From a debt maturity standpoint, Southwest has $250 million 3.875% notes and $25 million 7.78% medium-term notes due in 2022. Any additional cash requirements, including construction-related and any paydown or refinancing of debt,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as well as growth levels in Southwest’s service areas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ind w:right="600"/>
        <w:spacing w:after="0" w:line="375" w:lineRule="auto"/>
        <w:rPr>
          <w:sz w:val="20"/>
          <w:szCs w:val="20"/>
          <w:color w:val="auto"/>
        </w:rPr>
      </w:pPr>
      <w:r>
        <w:rPr>
          <w:rFonts w:ascii="Arial" w:cs="Arial" w:eastAsia="Arial" w:hAnsi="Arial"/>
          <w:sz w:val="18"/>
          <w:szCs w:val="18"/>
          <w:color w:val="auto"/>
        </w:rPr>
        <w:t xml:space="preserve">and earnings. External financings could include the issuance of debt securities, bank and other short-term borrowings, and other forms of financing. </w:t>
      </w:r>
      <w:r>
        <w:rPr>
          <w:rFonts w:ascii="Arial" w:cs="Arial" w:eastAsia="Arial" w:hAnsi="Arial"/>
          <w:sz w:val="18"/>
          <w:szCs w:val="18"/>
          <w:i w:val="1"/>
          <w:iCs w:val="1"/>
          <w:color w:val="auto"/>
        </w:rPr>
        <w:t>Liquidity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December 31, 2020, the combined balance in the PGA accounts totaled an over-collection of $52.6 million. See </w:t>
      </w:r>
      <w:r>
        <w:rPr>
          <w:rFonts w:ascii="Arial" w:cs="Arial" w:eastAsia="Arial" w:hAnsi="Arial"/>
          <w:sz w:val="18"/>
          <w:szCs w:val="18"/>
          <w:b w:val="1"/>
          <w:bCs w:val="1"/>
          <w:color w:val="auto"/>
        </w:rPr>
        <w:t>PGA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Filings </w:t>
      </w:r>
      <w:r>
        <w:rPr>
          <w:rFonts w:ascii="Arial" w:cs="Arial" w:eastAsia="Arial" w:hAnsi="Arial"/>
          <w:sz w:val="18"/>
          <w:szCs w:val="18"/>
          <w:color w:val="auto"/>
        </w:rPr>
        <w:t>for more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Gas Holdings, Inc. has a credit facility with a borrowing capacity of $100 million; in April 2020, the existing credit facility was amended to extend the maturity date to April 2025, while maintaining the borrowing capacity at $100 million. This facility is intended for short-term financing needs. The maximum amount outstanding during 2020 occurred during the first quarter and was $67 million. At December 31, 2020, $50 million was outstanding under this facility.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credit facility with a borrowing capacity of $400 million; in April 2020, Southwest amended the credit facility agreement which extended the maturity date to April 2025. The revolving borrowing capacity under the amended credit facility agreement remains at $400 million following that amendment. Southwest designates $150 million of the facility for long-term borrowing needs and the remaining $250 million for working capital purposes. The maximum amount outstanding during 2020 occurred during the first quarter and was $344 million ($150 million outstanding on the long-term portion of the credit facility, including $50 million under the commercial paper program, in addition to $194 million outstanding on the short-term portion). As of December 31, 2020, $150 million was outstanding on the long-term portion of the credit facility (including $50 million under the commercial paper program), and $57 million was outstanding on the short-term portion. The maximum amount outstanding on the long-term portion of the credit facility (including the commercial paper program) during each of the first, second, third, and fourth quarters of 2020, respectively, was $150 million, $150 million, $64 million and $150 million; the maximum outstanding balance on the short-term portion for each of the first, second, and fourth quarters was $194 million, $161 million, and $57 million, respectively, with none outstanding in the third quarter. The credit facility has been used as necessary to meet liquidity requirements, including temporarily financing under-collected PGA balances, meeting the refund needs of over-collected balances, or temporarily funding capital expenditures.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as noted above.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2020, $50 million was outstanding on the commercial paper program.</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June 2020, Southwest issued $450 million aggregate principal amount of 2.20% Senior Notes with a maturity date in June 2030.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for more information.</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discussed above). The Company issued $254 million under this multi-year program for the life-to-date period ended December 31, 2020.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See </w:t>
      </w:r>
      <w:r>
        <w:rPr>
          <w:rFonts w:ascii="Arial" w:cs="Arial" w:eastAsia="Arial" w:hAnsi="Arial"/>
          <w:sz w:val="16"/>
          <w:szCs w:val="16"/>
          <w:b w:val="1"/>
          <w:bCs w:val="1"/>
          <w:color w:val="auto"/>
        </w:rPr>
        <w:t>Note 7 - Common Stock.</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Centuri has a senior secured revolving credit and term loan facility with an initial borrowing capacity of $590 million. The line of credit portion comprises $325 million; associated amounts borrowed and repaid are available to be reborrowed. The term loan facility portion has a limit of approximately $265 million. The $590 million credit and term loan facility expires in November 2023. It is secured by substantially all of Centuri’s assets except those explicitly excluded under the terms of the agreement (including owned real estate and certain certificated vehicles). Centuri assets securing the facility at December 31, 2020 totaled $1.4 billion. At December 31, 2020, $227 million was outstanding (after repayments) on the term facility. The maximum amount outstanding on the credit facility during 2020 was $312 million, which occurred in the second quarter, at which point $235 million was outstanding on the term loan facility. As of December 31, 2020, there was $27 million</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outstanding and approximately $266 million, net of outstanding letters of credit, available to be borrowed on the Centuri secured revolving credit facility.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Interest rates for the amended credit facilities of the holding company and Southwest are calculated at either LIBOR or an “alternate base rate,” plus, in each case, an applicable margin determined based on each entities’ respective senior unsecured long-term debt rating. Upon the occurrence of certain events providing for a transition away from LIBOR, or if LIBOR is no longer a widely recognized benchmark rate, each entity may amend their respective credit facility with a replacement rate as set forth in the amended credit facility agreement. It is currently anticipated that LIBOR may be discontinued as a benchmark or reference rate after 2021. As of December 31, 2020, $50 million of borrowings outstanding for the holding company under its credit facility, $157 million of Southwest’s outstanding borrowings under its credit facility (other than from its commercial paper program), and $145 million of Centuri’s outstanding borrowings under its credit facility have interest rates with reference to LIBOR and maturity dates that extend beyond 2021. The outstanding amounts reflect approximately 6% of Southwest’s total debt and 12% of total debt (including current maturities) for 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 See Reference Rate Reform (ASU 2020-04) discussion under the recently issued accounting pronouncements that will be effective after 2021 in </w:t>
      </w:r>
      <w:r>
        <w:rPr>
          <w:rFonts w:ascii="Arial" w:cs="Arial" w:eastAsia="Arial" w:hAnsi="Arial"/>
          <w:sz w:val="17"/>
          <w:szCs w:val="17"/>
          <w:b w:val="1"/>
          <w:bCs w:val="1"/>
          <w:color w:val="auto"/>
        </w:rPr>
        <w:t>Note 1 - Background, Organization, Summary of</w:t>
      </w:r>
      <w:r>
        <w:rPr>
          <w:rFonts w:ascii="Arial" w:cs="Arial" w:eastAsia="Arial" w:hAnsi="Arial"/>
          <w:sz w:val="17"/>
          <w:szCs w:val="17"/>
          <w:color w:val="auto"/>
        </w:rPr>
        <w:t xml:space="preserve"> </w:t>
      </w:r>
      <w:r>
        <w:rPr>
          <w:rFonts w:ascii="Arial" w:cs="Arial" w:eastAsia="Arial" w:hAnsi="Arial"/>
          <w:sz w:val="17"/>
          <w:szCs w:val="17"/>
          <w:b w:val="1"/>
          <w:bCs w:val="1"/>
          <w:color w:val="auto"/>
        </w:rPr>
        <w:t>Significant Accounting Policies</w:t>
      </w:r>
      <w:r>
        <w:rPr>
          <w:rFonts w:ascii="Arial" w:cs="Arial" w:eastAsia="Arial" w:hAnsi="Arial"/>
          <w:sz w:val="17"/>
          <w:szCs w:val="17"/>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creditworthiness of an issuer. Credit ratings are important because long-term debt constitutes a significant portion of total capitalization. These credit ratings are a factor considered by lenders when determining the cost of current and future debt for both Southwest and Southwest Gas Holdings, Inc. (i.e., generally the better the rating, the lower the cost to borrow funds). The current unsecured long-term debt ratings of both companies are all considered investment grade.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Moody's (1)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Standard &amp; Poor's (2)</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Fitch (3)</w:t>
            </w: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Baa2</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BBB+</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Stable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2021</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2020</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2020</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Senior unsecured long-term debt</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Baa1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Stable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2021</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2020</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2020</w:t>
            </w:r>
          </w:p>
        </w:tc>
      </w:tr>
    </w:tbl>
    <w:p>
      <w:pPr>
        <w:spacing w:after="0" w:line="70" w:lineRule="exact"/>
        <w:rPr>
          <w:sz w:val="20"/>
          <w:szCs w:val="20"/>
          <w:color w:val="auto"/>
        </w:rPr>
      </w:pPr>
    </w:p>
    <w:p>
      <w:pPr>
        <w:jc w:val="both"/>
        <w:ind w:left="180" w:hanging="10"/>
        <w:spacing w:after="0" w:line="251" w:lineRule="auto"/>
        <w:tabs>
          <w:tab w:leader="none" w:pos="666"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 The Moody’s outlook of “stable” was updated and the ratings were lowered in January 2021 for both Southwest and the Company, reflected herein. Moody’s cited regulatory lag, the impacts of tax reform, and borrowings to fund capital expenditures as the primary drivers.</w:t>
      </w:r>
    </w:p>
    <w:p>
      <w:pPr>
        <w:ind w:left="180" w:hanging="10"/>
        <w:spacing w:after="0" w:line="246" w:lineRule="auto"/>
        <w:tabs>
          <w:tab w:leader="none" w:pos="66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Standard &amp; Poor’s (“S&amp;P”) debt ratings range from AAA (highest rating possible) to D (obligation is in default). The ratings from ‘AA’ to ‘CCC’ may be modified by the addition of a plus “+” or minus “-” sign to show relative standing within the major rating categories.</w:t>
      </w:r>
    </w:p>
    <w:p>
      <w:pPr>
        <w:ind w:left="180" w:hanging="10"/>
        <w:spacing w:after="0" w:line="257" w:lineRule="auto"/>
        <w:tabs>
          <w:tab w:leader="none" w:pos="666"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Fitch debt ratings range from AAA (highest credit quality) to D (defaulted debt obligation). The modifiers “+” or “-” may be appended to a rating to denote relative status within major rating categories.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Notes due 2041 are also subject to a</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minimum net worth requirement. At December 31, 2020, Southwest was in compliance with all of its covenants. Under the most restrictive of the financial covenants, approximately $2.7 billion in additional debt could be issued and the leverage ratio requirement would still be met. At least $1.7 billion of cushion in equity relating to the minimum net worth requirement exists at December 31, 2020. No specific limitations as to dividends exist under the collective covenants. None of the debt instruments contain material adverse change clauses.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Southwest Gas Holdings, Inc. was also in compliance with all of its credit facility covenants. Interest and fees on the credit facility are subject to adjustment depending on its credit ratings. The credit facility is subject to a leverage ratio cap. No specific limitations as to dividends exist under the collective covenants. The credit facility does not contain a material adverse change clause.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Centuri debt instruments have leverage ratio caps and fixed charge ratio coverage requirements. At December 31, 2020, Centuri was in compliance with all of its covenants. Under the most restrictive of the covenants, Centuri could issue over $318 million in additional debt and meet the leverage ratio requirement. Centuri has at least $115 million of cushion relating to the minimum fixed charge ratio coverage requirement. Centuri’s revolving credit and term loan facility is secured by underlying assets of the utility infrastructure services segment. Centuri also has restrictions on how much it could give to the Company in cash dividends, which is limited to 60% of its rolling twelve-month consolidated net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The Company estimates bonus depreciation will defer the payment of approximately $26 million (none of which relates to utility operations) of federal income taxes for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Inflation can impact results of operations for Southwest and Centuri. Labor, employee benefits, natural gas, professional services, and construction costs are the categories most significantly impacted by inflation. Changes to the cost of gas are generally recovered through PGA mechanisms and do not significantly impact net earnings. Labor, employee benefits, and professional services are components of the cost of service, and gas infrastructure costs are the primary component of utility rate base. In order to recover increased costs, and earn a fair return on rate base, general rate cases are filed by Southwest,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a discussion of recent rate case proceedings.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All debt is recorded on the balance sheet. Long-term operating and finance leases are described in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and included in the Contractual Obligations table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contractual obligations at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ind w:left="640"/>
              <w:spacing w:after="0"/>
              <w:rPr>
                <w:sz w:val="20"/>
                <w:szCs w:val="20"/>
                <w:color w:val="auto"/>
              </w:rPr>
            </w:pPr>
            <w:r>
              <w:rPr>
                <w:rFonts w:ascii="Arial" w:cs="Arial" w:eastAsia="Arial" w:hAnsi="Arial"/>
                <w:sz w:val="18"/>
                <w:szCs w:val="18"/>
                <w:color w:val="auto"/>
              </w:rPr>
              <w:t>Payments due by period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(Millions of dollars)</w:t>
            </w:r>
          </w:p>
        </w:tc>
        <w:tc>
          <w:tcPr>
            <w:tcW w:w="24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0"/>
              </w:rPr>
              <w:t>2022-2023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0"/>
              </w:rPr>
              <w:t>2024-2025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1"/>
              </w:rPr>
              <w:t>Thereafter</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Interest on long-term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capacity/storage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Gas purchase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table above, operating leases represent multi-year obligations for buildings, land, equipment and vehicles. Other commitments include obligations relating to the CDMI, as described in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Gas purchase obligations include fixed-price and variable-rate gas purchase contracts. Variable-rate contracts reflect minimum contractual obligations with estimation in pricing based on market price information. Actual future variable-rate purchase commitments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p>
      <w:pPr>
        <w:jc w:val="both"/>
        <w:spacing w:after="0" w:line="301" w:lineRule="auto"/>
        <w:rPr>
          <w:sz w:val="20"/>
          <w:szCs w:val="20"/>
          <w:color w:val="auto"/>
        </w:rPr>
      </w:pPr>
      <w:r>
        <w:rPr>
          <w:rFonts w:ascii="Arial" w:cs="Arial" w:eastAsia="Arial" w:hAnsi="Arial"/>
          <w:sz w:val="16"/>
          <w:szCs w:val="16"/>
          <w:color w:val="auto"/>
        </w:rPr>
        <w:t>may vary depending on market prices at the time of delivery and these values may change significantly from their estimated amounts. Certain other variable-rate contracts allow for variability in quantities for which associated demand charges are included in the Gas purchase obligations line above, based on the maximum daily quantities available under the contracts. Excluded from the table are renewable natural gas purchase obligations in which the commencement dates are not specifically determinable and the volumes and contract prices are inestimable until certain contract provisions are met.</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has pipeline capacity/storage contracts for firm transportation service, both on a short- and long-term basis, with several companies for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Included in the pipeline capacity payments shown in the above table, are payments associated with storage that Southwest has contracted for in southern California.</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Debt-related obligations in the table above consist of scheduled principal and interest payments over the life of the debt. Interest rates in effect at December 31, 2020 on variable rate long-term debt were assumed to remain in effect in the future periods disclosed in the table. Interest on long-term debt includes future interest payments of $1.3 billion for Southwest and $15 million for Centuri.</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Pension</w:t>
      </w:r>
      <w:r>
        <w:rPr>
          <w:rFonts w:ascii="Arial" w:cs="Arial" w:eastAsia="Arial" w:hAnsi="Arial"/>
          <w:sz w:val="18"/>
          <w:szCs w:val="18"/>
          <w:color w:val="auto"/>
        </w:rPr>
        <w:t>: Estimated funding for pension and other postretirement benefits during calendar year 2021 is $105 million (including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contribution of $50 million) and is not included in the table above. As changes to the discount rate have a significant impact on the pension obligation and estimated future costs, and as the discount rate at the end of 2020 was at a low not experienced in many decades, Southwest elected to make a discretionary supplemental contribution to the pension plan of $50 million in January 2021. This additional contribution was made to mitigate the expected increase in pension costs and provide for additional returns on the increased level of plan assets available for benefits. Funding amounts for years beyond 2021 are not currently known.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FASB routinely issues Accounting Standards Updates. See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for more information regarding these Accounting Standards Updates and their potential impact on the Company’s and Southwest’s financial position, results of operations, and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Natural gas operations are subject to the regulation of the ACC, the PUCN, the CPUC, and the FERC.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will occur. Companies are also permitted to recognize, as regulatory assets, amounts associated with various revenue 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refunded to customers through the ratemaking process. The timing and inclusion of costs in rates is often delayed (regulatory lag) and results in a reduction of current-period earnings. Refer to </w:t>
      </w:r>
      <w:r>
        <w:rPr>
          <w:rFonts w:ascii="Arial" w:cs="Arial" w:eastAsia="Arial" w:hAnsi="Arial"/>
          <w:sz w:val="16"/>
          <w:szCs w:val="16"/>
          <w:b w:val="1"/>
          <w:bCs w:val="1"/>
          <w:color w:val="auto"/>
        </w:rPr>
        <w:t>Note 5 - Regulatory Assets and Liabilities</w:t>
      </w:r>
      <w:r>
        <w:rPr>
          <w:rFonts w:ascii="Arial" w:cs="Arial" w:eastAsia="Arial" w:hAnsi="Arial"/>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Utility Revenues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jc w:val="both"/>
        <w:spacing w:after="0" w:line="301" w:lineRule="auto"/>
        <w:rPr>
          <w:sz w:val="20"/>
          <w:szCs w:val="20"/>
          <w:color w:val="auto"/>
        </w:rPr>
      </w:pPr>
      <w:r>
        <w:rPr>
          <w:rFonts w:ascii="Arial" w:cs="Arial" w:eastAsia="Arial" w:hAnsi="Arial"/>
          <w:sz w:val="16"/>
          <w:szCs w:val="16"/>
          <w:color w:val="auto"/>
        </w:rPr>
        <w:t>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noncontributory qualified retirement plan with defined benefits covering substantially all employees. In addition, there is a separate unfunded supplemental retirement plan which is limited to officers.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$57 million and future pension expense by $6 million. A change of 0.25% in the employee compensation assumption would change the pension obligation by approximately $15 million and expense by $3 million. A 0.25% change in the expected asset return assumption would change pension expense by approximately $3 million (but has no impact on the pension obligation).</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2020, the discount rate was 2.75%, a decrease from the 3.50% rate used at December 31, 2019. The methodology utilized to determine the discount rate was consistent with prior years. The weighted-average rate of compensation escalation decreased to 3.00% at December 31, 2020 compared to the 3.25% rate used at December 31, 2019. The asset return assumption of 6.50% to be used for 2021 expense was reduced from the 6.75% rate utilized for 2020. Pension costs for 2021 are estimated to increase approximately $600,000 as compared to that experienced in 2020. Future years’ expense level movements (up or down) will continue to be greatly influenced by long-term interest rates, asset returns, and funding levels.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is assessed for impairment annually as of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 The assumptions we use in our analysis are subject to uncertainty, and declines in the future performance of our reporting units and changing business conditions could result in the recognition of impairment charges, which could be significant. The Company’s reporting units are the same as its segments (natural gas operations and utility infrastructure services) for purposes of impairment evaluation. Almost all of the goodwill on the Company’s consolidated balance sheet pertains to the utility infrastructure services segment.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6"/>
          <w:szCs w:val="16"/>
          <w:color w:val="auto"/>
        </w:rPr>
        <w:t>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estimates in valuing certain intangible assets include, but are not limited to, future expected cash flows of the acquired business, trademarks, customer relationships, technology obsolescence,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2020 are included as exhibits to the 2020 Annual Report on Form 10-K filed with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annual report contains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including that experienced related to gas prices in early 2021, seasonal patterns, payment of debt, the Company’s COLI strategy, replacement market and new construction market, impacts from the novel Coronavirus (COVID-19), including on our employees, customers, supply chain, transportation network, our financial position, revenue, earnings, cash flows, debt covenants, operations, regulatory recovery, work deployment or resumption and related uncertainties stemming from this pandemic, expected impacts of valuation adjustments associated with any redeemable noncontrolling interest, the impacts of U.S. tax reform including disposition in regulatory proceedings, including future proceedings, and bonus depreciation tax deductions, the impact of recent PHMSA rulemaking, the amounts and timing for completion of estimated future construction expenditures and other projects, plans to pursue infrastructure programs or programs under SB151 legislation, forecasted operating cash flows and results of operations, net earnings impacts or recovery of costs from gas infrastructure replacement and COYL programs and surcharges, including from pending proceedings, funding sources of cash requirements, amounts generally expected to be reflected in future period revenues from regulatory rate proceedings including amounts requested or preliminarily settled from recent and ongoing general rate cases, the outcome of judicial review of the previous Nevada rate case,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Equity Shelf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derivative financial instruments, recoverability of regulatory assets, the impact of certain legal proceedings, and the timing and results of future rate hearings, the final resolution for recovery of the CDMI in all jurisdictions, and statements regarding pending procedures or approvals are forward-looking statements. All forward-looking statements are intended to be subject to the safe harbor protection provided by the Reform Act.</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jc w:val="both"/>
        <w:spacing w:after="0" w:line="284"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sustained restriction on commerce by government officials or otherwise, including impacts on employment in our territories, the health impacts to our customers and employees due to the persistence of the virus, the ability to collect on customer accounts due to the current or an extended moratorium on late fees or service disconnection, the ability to obtain regulatory recovery of all costs and financial impacts resulting from this pandemic, the ability of the infrastructure services business to resume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following the resumption of commerce in our territories, and decisions of Centuri customers as to whether to pursue capital projects due to economic impacts resulting from the pandemic or otherwise, the ability to recover costs through the PGA mechanisms or other regulatory assets, the effects of regulation/deregulation, governmental or regulatory policy regarding pipeline safety,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the impact of weather on Centuri’s operations, future acquisition-related costs,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Item 7A. Quantitative and Qualitative Disclosures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About Market Risk </w:t>
      </w:r>
      <w:r>
        <w:rPr>
          <w:rFonts w:ascii="Arial" w:cs="Arial" w:eastAsia="Arial" w:hAnsi="Arial"/>
          <w:sz w:val="16"/>
          <w:szCs w:val="16"/>
          <w:color w:val="auto"/>
        </w:rPr>
        <w:t>in this Annual Report on Form 10-K for the year ended December 31, 2020.</w:t>
      </w:r>
    </w:p>
    <w:p>
      <w:pPr>
        <w:spacing w:after="0" w:line="2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Arial" w:cs="Arial" w:eastAsia="Arial" w:hAnsi="Arial"/>
          <w:sz w:val="16"/>
          <w:szCs w:val="16"/>
          <w:b w:val="1"/>
          <w:bCs w:val="1"/>
          <w:color w:val="auto"/>
        </w:rPr>
        <w:t>We caution you to not rely unduly on any forward-looking statement(s).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 and Dividend Information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principal market on which the common stock of the Company is traded is the New York Stock Exchange and the ticker symbol of the stock is “SWX.” At February 16, 2021, there were 11,690 holders of record of common stock, and the market price of the common stock was $62.36.</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credit ratings and liquidity. The quarterly common stock dividend declared was 52.0 cents per share throughout 2018, 54.5 cents per share throughout 2019, and 57.0 cents per share throughout 2020. The Company has paid dividends on its common stock since 1956 and has increased that dividend each year since 2007. In February 2021, the Board elected to increase the quarterly dividend from $0.570 to $0.595 per share, representing a 4.4% increase, effective with the June 2021 payment. The Board currently targets a payout ratio of 55% to 65% of consolidated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dollars,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209"/>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Utility plant: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Gas plant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7,813,221</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(2,419,348)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(2,313,050)</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185,026</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utility plant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6,176,081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5,685,197</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investments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834,245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784,173</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49,539</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Accounts receivable, net of allowances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474,097</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79,100</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31,751</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44,412</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180,957</w:t>
            </w:r>
          </w:p>
        </w:tc>
      </w:tr>
      <w:tr>
        <w:trPr>
          <w:trHeight w:val="212"/>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871,013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859,856</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343,023</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496,943</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854,514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840,822</w:t>
            </w:r>
          </w:p>
        </w:tc>
      </w:tr>
      <w:tr>
        <w:trPr>
          <w:trHeight w:val="23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8,735,853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8,170,048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Common stock, $1 par (authorized – 120,000,000 shares; issued and outstanding – 57,192,925 and 55,007,433 shares)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56,637</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1,466,937</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(56,732)</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1,039,072</w:t>
            </w: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Southwest Gas Holdings, Inc. equity</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2,674,953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2,505,914</w:t>
            </w:r>
          </w:p>
        </w:tc>
      </w:tr>
      <w:tr>
        <w:trPr>
          <w:trHeight w:val="206"/>
        </w:trPr>
        <w:tc>
          <w:tcPr>
            <w:tcW w:w="8840" w:type="dxa"/>
            <w:vAlign w:val="bottom"/>
          </w:tcPr>
          <w:p>
            <w:pPr>
              <w:ind w:left="34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165,716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84,542</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2,300,482</w:t>
            </w:r>
          </w:p>
        </w:tc>
      </w:tr>
      <w:tr>
        <w:trPr>
          <w:trHeight w:val="207"/>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5,572,869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4,890,938</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163,512</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Short-term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211,000</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238,921</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69,165</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Accrued general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48,640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48,160</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Deferred purchased gas costs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60,755</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264,950</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911,967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1,079,861</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647,453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599,840</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removal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395,000</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1,199,564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1,204,409</w:t>
            </w: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2,251,017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2,199,249</w:t>
            </w:r>
          </w:p>
        </w:tc>
      </w:tr>
      <w:tr>
        <w:trPr>
          <w:trHeight w:val="206"/>
        </w:trPr>
        <w:tc>
          <w:tcPr>
            <w:tcW w:w="8840" w:type="dxa"/>
            <w:vAlign w:val="bottom"/>
          </w:tcPr>
          <w:p>
            <w:pPr>
              <w:ind w:left="2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8,735,853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8,170,048</w:t>
            </w:r>
          </w:p>
        </w:tc>
      </w:tr>
      <w:tr>
        <w:trPr>
          <w:trHeight w:val="24"/>
        </w:trPr>
        <w:tc>
          <w:tcPr>
            <w:tcW w:w="8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43" w:right="359" w:bottom="1440" w:gutter="0" w:footer="0" w:header="0"/>
          <w:type w:val="continuous"/>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Gas 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1,350,585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1,368,939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1,357,728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Utility infrastructure services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1,948,288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1,750,978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1,522,285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3,298,873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3,119,917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2,880,013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cost of gas sold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419,388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406,393</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303,237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249,212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Utility infrastructure services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1,729,429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1,573,227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1,387,689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2,875,869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2,748,106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2,522,580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357,433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interest deductions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(96,671)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(deductions)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and (expenses)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(114,097)</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243,336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61,684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 attributable to noncontrolling interest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Southwest Gas Holdings,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182,277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49,419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49,476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181,652</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26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(15,524)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25,549</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Prior service cost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w:t>
            </w:r>
          </w:p>
        </w:tc>
      </w:tr>
      <w:tr>
        <w:trPr>
          <w:trHeight w:val="213"/>
        </w:trPr>
        <w:tc>
          <w:tcPr>
            <w:tcW w:w="7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4,783</w:t>
            </w:r>
          </w:p>
        </w:tc>
      </w:tr>
      <w:tr>
        <w:trPr>
          <w:trHeight w:val="193"/>
        </w:trPr>
        <w:tc>
          <w:tcPr>
            <w:tcW w:w="7580" w:type="dxa"/>
            <w:vAlign w:val="bottom"/>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7"/>
        </w:trPr>
        <w:tc>
          <w:tcPr>
            <w:tcW w:w="75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4,314</w:t>
            </w: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185,966</w:t>
            </w:r>
          </w:p>
        </w:tc>
      </w:tr>
      <w:tr>
        <w:trPr>
          <w:trHeight w:val="213"/>
        </w:trPr>
        <w:tc>
          <w:tcPr>
            <w:tcW w:w="75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Southwest Gas Holdings,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186,591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216,647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181,652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303,237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249,212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51,041</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Accounts receivable, net of allowances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(15,862)</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Accrued utility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82,574</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(11,955)</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Other current assets and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107,427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 of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AFUDC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(825,105)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(938,148)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(765,914)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(251,373)</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customer advances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(802,069)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(951,632)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(999,483)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common stock,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354,402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(100,240)</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long-term debt,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662,377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531,596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565,172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(237,758)</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 in short-term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415,280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512,574</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Effects of currency translation on cash and cash equivalents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43,622</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85,361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86,562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Income taxes paid (received),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48,090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53,026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56,637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54,656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49,720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54,656</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1,466,937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1,305,769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955,332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353,147</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1,466,937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1,305,769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(47,682)</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060"/>
              <w:spacing w:after="0" w:line="169" w:lineRule="exact"/>
              <w:rPr>
                <w:sz w:val="20"/>
                <w:szCs w:val="20"/>
                <w:color w:val="auto"/>
              </w:rPr>
            </w:pPr>
            <w:r>
              <w:rPr>
                <w:rFonts w:ascii="Arial" w:cs="Arial" w:eastAsia="Arial" w:hAnsi="Arial"/>
                <w:sz w:val="16"/>
                <w:szCs w:val="16"/>
                <w:color w:val="auto"/>
                <w:w w:val="95"/>
              </w:rPr>
              <w:t>Net actuarial gain (loss) arising during period, less amortization of unamortized benefit plan cost,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net of tax</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Reclassification of excess deferred taxes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(56,732)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(52,668)</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1,039,072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944,285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857,398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182,277</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Redemption value adjustments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Dividends declared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(104,690)</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Reclassification of excess deferred taxes</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1,039,072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944,285</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Southwest Gas Holdings, Inc. equity 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2,674,953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2,505,914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2,252,042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equity ending balances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2,674,953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2,505,914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2,251,590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December 31,</w:t>
            </w:r>
          </w:p>
        </w:tc>
      </w:tr>
      <w:tr>
        <w:trPr>
          <w:trHeight w:val="209"/>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Utility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Gas plant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7,813,221</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(2,419,348)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(2,313,050)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185,026</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utility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6,176,081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5,685,197</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investments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133,787</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40,489</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150,793</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25,901</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44,412</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165,639</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506,334</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463,333</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473,428</w:t>
            </w:r>
          </w:p>
        </w:tc>
      </w:tr>
      <w:tr>
        <w:trPr>
          <w:trHeight w:val="207"/>
        </w:trPr>
        <w:tc>
          <w:tcPr>
            <w:tcW w:w="8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7,256,636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6,798,746</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6"/>
        </w:trPr>
        <w:tc>
          <w:tcPr>
            <w:tcW w:w="8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Common stock</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49,112</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1,229,083</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(55,151)</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782,108</w:t>
            </w:r>
          </w:p>
        </w:tc>
      </w:tr>
      <w:tr>
        <w:trPr>
          <w:trHeight w:val="207"/>
        </w:trPr>
        <w:tc>
          <w:tcPr>
            <w:tcW w:w="8840" w:type="dxa"/>
            <w:vAlign w:val="bottom"/>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2,233,468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2,005,152</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2,438,206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1,991,333</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4,671,674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3,996,485</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Short-term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194,000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149,368</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69,165</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general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21,256</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60,755</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Payable to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126,573</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795,121</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581,100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539,050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removal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395,000</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1,073,090</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2,028,437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2,007,140</w:t>
            </w:r>
          </w:p>
        </w:tc>
      </w:tr>
      <w:tr>
        <w:trPr>
          <w:trHeight w:val="206"/>
        </w:trPr>
        <w:tc>
          <w:tcPr>
            <w:tcW w:w="8840" w:type="dxa"/>
            <w:vAlign w:val="bottom"/>
          </w:tcPr>
          <w:p>
            <w:pPr>
              <w:ind w:left="2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7,256,636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6,798,746</w:t>
            </w:r>
          </w:p>
        </w:tc>
      </w:tr>
      <w:tr>
        <w:trPr>
          <w:trHeight w:val="24"/>
        </w:trPr>
        <w:tc>
          <w:tcPr>
            <w:tcW w:w="8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Gas operating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cost of gas sold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Operations and maintenance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Taxes other than income taxes</w:t>
      </w:r>
    </w:p>
    <w:p>
      <w:pPr>
        <w:spacing w:after="0" w:line="55" w:lineRule="exact"/>
        <w:rPr>
          <w:sz w:val="20"/>
          <w:szCs w:val="20"/>
          <w:color w:val="auto"/>
        </w:rPr>
      </w:pPr>
    </w:p>
    <w:p>
      <w:pPr>
        <w:ind w:left="20" w:right="380" w:firstLine="648"/>
        <w:spacing w:after="0" w:line="299" w:lineRule="auto"/>
        <w:rPr>
          <w:sz w:val="20"/>
          <w:szCs w:val="20"/>
          <w:color w:val="auto"/>
        </w:rPr>
      </w:pPr>
      <w:r>
        <w:rPr>
          <w:rFonts w:ascii="Arial" w:cs="Arial" w:eastAsia="Arial" w:hAnsi="Arial"/>
          <w:sz w:val="16"/>
          <w:szCs w:val="16"/>
          <w:color w:val="auto"/>
        </w:rPr>
        <w:t>Total operating expenses Operating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and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interest deductions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(deductions)</w:t>
      </w:r>
    </w:p>
    <w:p>
      <w:pPr>
        <w:spacing w:after="0" w:line="20" w:lineRule="exact"/>
        <w:rPr>
          <w:sz w:val="20"/>
          <w:szCs w:val="20"/>
          <w:color w:val="auto"/>
        </w:rPr>
      </w:pPr>
      <w:r>
        <w:rPr>
          <w:sz w:val="20"/>
          <w:szCs w:val="20"/>
          <w:color w:val="auto"/>
        </w:rPr>
        <w:br w:type="column"/>
      </w:r>
    </w:p>
    <w:p>
      <w:pPr>
        <w:jc w:val="center"/>
        <w:ind w:right="3320"/>
        <w:spacing w:after="0" w:line="263" w:lineRule="auto"/>
        <w:rPr>
          <w:sz w:val="20"/>
          <w:szCs w:val="20"/>
          <w:color w:val="auto"/>
        </w:rPr>
      </w:pPr>
      <w:r>
        <w:rPr>
          <w:rFonts w:ascii="Arial" w:cs="Arial" w:eastAsia="Arial" w:hAnsi="Arial"/>
          <w:sz w:val="18"/>
          <w:szCs w:val="18"/>
          <w:color w:val="auto"/>
        </w:rPr>
        <w:t>SOUTHWEST GAS CORPORATION AND SUBSIDIARIES CONSOLIDATED STATEMENTS OF INCOME (Thousands of dollars)</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Year Ended December 31,</w:t>
      </w:r>
    </w:p>
    <w:p>
      <w:pPr>
        <w:spacing w:after="0" w:line="22" w:lineRule="exact"/>
        <w:rPr>
          <w:sz w:val="20"/>
          <w:szCs w:val="20"/>
          <w:color w:val="auto"/>
        </w:rPr>
      </w:pPr>
    </w:p>
    <w:tbl>
      <w:tblPr>
        <w:tblLayout w:type="fixed"/>
        <w:tblInd w:w="4200" w:type="dxa"/>
        <w:tblCellMar>
          <w:top w:w="0" w:type="dxa"/>
          <w:left w:w="0" w:type="dxa"/>
          <w:bottom w:w="0" w:type="dxa"/>
          <w:right w:w="0" w:type="dxa"/>
        </w:tblCellMar>
      </w:tblPr>
      <w:tr>
        <w:trPr>
          <w:trHeight w:val="213"/>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r>
      <w:tr>
        <w:trPr>
          <w:trHeight w:val="209"/>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1,350,585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1,368,939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1,357,728</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385,164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419,388</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404,813</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191,816</w:t>
            </w:r>
          </w:p>
        </w:tc>
      </w:tr>
      <w:tr>
        <w:trPr>
          <w:trHeight w:val="219"/>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59,898</w:t>
            </w:r>
          </w:p>
        </w:tc>
      </w:tr>
      <w:tr>
        <w:trPr>
          <w:trHeight w:val="209"/>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1,085,286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1,075,915</w:t>
            </w:r>
          </w:p>
        </w:tc>
      </w:tr>
      <w:tr>
        <w:trPr>
          <w:trHeight w:val="209"/>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302,611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283,653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281,813</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(101,148)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(81,740)</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-1530350</wp:posOffset>
            </wp:positionV>
            <wp:extent cx="710628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-1247140</wp:posOffset>
            </wp:positionV>
            <wp:extent cx="710628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-972820</wp:posOffset>
            </wp:positionV>
            <wp:extent cx="710628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-698500</wp:posOffset>
            </wp:positionV>
            <wp:extent cx="71062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-407035</wp:posOffset>
            </wp:positionV>
            <wp:extent cx="710628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-132715</wp:posOffset>
            </wp:positionV>
            <wp:extent cx="710628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60" w:space="720"/>
            <w:col w:w="7820"/>
          </w:cols>
          <w:pgMar w:left="320" w:top="1043" w:right="379" w:bottom="1440" w:gutter="0" w:footer="0" w:header="0"/>
        </w:sect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and (expenses)</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(85,509)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(98,980)</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182,833</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43,991</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138,842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63" w:name="page64"/>
    <w:bookmarkEnd w:id="63"/>
    <w:p>
      <w:pPr>
        <w:jc w:val="center"/>
        <w:ind w:right="-9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138,842</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(15,524)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25,549</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Prior service cost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w:t>
            </w:r>
          </w:p>
        </w:tc>
      </w:tr>
      <w:tr>
        <w:trPr>
          <w:trHeight w:val="212"/>
        </w:trPr>
        <w:tc>
          <w:tcPr>
            <w:tcW w:w="75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4,783</w:t>
            </w:r>
          </w:p>
        </w:tc>
      </w:tr>
      <w:tr>
        <w:trPr>
          <w:trHeight w:val="193"/>
        </w:trPr>
        <w:tc>
          <w:tcPr>
            <w:tcW w:w="7580" w:type="dxa"/>
            <w:vAlign w:val="bottom"/>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6"/>
        </w:trPr>
        <w:tc>
          <w:tcPr>
            <w:tcW w:w="75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146,166</w:t>
            </w:r>
          </w:p>
        </w:tc>
      </w:tr>
      <w:tr>
        <w:trPr>
          <w:trHeight w:val="23"/>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26"/>
        </w:trPr>
        <w:tc>
          <w:tcPr>
            <w:tcW w:w="7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2018</w:t>
            </w:r>
          </w:p>
        </w:tc>
      </w:tr>
      <w:tr>
        <w:trPr>
          <w:trHeight w:val="19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163,171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138,842</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191,816</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42,999</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(20,309)</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Accrued utility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purchased gas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82,574</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23,408</w:t>
            </w: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(18,732)</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Other current assets and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(91,444)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Equity AFUDC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(3,627)</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37,669</w:t>
            </w: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382,502</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CASH FLOW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(682,869)</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customer advances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13,463</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(677,412)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(759,842)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(669,392)</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Contributions from parent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159,936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113,549</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(87,000)</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long-term debt,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446,508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297,495</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of 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 in short-term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(39,000)</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280,906</w:t>
            </w:r>
          </w:p>
        </w:tc>
      </w:tr>
      <w:tr>
        <w:trPr>
          <w:trHeight w:val="206"/>
        </w:trPr>
        <w:tc>
          <w:tcPr>
            <w:tcW w:w="7580" w:type="dxa"/>
            <w:vAlign w:val="bottom"/>
          </w:tcPr>
          <w:p>
            <w:pPr>
              <w:ind w:left="360"/>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(5,984)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37,946</w:t>
            </w:r>
          </w:p>
        </w:tc>
      </w:tr>
      <w:tr>
        <w:trPr>
          <w:trHeight w:val="207"/>
        </w:trPr>
        <w:tc>
          <w:tcPr>
            <w:tcW w:w="7580" w:type="dxa"/>
            <w:vAlign w:val="bottom"/>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 (received),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1,229,083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1,065,242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948,767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Contributions from Southwest Gas Holdings, Inc.</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113,549</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1,410,345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1,229,083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1,065,242</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(47,073)</w:t>
            </w:r>
          </w:p>
        </w:tc>
        <w:tc>
          <w:tcPr>
            <w:tcW w:w="0" w:type="dxa"/>
            <w:vAlign w:val="bottom"/>
          </w:tcPr>
          <w:p>
            <w:pPr>
              <w:spacing w:after="0"/>
              <w:rPr>
                <w:sz w:val="1"/>
                <w:szCs w:val="1"/>
                <w:color w:val="auto"/>
              </w:rPr>
            </w:pPr>
          </w:p>
        </w:tc>
      </w:tr>
      <w:tr>
        <w:trPr>
          <w:trHeight w:val="166"/>
        </w:trPr>
        <w:tc>
          <w:tcPr>
            <w:tcW w:w="7600" w:type="dxa"/>
            <w:vAlign w:val="bottom"/>
          </w:tcPr>
          <w:p>
            <w:pPr>
              <w:ind w:left="900"/>
              <w:spacing w:after="0" w:line="166" w:lineRule="exact"/>
              <w:rPr>
                <w:sz w:val="20"/>
                <w:szCs w:val="20"/>
                <w:color w:val="auto"/>
              </w:rPr>
            </w:pPr>
            <w:r>
              <w:rPr>
                <w:rFonts w:ascii="Arial" w:cs="Arial" w:eastAsia="Arial" w:hAnsi="Arial"/>
                <w:sz w:val="16"/>
                <w:szCs w:val="16"/>
                <w:color w:val="auto"/>
                <w:w w:val="94"/>
              </w:rPr>
              <w:t>Net actuarial gain (loss) arising during period, less amortization of unamortized benefit plan cost, net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(8,451)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(8,643)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09"/>
        </w:trPr>
        <w:tc>
          <w:tcPr>
            <w:tcW w:w="7600" w:type="dxa"/>
            <w:vAlign w:val="bottom"/>
          </w:tcPr>
          <w:p>
            <w:pPr>
              <w:ind w:left="1060"/>
              <w:spacing w:after="0"/>
              <w:rPr>
                <w:sz w:val="20"/>
                <w:szCs w:val="20"/>
                <w:color w:val="auto"/>
              </w:rPr>
            </w:pPr>
            <w:r>
              <w:rPr>
                <w:rFonts w:ascii="Arial" w:cs="Arial" w:eastAsia="Arial" w:hAnsi="Arial"/>
                <w:sz w:val="16"/>
                <w:szCs w:val="16"/>
                <w:color w:val="auto"/>
              </w:rPr>
              <w:t>of tax</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Reclassification of excess deferred taxes</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659,193</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159,118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138,842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Dividends declared to Southwest Gas Holdings, Inc.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(89,500)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Reclassification of excess deferred taxes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835,146</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782,108</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717,155</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2,233,468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1,782,460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This is a combined annual report of Southwest Gas Holdings, Inc. and its subsidiaries (the “Company”) and Southwest Gas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(“Southwest” or the “natural gas operations” segment). The notes to the consolidated financial statements apply to both entities. Southwest Gas Holdings, Inc., a Delaware corporation, is a holding company, owning all of the shares of common stock of Southwest and all of the shares of common stock of Centuri Group, Inc. (“Centuri” or the “utility infrastructure services” segment).</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many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Company follows accounting principles generally accepted in the United States (“U.S. GAAP”) in accounting for all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Unless specified otherwise, all amounts are in U.S. dollars. Accounting for natural gas utility operations conforms with U.S. GAAP as applied to rate-regulated companies and as prescribed by federal agencies and commissions of the various states in which the utility operates.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are presented on a consolidated basis for Southwest Gas Holdings, Inc. and all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Corporation and all subsidiaries as of December 31, 2020 (except those accounted for using the equity method as discussed below). All significant intercompany balances and transactions have been eliminated with the exception of transactions between Southwest and Centuri in accordance with accounting treatment for rate-regulated entities.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related earnings, and dividends received from Western in 2020 and 2019 were not significant. Centuri’s maximum exposure to loss as a result of its involvement with Western was estimated at $12.2 million as of December 31, 2020.</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primarily used quoted market prices and other observable market pricing information in valuing cash and cash equivalents, derivatives, long-term debt outstanding, and assets of the qualified pension 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Utility Plant. </w:t>
      </w:r>
      <w:r>
        <w:rPr>
          <w:rFonts w:ascii="Arial" w:cs="Arial" w:eastAsia="Arial" w:hAnsi="Arial"/>
          <w:sz w:val="18"/>
          <w:szCs w:val="18"/>
          <w:color w:val="auto"/>
        </w:rPr>
        <w:t>Net utility plant includes gas plant at original cost, less the accumulated provision for depreciation and amortization, plus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unamortized balance of acquisition adjustments. Original cost generally includes contracted services, material, payroll, and related costs such as taxes and certain benefits, general and administrative expenses, and an allowance for funds used during construction, less contributions in aid of construction. See also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Southwest’s and the Company’s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140,874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132,072</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Total Southwest Gas Corporation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143,611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133,787</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983,905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(422,741)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(352,333)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Total Southwest Gas Holdings, Inc.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784,173</w:t>
            </w:r>
          </w:p>
        </w:tc>
      </w:tr>
      <w:tr>
        <w:trPr>
          <w:trHeight w:val="21"/>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 Intangible assets (other than goodwill) are amortized using the straight-line method to reflect the pattern of economic benefits consumed</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estimated periods benefited. The recoverability of intangible assets is evaluated when events or circumstances indicate that a revision of estimated useful lives is warranted or that an intangible asset may be impaired. Non-utility intangible assets are associated with utility infrastructure services businesses previously acquired. All have finite lives. These intangible assets are included in Other property and investments on the Company’s Consolidated Balance Sheets. Centuri’s intangible assets, not including goodwill, at December 31, 2020 and 2019, respectively,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December 31, 2020</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0"/>
              </w:rPr>
              <w:t>Gross Carrying</w:t>
            </w:r>
          </w:p>
        </w:tc>
        <w:tc>
          <w:tcPr>
            <w:tcW w:w="140" w:type="dxa"/>
            <w:vAlign w:val="bottom"/>
          </w:tcPr>
          <w:p>
            <w:pPr>
              <w:spacing w:after="0"/>
              <w:rPr>
                <w:sz w:val="14"/>
                <w:szCs w:val="14"/>
                <w:color w:val="auto"/>
              </w:rPr>
            </w:pPr>
          </w:p>
        </w:tc>
        <w:tc>
          <w:tcPr>
            <w:tcW w:w="1700" w:type="dxa"/>
            <w:vAlign w:val="bottom"/>
            <w:gridSpan w:val="2"/>
          </w:tcPr>
          <w:p>
            <w:pPr>
              <w:jc w:val="center"/>
              <w:ind w:right="220"/>
              <w:spacing w:after="0" w:line="169"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4"/>
                <w:szCs w:val="14"/>
                <w:color w:val="auto"/>
              </w:rPr>
            </w:pPr>
          </w:p>
        </w:tc>
        <w:tc>
          <w:tcPr>
            <w:tcW w:w="150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4"/>
              </w:rPr>
              <w:t>Net Carrying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0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backlog</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December 31, 2019</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backlog</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Amortization expense for the acquired intangible assets listed above for the years ended December 31, 2020, 2019, and 2018 was $10.8 million, $10.7 million, and $7.6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the intangible assets for the next five years and thereafter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10,343</w:t>
            </w:r>
          </w:p>
        </w:tc>
      </w:tr>
      <w:tr>
        <w:trPr>
          <w:trHeight w:val="25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10,255</w:t>
            </w: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10,255</w:t>
            </w:r>
          </w:p>
        </w:tc>
      </w:tr>
      <w:tr>
        <w:trPr>
          <w:trHeight w:val="257"/>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10,255</w:t>
            </w: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10,211</w:t>
            </w:r>
          </w:p>
        </w:tc>
      </w:tr>
      <w:tr>
        <w:trPr>
          <w:trHeight w:val="25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88,865</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140,184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additional information regarding natural gas operations intangible assets</w:t>
      </w:r>
      <w:r>
        <w:rPr>
          <w:rFonts w:ascii="Arial" w:cs="Arial" w:eastAsia="Arial" w:hAnsi="Arial"/>
          <w:sz w:val="18"/>
          <w:szCs w:val="18"/>
          <w:b w:val="1"/>
          <w:bCs w:val="1"/>
          <w:color w:val="auto"/>
        </w:rPr>
        <w: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for Southwest and the Company also include money market fund investments totaling approximately $40,000 for both entities at December 31, 2020, and $23.5 million and $26.7 million, for each, respectively, at December 31, 2019, which fall within Level 2 of the fair value hierarchy, due to the asset valuation methods used by money market funds.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Typical non-cash investing activities for Southwest include customer advances applied as contributions toward utility construction activity and capital expenditures that were not paid as of year end that are included in accounts payable. Amounts related to such activities were not significant for the periods presented herein. Also, 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information related to right-of-use (“ROU”) assets obtained in exchange for lease liabilities, which are non-cash investing and financing activities. ROU assets and lease liabilities are also subject to non-cash impacts as a result of other factors, such as lease terminations and modifications.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asset and liability method of accounting is utilized for the recognition of income taxes. Under the asset and liability method,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anticipated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 As of December 31, 2020, the Company had cumulative book earnings of approximately $47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has elected to treat GILTI as a current period cost when incurred and has considered the estimated 2020 GILTI impact, which was immaterial, in its 2020 tax expense.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Southwest to adjust its billing rates for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mid-February 2021, the central U.S. (from south Texas to North Dakota and the eastern Rocky Mountains) experienced extreme cold temperatures, which increased natural gas demand and caused temporary shortages due to wellhead freeze-off. These conditions caused daily natural gas prices to reach unprecedented levels. During this time, Southwest secured natural gas supplies, albeit at substantially higher prices, and was able to maintain service to its customers. The incremental costs for these natural gas supplies (estimated at $200 million to $300 million) are expected to be funded using existing cash on hand and short-term borrowings, including current credit facilities. It is anticipated that these incremental gas costs will be recoverable from customers through the purchased gas adjustment (“PGA”) mechanisms in each jurisdiction.</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7"/>
          <w:szCs w:val="17"/>
          <w:i w:val="1"/>
          <w:iCs w:val="1"/>
          <w:color w:val="auto"/>
        </w:rPr>
        <w:t>Prepaid and other current assets</w:t>
      </w:r>
      <w:r>
        <w:rPr>
          <w:rFonts w:ascii="Arial" w:cs="Arial" w:eastAsia="Arial" w:hAnsi="Arial"/>
          <w:sz w:val="17"/>
          <w:szCs w:val="17"/>
          <w:color w:val="auto"/>
        </w:rPr>
        <w:t>. Prepaid and other current assets for Southwest and the Company include, among other things, gas pipe materials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supplies of $50 million in 2020 and $57 million in 2019 (carried at weighted average cost), as well as $1 million in 2020 and $33 million in 2019 related to a regulatory asset associated with the Arizona decoupling mechanism (an alternative revenue program).</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required by U.S. GAAP, goodwill is assessed for impairment annually, or more frequently, if circumstances indicate impairment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goodwill may have occurred. The goodwill impairment analysis was conducted as of October 1st using a qualitative assessment, as permitted by U.S. GAAP.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The Company and Southwest determined that it is not more likely than not that the fair value of the reporting units was less than their carrying amounts in either 2020 or 2019. Thus, no impairment was recorded in either year. Goodwill on Southwest’s and the Company’s Consolidated Balance Sheets includes: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Natural Gas</w:t>
            </w:r>
          </w:p>
        </w:tc>
        <w:tc>
          <w:tcPr>
            <w:tcW w:w="22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rPr>
              <w:t>Utility</w:t>
            </w:r>
          </w:p>
        </w:tc>
        <w:tc>
          <w:tcPr>
            <w:tcW w:w="300" w:type="dxa"/>
            <w:vAlign w:val="bottom"/>
          </w:tcPr>
          <w:p>
            <w:pPr>
              <w:spacing w:after="0"/>
              <w:rPr>
                <w:sz w:val="17"/>
                <w:szCs w:val="17"/>
                <w:color w:val="auto"/>
              </w:rPr>
            </w:pPr>
          </w:p>
        </w:tc>
        <w:tc>
          <w:tcPr>
            <w:tcW w:w="138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Infrastructure</w:t>
            </w: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Operations</w:t>
            </w: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Services</w:t>
            </w:r>
          </w:p>
        </w:tc>
        <w:tc>
          <w:tcPr>
            <w:tcW w:w="30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359,045</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Measurement-period adjustments - Linetec acquisition</w:t>
            </w: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(21,172)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332,928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343,023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335,089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next twelve months, including certain regulatory liabilities (refer to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customary accrued expenses for employee compensation and benefits, and declared but unpaid dividends. Other current liabilities for the Company includes $32.6 million and $30 million of dividends declared as of December 31, 2020 and 2019, respectively.</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Accumulated Removal Costs. </w:t>
      </w:r>
      <w:r>
        <w:rPr>
          <w:rFonts w:ascii="Arial" w:cs="Arial" w:eastAsia="Arial" w:hAnsi="Arial"/>
          <w:sz w:val="16"/>
          <w:szCs w:val="16"/>
          <w:color w:val="auto"/>
        </w:rPr>
        <w:t>Approved regulatory practices allow Southwest to include in depreciation expense a component intended to recover removal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utility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the estimated cost of removal in rates, and the actual cost of removal experienced.</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Gas Operating Revenues. </w:t>
      </w:r>
      <w:r>
        <w:rPr>
          <w:rFonts w:ascii="Arial" w:cs="Arial" w:eastAsia="Arial" w:hAnsi="Arial"/>
          <w:sz w:val="16"/>
          <w:szCs w:val="16"/>
          <w:color w:val="auto"/>
        </w:rPr>
        <w:t>Southwest recognizes revenue when it satisfies its performance by transferring gas to the customer. Natural gas is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“consumed” by the customer simultaneously. Revenues are recorded 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6"/>
          <w:szCs w:val="16"/>
          <w:b w:val="1"/>
          <w:bCs w:val="1"/>
          <w:color w:val="auto"/>
        </w:rPr>
        <w:t>Note 3 - Revenue</w:t>
      </w:r>
      <w:r>
        <w:rPr>
          <w:rFonts w:ascii="Arial" w:cs="Arial" w:eastAsia="Arial" w:hAnsi="Arial"/>
          <w:sz w:val="16"/>
          <w:szCs w:val="16"/>
          <w:color w:val="auto"/>
        </w:rPr>
        <w:t>.</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Utility Infrastructure Services Revenues. </w:t>
      </w:r>
      <w:r>
        <w:rPr>
          <w:rFonts w:ascii="Arial" w:cs="Arial" w:eastAsia="Arial" w:hAnsi="Arial"/>
          <w:sz w:val="17"/>
          <w:szCs w:val="17"/>
          <w:color w:val="auto"/>
        </w:rPr>
        <w:t>The majority of Centuri contracts are performed under unit-price contracts. Generally, these contracts state prices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 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7"/>
          <w:szCs w:val="17"/>
          <w:b w:val="1"/>
          <w:bCs w:val="1"/>
          <w:color w:val="auto"/>
        </w:rPr>
        <w:t>Note 3 - Revenue</w:t>
      </w:r>
      <w:r>
        <w:rPr>
          <w:rFonts w:ascii="Arial" w:cs="Arial" w:eastAsia="Arial" w:hAnsi="Arial"/>
          <w:sz w:val="17"/>
          <w:szCs w:val="17"/>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jc w:val="both"/>
        <w:ind w:right="20"/>
        <w:spacing w:after="0" w:line="263" w:lineRule="auto"/>
        <w:rPr>
          <w:sz w:val="20"/>
          <w:szCs w:val="20"/>
          <w:color w:val="auto"/>
        </w:rPr>
      </w:pPr>
      <w:r>
        <w:rPr>
          <w:rFonts w:ascii="Arial" w:cs="Arial" w:eastAsia="Arial" w:hAnsi="Arial"/>
          <w:sz w:val="18"/>
          <w:szCs w:val="18"/>
          <w:i w:val="1"/>
          <w:iCs w:val="1"/>
          <w:color w:val="auto"/>
        </w:rPr>
        <w:t xml:space="preserve">Utility Infrastructure Services Expenses. </w:t>
      </w:r>
      <w:r>
        <w:rPr>
          <w:rFonts w:ascii="Arial" w:cs="Arial" w:eastAsia="Arial" w:hAnsi="Arial"/>
          <w:sz w:val="18"/>
          <w:szCs w:val="18"/>
          <w:color w:val="auto"/>
        </w:rPr>
        <w:t>Centuri’s utility infrastructure services expenses in the Consolidated Statements of Income includes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office and equipment rental costs, subcontractor expenses, training, job-related materials, gains and losses on equipment sales, and professional fees.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capacity/transportation costs, and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 transmission pipelines, etc. and amounts already included in customer rates, are temporarily deferred in PGA accounts pending inclusion in customer rates.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Operations and Maintenance Expense. </w:t>
      </w:r>
      <w:r>
        <w:rPr>
          <w:rFonts w:ascii="Arial" w:cs="Arial" w:eastAsia="Arial" w:hAnsi="Arial"/>
          <w:sz w:val="17"/>
          <w:szCs w:val="17"/>
          <w:color w:val="auto"/>
        </w:rPr>
        <w:t>Operations and maintenance expense includes Southwest’s operating and maintenance costs associated with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utility customers and maintaining its distribution and transmission systems, uncollectible expense, administrative and general salaries and expense, employee benefits expense excluding relevant non-service cost components, and legal expense (including injuries and damages).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Utility plant depreciation is computed on the straight-line remaining life method at composite rates considered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Arial" w:cs="Arial" w:eastAsia="Arial" w:hAnsi="Arial"/>
          <w:sz w:val="16"/>
          <w:szCs w:val="16"/>
          <w:i w:val="1"/>
          <w:iCs w:val="1"/>
          <w:color w:val="auto"/>
        </w:rPr>
        <w:t>Accumulated Removal Costs</w:t>
      </w:r>
      <w:r>
        <w:rPr>
          <w:rFonts w:ascii="Arial" w:cs="Arial" w:eastAsia="Arial" w:hAnsi="Arial"/>
          <w:sz w:val="16"/>
          <w:szCs w:val="16"/>
          <w:color w:val="auto"/>
        </w:rPr>
        <w:t xml:space="preserve"> above. Other regulatory assets, including acquisition adjustments, are amortized when appropriate, over time periods authorized by regulators. Non-utility and utility infrastructure services-related property and equipment are depreciated on a straight-line method based on the estimated useful lives of the related assets. Costs and gains related to refunding utility debt and debt issuance expenses are deferred and amortized over the weighted-average lives of the new issues and become a component of interest expense.</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Allowance for Funds Used During Construction (“AFUDC”). </w:t>
      </w:r>
      <w:r>
        <w:rPr>
          <w:rFonts w:ascii="Arial" w:cs="Arial" w:eastAsia="Arial" w:hAnsi="Arial"/>
          <w:sz w:val="18"/>
          <w:szCs w:val="18"/>
          <w:color w:val="auto"/>
        </w:rPr>
        <w:t>AFUDC represents the cost of both debt and equity funds used to finance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AFUDC is capitalized as part of the cost of utility plant. The debt portion of AFUDC is reported in the Company’s and Southwest’s Consolidated Statements of Income as an offset to Net interest deductions and the equity portion is reported as Other income. Utility plant construction costs, including AFUDC, are recovered in authorized rates through depreciation when completed projects are placed into operation, and general rate relief is requested and granted. AFUDC, disaggregated by type, included in the Company’s and Southwest’s Consolidated Statements of Income are presented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AFUDC:</w:t>
            </w: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portion</w:t>
            </w:r>
          </w:p>
        </w:tc>
        <w:tc>
          <w:tcPr>
            <w:tcW w:w="2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portion</w:t>
            </w:r>
          </w:p>
        </w:tc>
        <w:tc>
          <w:tcPr>
            <w:tcW w:w="2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AFUDC capitalized as part of utility plant</w:t>
            </w:r>
          </w:p>
        </w:tc>
        <w:tc>
          <w:tcPr>
            <w:tcW w:w="2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AFUDC rate</w:t>
            </w:r>
          </w:p>
        </w:tc>
        <w:tc>
          <w:tcPr>
            <w:tcW w:w="2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20" w:type="dxa"/>
            <w:vAlign w:val="bottom"/>
            <w:vMerge w:val="restart"/>
          </w:tcPr>
          <w:p>
            <w:pPr>
              <w:jc w:val="right"/>
              <w:ind w:right="91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2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09"/>
        </w:trPr>
        <w:tc>
          <w:tcPr>
            <w:tcW w:w="7060" w:type="dxa"/>
            <w:vAlign w:val="bottom"/>
          </w:tcPr>
          <w:p>
            <w:pPr>
              <w:ind w:left="20"/>
              <w:spacing w:after="0"/>
              <w:rPr>
                <w:sz w:val="20"/>
                <w:szCs w:val="20"/>
                <w:color w:val="auto"/>
              </w:rPr>
            </w:pPr>
            <w:r>
              <w:rPr>
                <w:rFonts w:ascii="Arial" w:cs="Arial" w:eastAsia="Arial" w:hAnsi="Arial"/>
                <w:sz w:val="18"/>
                <w:szCs w:val="18"/>
                <w:color w:val="auto"/>
              </w:rPr>
              <w:t>Southwest Gas Corporation – natural gas operations segment: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COLI policies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AFUDC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Other components of net periodic benefit cost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(21,059)</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Southwest Gas Corporation – total other income (deductions)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segment: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transaction gain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Equity in earnings of unconsolidated investment – Western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Centuri – total other income (deductions)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Consolidated Southwest Gas Holdings, Inc. - total other income (deductions)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(17,426)</w:t>
            </w:r>
          </w:p>
        </w:tc>
      </w:tr>
      <w:tr>
        <w:trPr>
          <w:trHeight w:val="21"/>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table above is the change in COLI policies (including net death benefits recognized).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no fair value adjustment is required. In consultation with its regulators, management does not currently anticipate entering into new Swaps in the near term and the recently remaining Swaps matured in October 2020.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Previously, Southwest entered into two forward-starting interest rate swaps (“FSIRS”). One of the FSIRS became fully amortized in the third quarter of 2020, with one FSIRS remaining to be amortized through 2022. The settled position for the remaining FSIRS is immaterial and will continue to be amortized from Accumulated other comprehensive income (loss) into interest expense.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Foreign currency-denominated assets and liabilities of consolidated subsidiaries are translated into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and (expenses) of the Company. Gains and losses resulting from intercompany foreign currency transactions that are of a long-term investment nature are reported in Other comprehensive income,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Incentive Plan shares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 (1)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80" w:hanging="10"/>
        <w:spacing w:after="0" w:line="275" w:lineRule="auto"/>
        <w:tabs>
          <w:tab w:leader="none" w:pos="4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securities granted for 2020, 2019, and 2018 includes 69,000, 46,000, and 23,000 performance shares, respectively, the total of which was derived by assuming that target performance will be achieved during the relevant performance period.</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Redeemable Noncontrolling Interest. </w:t>
      </w:r>
      <w:r>
        <w:rPr>
          <w:rFonts w:ascii="Arial" w:cs="Arial" w:eastAsia="Arial" w:hAnsi="Arial"/>
          <w:sz w:val="18"/>
          <w:szCs w:val="18"/>
          <w:color w:val="auto"/>
        </w:rPr>
        <w:t>In connection with acquisition of Linetec in November 2018, the previous owner retained a 20% equity interest,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reduction of which is subject to certain rights based on the passage of time or upon the occurrence of certain triggering events. See </w:t>
      </w:r>
      <w:r>
        <w:rPr>
          <w:rFonts w:ascii="Arial" w:cs="Arial" w:eastAsia="Arial" w:hAnsi="Arial"/>
          <w:sz w:val="18"/>
          <w:szCs w:val="18"/>
          <w:b w:val="1"/>
          <w:bCs w:val="1"/>
          <w:color w:val="auto"/>
        </w:rPr>
        <w:t>Note 15 - Redeemable</w:t>
      </w:r>
      <w:r>
        <w:rPr>
          <w:rFonts w:ascii="Arial" w:cs="Arial" w:eastAsia="Arial" w:hAnsi="Arial"/>
          <w:sz w:val="18"/>
          <w:szCs w:val="18"/>
          <w:color w:val="auto"/>
        </w:rPr>
        <w:t xml:space="preserve"> </w:t>
      </w:r>
      <w:r>
        <w:rPr>
          <w:rFonts w:ascii="Arial" w:cs="Arial" w:eastAsia="Arial" w:hAnsi="Arial"/>
          <w:sz w:val="18"/>
          <w:szCs w:val="18"/>
          <w:b w:val="1"/>
          <w:bCs w:val="1"/>
          <w:color w:val="auto"/>
        </w:rPr>
        <w:t>Noncontrolling Interest</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Company and Southwest adopted the update in the first quarter of 2020, and concluded the impact was not material to the consolidated financial statements of the Company or Southwest. See </w:t>
      </w:r>
      <w:r>
        <w:rPr>
          <w:rFonts w:ascii="Arial" w:cs="Arial" w:eastAsia="Arial" w:hAnsi="Arial"/>
          <w:sz w:val="18"/>
          <w:szCs w:val="18"/>
          <w:b w:val="1"/>
          <w:bCs w:val="1"/>
          <w:color w:val="auto"/>
        </w:rPr>
        <w:t>Note 4 - Receivables and Related</w:t>
      </w:r>
      <w:r>
        <w:rPr>
          <w:rFonts w:ascii="Arial" w:cs="Arial" w:eastAsia="Arial" w:hAnsi="Arial"/>
          <w:sz w:val="18"/>
          <w:szCs w:val="18"/>
          <w:color w:val="auto"/>
        </w:rPr>
        <w:t xml:space="preserve"> </w:t>
      </w:r>
      <w:r>
        <w:rPr>
          <w:rFonts w:ascii="Arial" w:cs="Arial" w:eastAsia="Arial" w:hAnsi="Arial"/>
          <w:sz w:val="18"/>
          <w:szCs w:val="18"/>
          <w:b w:val="1"/>
          <w:bCs w:val="1"/>
          <w:color w:val="auto"/>
        </w:rPr>
        <w:t>Allowances</w:t>
      </w:r>
      <w:r>
        <w:rPr>
          <w:rFonts w:ascii="Arial" w:cs="Arial" w:eastAsia="Arial" w:hAnsi="Arial"/>
          <w:sz w:val="18"/>
          <w:szCs w:val="18"/>
          <w:color w:val="auto"/>
        </w:rPr>
        <w: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Under the update, an entity will apply a one-step quantitative test as opposed to a two-step test as previously required,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Company and Southwest adopted the update in the first quarter of 2020.</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Company and Southwest modified their disclosures to conform to the requirements, where applicable. See </w:t>
      </w:r>
      <w:r>
        <w:rPr>
          <w:rFonts w:ascii="Arial" w:cs="Arial" w:eastAsia="Arial" w:hAnsi="Arial"/>
          <w:sz w:val="18"/>
          <w:szCs w:val="18"/>
          <w:b w:val="1"/>
          <w:bCs w:val="1"/>
          <w:color w:val="auto"/>
        </w:rPr>
        <w:t>Note 11 - Pension and Other Postretirement Benefits.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with the exception that such costs are to be included in the same line item in the balance sheet that a prepayment of the fees associated with the arrangement would be presented. Once capitalized, the update also requires the entity to expense the amount capitalized over the term of the hosting arrangement, including reasonably certain renewal periods. The Company and Southwest adopted the update in the first quarter of 2020 using the prospective transition method, which did not result in a material impact to the Company’s or Southwest’s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in 2021:</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update is effective for fiscal years, and interim periods within those fiscal years, beginning after December 15, 2020. Management does not believe the update will have a material impact on the Company’s and Southwest’s consolidated financial statements and disclosures.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Recently issued accounting pronouncements that will be effective after 2021:</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the topic) to replace a reference rate affected by reference rate reform. The update applies only to contracts and hedging relationships that reference the London Interbank Offered Rate (“LIBOR”) or another reference rate expected to be discontinued due to reference rate reform. The guidance was eligible to be applied upon issuance on March 12, 2020, and can generally be applied through December 31, 2022. Management will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8 - Debt</w:t>
      </w:r>
      <w:r>
        <w:rPr>
          <w:rFonts w:ascii="Arial" w:cs="Arial" w:eastAsia="Arial" w:hAnsi="Arial"/>
          <w:sz w:val="17"/>
          <w:szCs w:val="17"/>
          <w:color w:val="auto"/>
        </w:rPr>
        <w:t>.</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 per share for convertible instruments and contracts in an entity’s own equity. The update is effective for fiscal years beginning after December 15, 2021, including interim periods within those fiscal years; early adoption is permitted. Management is evaluating the impacts this update might have on the Company’s consolidated financial statements and disclosures.</w:t>
      </w:r>
    </w:p>
    <w:p>
      <w:pPr>
        <w:spacing w:after="0" w:line="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Management monitors events occurring after the balance sheet date and prior to the issuance of the financial statements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impacts, if any, of events on the financial statements to be issued or disclosures to be made, and has reflected them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Note 2 - Utility Plant and Leases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460" w:type="dxa"/>
            <w:vAlign w:val="bottom"/>
          </w:tcPr>
          <w:p>
            <w:pPr>
              <w:spacing w:after="0"/>
              <w:rPr>
                <w:sz w:val="20"/>
                <w:szCs w:val="20"/>
                <w:color w:val="auto"/>
              </w:rPr>
            </w:pPr>
            <w:r>
              <w:rPr>
                <w:rFonts w:ascii="Arial" w:cs="Arial" w:eastAsia="Arial" w:hAnsi="Arial"/>
                <w:sz w:val="18"/>
                <w:szCs w:val="18"/>
                <w:i w:val="1"/>
                <w:iCs w:val="1"/>
                <w:color w:val="auto"/>
              </w:rPr>
              <w:t>Net Utility Plant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460" w:type="dxa"/>
            <w:vAlign w:val="bottom"/>
          </w:tcPr>
          <w:p>
            <w:pPr>
              <w:spacing w:after="0"/>
              <w:rPr>
                <w:sz w:val="20"/>
                <w:szCs w:val="20"/>
                <w:color w:val="auto"/>
              </w:rPr>
            </w:pPr>
            <w:r>
              <w:rPr>
                <w:rFonts w:ascii="Arial" w:cs="Arial" w:eastAsia="Arial" w:hAnsi="Arial"/>
                <w:sz w:val="18"/>
                <w:szCs w:val="18"/>
                <w:color w:val="auto"/>
              </w:rPr>
              <w:t>Net utility plant as of December 31, 2020 and 2019 was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1"/>
        </w:trPr>
        <w:tc>
          <w:tcPr>
            <w:tcW w:w="8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4"/>
                <w:szCs w:val="24"/>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2019</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plant: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Storage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101,203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100,908</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391,864</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7,078,656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6,581,043</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467,274</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Software and software-related intangibles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270,883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256,299</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15,833</w:t>
            </w:r>
          </w:p>
        </w:tc>
      </w:tr>
      <w:tr>
        <w:trPr>
          <w:trHeight w:val="223"/>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8,384,000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7,813,221</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(2,313,050)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work in progress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185,026</w:t>
            </w:r>
          </w:p>
        </w:tc>
      </w:tr>
      <w:tr>
        <w:trPr>
          <w:trHeight w:val="248"/>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utility plant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5,685,197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Utility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2020, 2019, and 2018, annual utility depreciation and amortization expense averaged 2.7% of the original cost of depreciable and amortizable property. Transmission and Distribution plant are associated with the core natural gas delivery infrastructure, and combined, constitute the majority of gas plant. Annual utility depreciation expense averaged approximately 2.3% of the original cost of depreciable transmission and distribution plant during the period 2018 through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185,719</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the figures above is amortization of utility intangibles of $13.7 million, $13.2 million, and $13.6 million for the years ended December 31, 2020, 2019, and 2018, respectively. The amounts above exclude regulatory asset and liability amortization.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and Centuri determine if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Southwest’s and Centuri’s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up to six years, some of which include optional renewal periods. Southwest is currently not a lessor in any significant lease arrangements.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6"/>
          <w:szCs w:val="16"/>
          <w:color w:val="auto"/>
        </w:rPr>
        <w:t>Centuri has operating and finance leases for corporate and field offices, construction equipment, and transportation vehicles. Centuri is currently not a lessor in any significant lease arrangements. Centuri’s leases have remaining lease terms of up to 18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Due to the seasonality of Centuri’s business, expense for short-term leases will fluctuate throughout the year with higher expense incurred during the warmer months. As of December 31, 2020, Centuri executed lease agreements that had not yet commenced. These lease agreements primarily relate to real estate leases that have terms ranging from January 2021 through May 2025. Total future lease payments over the lease terms are approximately $1 million.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1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89"/>
              </w:rPr>
              <w:t>2020</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Operating lease cost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40" w:type="dxa"/>
            <w:vAlign w:val="bottom"/>
          </w:tcPr>
          <w:p>
            <w:pPr>
              <w:spacing w:after="0"/>
              <w:rPr>
                <w:sz w:val="19"/>
                <w:szCs w:val="19"/>
                <w:color w:val="auto"/>
              </w:rPr>
            </w:pPr>
          </w:p>
        </w:tc>
      </w:tr>
      <w:tr>
        <w:trPr>
          <w:trHeight w:val="236"/>
        </w:trPr>
        <w:tc>
          <w:tcPr>
            <w:tcW w:w="60" w:type="dxa"/>
            <w:vAlign w:val="bottom"/>
            <w:tcBorders>
              <w:top w:val="single" w:sz="8" w:color="CCEEFF"/>
            </w:tcBorders>
            <w:shd w:val="clear" w:color="auto" w:fill="CCEEFF"/>
          </w:tcPr>
          <w:p>
            <w:pPr>
              <w:spacing w:after="0"/>
              <w:rPr>
                <w:sz w:val="20"/>
                <w:szCs w:val="20"/>
                <w:color w:val="auto"/>
              </w:rPr>
            </w:pPr>
          </w:p>
        </w:tc>
        <w:tc>
          <w:tcPr>
            <w:tcW w:w="53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Centuri:</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cost</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14,294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12,235</w:t>
            </w:r>
          </w:p>
        </w:tc>
        <w:tc>
          <w:tcPr>
            <w:tcW w:w="40" w:type="dxa"/>
            <w:vAlign w:val="bottom"/>
            <w:shd w:val="clear" w:color="auto" w:fill="CCEEFF"/>
          </w:tcPr>
          <w:p>
            <w:pPr>
              <w:spacing w:after="0"/>
              <w:rPr>
                <w:sz w:val="19"/>
                <w:szCs w:val="19"/>
                <w:color w:val="auto"/>
              </w:rPr>
            </w:pPr>
          </w:p>
        </w:tc>
      </w:tr>
      <w:tr>
        <w:trPr>
          <w:trHeight w:val="237"/>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229"/>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cost:</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300"/>
              <w:spacing w:after="0"/>
              <w:rPr>
                <w:sz w:val="20"/>
                <w:szCs w:val="20"/>
                <w:color w:val="auto"/>
              </w:rPr>
            </w:pPr>
            <w:r>
              <w:rPr>
                <w:rFonts w:ascii="Arial" w:cs="Arial" w:eastAsia="Arial" w:hAnsi="Arial"/>
                <w:sz w:val="18"/>
                <w:szCs w:val="18"/>
                <w:color w:val="auto"/>
              </w:rPr>
              <w:t>Amortization of ROU assets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r>
      <w:tr>
        <w:trPr>
          <w:trHeight w:val="229"/>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on lease liabilities</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finance lease cost</w:t>
            </w: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auto"/>
            </w:tcBorders>
          </w:tcPr>
          <w:p>
            <w:pPr>
              <w:spacing w:after="0"/>
              <w:rPr>
                <w:sz w:val="19"/>
                <w:szCs w:val="19"/>
                <w:color w:val="auto"/>
              </w:rPr>
            </w:pPr>
          </w:p>
        </w:tc>
      </w:tr>
      <w:tr>
        <w:trPr>
          <w:trHeight w:val="223"/>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19,806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16,217</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Total lease cost - Southwest Gas Holdings, Inc.</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35,528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30,154</w:t>
            </w:r>
          </w:p>
        </w:tc>
        <w:tc>
          <w:tcPr>
            <w:tcW w:w="40" w:type="dxa"/>
            <w:vAlign w:val="bottom"/>
            <w:tcBorders>
              <w:bottom w:val="single" w:sz="8" w:color="auto"/>
            </w:tcBorders>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18"/>
        </w:trPr>
        <w:tc>
          <w:tcPr>
            <w:tcW w:w="8580" w:type="dxa"/>
            <w:vAlign w:val="bottom"/>
            <w:gridSpan w:val="11"/>
          </w:tcPr>
          <w:p>
            <w:pPr>
              <w:spacing w:after="0"/>
              <w:rPr>
                <w:sz w:val="20"/>
                <w:szCs w:val="20"/>
                <w:color w:val="auto"/>
              </w:rPr>
            </w:pPr>
            <w:r>
              <w:rPr>
                <w:rFonts w:ascii="Arial" w:cs="Arial" w:eastAsia="Arial" w:hAnsi="Arial"/>
                <w:sz w:val="18"/>
                <w:szCs w:val="18"/>
                <w:color w:val="auto"/>
                <w:w w:val="90"/>
              </w:rPr>
              <w:t>Supplemental cash flow information related to leases for the years ended December 31, 2020 and 2019 was as follows: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Southwest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Centuri</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5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12,889</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13,655</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9"/>
                <w:szCs w:val="19"/>
                <w:color w:val="auto"/>
              </w:rPr>
            </w:pPr>
          </w:p>
        </w:tc>
      </w:tr>
      <w:tr>
        <w:trPr>
          <w:trHeight w:val="256"/>
        </w:trPr>
        <w:tc>
          <w:tcPr>
            <w:tcW w:w="60" w:type="dxa"/>
            <w:vAlign w:val="bottom"/>
          </w:tcPr>
          <w:p>
            <w:pPr>
              <w:spacing w:after="0"/>
              <w:rPr>
                <w:sz w:val="22"/>
                <w:szCs w:val="22"/>
                <w:color w:val="auto"/>
              </w:rPr>
            </w:pPr>
          </w:p>
        </w:tc>
        <w:tc>
          <w:tcPr>
            <w:tcW w:w="5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5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19,372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20,919</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7"/>
              </w:rPr>
              <w:t>Southwest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Centuri</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19"/>
                <w:szCs w:val="19"/>
                <w:color w:val="auto"/>
              </w:rPr>
            </w:pPr>
          </w:p>
        </w:tc>
      </w:tr>
      <w:tr>
        <w:trPr>
          <w:trHeight w:val="20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5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11,166</w:t>
            </w:r>
          </w:p>
        </w:tc>
        <w:tc>
          <w:tcPr>
            <w:tcW w:w="80" w:type="dxa"/>
            <w:vAlign w:val="bottom"/>
          </w:tcPr>
          <w:p>
            <w:pPr>
              <w:spacing w:after="0"/>
              <w:rPr>
                <w:sz w:val="19"/>
                <w:szCs w:val="19"/>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0"/>
        </w:trPr>
        <w:tc>
          <w:tcPr>
            <w:tcW w:w="5360" w:type="dxa"/>
            <w:vAlign w:val="bottom"/>
            <w:gridSpan w:val="2"/>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23,825</w:t>
            </w:r>
          </w:p>
        </w:tc>
        <w:tc>
          <w:tcPr>
            <w:tcW w:w="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13,839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917"/>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60" w:type="dxa"/>
            <w:vAlign w:val="bottom"/>
          </w:tcPr>
          <w:p>
            <w:pPr>
              <w:jc w:val="right"/>
              <w:ind w:right="83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60" w:type="dxa"/>
            <w:vAlign w:val="bottom"/>
            <w:tcBorders>
              <w:bottom w:val="single" w:sz="8" w:color="9A9A9A"/>
            </w:tcBorders>
          </w:tcPr>
          <w:p>
            <w:pPr>
              <w:spacing w:after="0"/>
              <w:rPr>
                <w:sz w:val="17"/>
                <w:szCs w:val="17"/>
                <w:color w:val="auto"/>
              </w:rPr>
            </w:pPr>
          </w:p>
        </w:tc>
        <w:tc>
          <w:tcPr>
            <w:tcW w:w="53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Supplemental information related to leases, including location in the Consolidated Balance Sheets,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2019</w:t>
            </w:r>
          </w:p>
        </w:tc>
      </w:tr>
      <w:tr>
        <w:trPr>
          <w:trHeight w:val="210"/>
        </w:trPr>
        <w:tc>
          <w:tcPr>
            <w:tcW w:w="7140" w:type="dxa"/>
            <w:vAlign w:val="bottom"/>
          </w:tcPr>
          <w:p>
            <w:pPr>
              <w:ind w:left="20"/>
              <w:spacing w:after="0"/>
              <w:rPr>
                <w:sz w:val="20"/>
                <w:szCs w:val="20"/>
                <w:color w:val="auto"/>
              </w:rPr>
            </w:pPr>
            <w:r>
              <w:rPr>
                <w:rFonts w:ascii="Arial" w:cs="Arial" w:eastAsia="Arial" w:hAnsi="Arial"/>
                <w:sz w:val="18"/>
                <w:szCs w:val="18"/>
                <w:color w:val="auto"/>
              </w:rPr>
              <w:t>Southwest:</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Net utility plant</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723</w:t>
            </w:r>
          </w:p>
        </w:tc>
      </w:tr>
      <w:tr>
        <w:trPr>
          <w:trHeight w:val="229"/>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730</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r>
      <w:tr>
        <w:trPr>
          <w:trHeight w:val="257"/>
        </w:trPr>
        <w:tc>
          <w:tcPr>
            <w:tcW w:w="7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4"/>
        </w:trPr>
        <w:tc>
          <w:tcPr>
            <w:tcW w:w="7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property and investments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81,010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78,954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10,032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8,851</w:t>
            </w:r>
          </w:p>
        </w:tc>
      </w:tr>
      <w:tr>
        <w:trPr>
          <w:trHeight w:val="230"/>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75,247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73,323</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85,279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82,174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Other property and investments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14,264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13,769</w:t>
            </w: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355</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14,124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Finance leases</w:t>
            </w: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57"/>
        </w:trPr>
        <w:tc>
          <w:tcPr>
            <w:tcW w:w="7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Finance leases</w:t>
            </w:r>
          </w:p>
        </w:tc>
        <w:tc>
          <w:tcPr>
            <w:tcW w:w="1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6.10 %</w:t>
            </w:r>
          </w:p>
        </w:tc>
      </w:tr>
    </w:tbl>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regard to the finance lease balance as of December 31, 2020, there exist lease provisions for purchase options that meet the “reasonably certain” threshold related to exercise of such options. These amounts were not included in the calculations of the weighted average remaining lease term and discount rate for finance leases above.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are schedules of maturities of lease liabilities as of December 31, 2020:</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Operating Leases</w:t>
            </w: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w w:val="99"/>
              </w:rPr>
              <w:t>Finance Leases</w:t>
            </w:r>
          </w:p>
        </w:tc>
      </w:tr>
      <w:tr>
        <w:trPr>
          <w:trHeight w:val="209"/>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w:t>
            </w: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13,144</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104,721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85,279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acts as an agent for state and local taxing authorities in the collection and remittance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Federal Energy Regulatory Commission (the “FERC”).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8" w:name="page79"/>
    <w:bookmarkEnd w:id="78"/>
    <w:p>
      <w:pPr>
        <w:jc w:val="both"/>
        <w:spacing w:after="0" w:line="270" w:lineRule="auto"/>
        <w:rPr>
          <w:sz w:val="20"/>
          <w:szCs w:val="20"/>
          <w:color w:val="auto"/>
        </w:rPr>
      </w:pPr>
      <w:r>
        <w:rPr>
          <w:rFonts w:ascii="Arial" w:cs="Arial" w:eastAsia="Arial" w:hAnsi="Arial"/>
          <w:sz w:val="17"/>
          <w:szCs w:val="17"/>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recognition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billed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related to alternative revenue programs (which excludes recoveries from customers).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Gas operating revenues on the Consolidated Statements of Income of both the Company and Southwest include revenue from contracts with customers, which is shown below disaggregated by customer type, and various categories of revenue: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887,220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Small commercial</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255,083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 commercial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Industrial/other</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23,489</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86,990</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1,385,294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1,305,974</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revenue program deferrals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45,979</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 (a)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w:t>
            </w: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Gas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right="20" w:hanging="10"/>
        <w:spacing w:after="0" w:line="256" w:lineRule="auto"/>
        <w:tabs>
          <w:tab w:leader="none" w:pos="6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Comprised of late fees, certain regulatory mechanism impacts, such as cost-of-service components in current customer rates that are expected to be returned to customers in the future, and various other revenue impacts, including $(5) million, $(4.9) million, and $(13.5) million for 2020, 2019, and 2018, respectively, related to tax reform savings reserves/adjustments. In 2020, late fees and certain other fees were reduced due to a moratorium on late fees and disconnection for nonpayment during the COVID-19 pandemic.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Centuri has operations in the U.S. and Canada. The majority of Centuri’s revenues are related to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it in full. For unit-price contracts, an output method is used to measure progress towards satisfaction of a performance obligation (based on the completion of each unit that is required under the contract).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cost, and profit are recognized as necessary in the period determined.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including storm restoration services. Other construction includes all other work and can include industrial and water utility services.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Gas infrastructure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1,261,160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1,238,974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1,123,682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power infrastructure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32,629</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365,974</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1,522,285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11"/>
        </w:trPr>
        <w:tc>
          <w:tcPr>
            <w:tcW w:w="7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Master services agreement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1,490,009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1,383,377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1,102,412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Bid contract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419,873</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1,522,285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Unit price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1,356,640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1,380,256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1,258,419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117,298</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contracts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146,568</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1,522,285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both of which are included within Accounts receivable, net of allowances, and provides information about amounts billed in excess of revenue earned on contracts (contract liabilities), which are included in Other current liabilities as of December 31, 2020 and 2019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223,904</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99,399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r>
    </w:tbl>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invoicing associated with contractual provisions (or other economic or market conditions that may impact a customer’s business), Centuri’s ability to bill and subsequently collect amounts due may be impacted. These changes may result in the need to record an estimated valuation allowance to adjust contract asset balances to their net realizable value.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amounts billed in excess of revenue earned (contract liability) primarily relate to the advance consideration received from customers for which work has not yet been completed. The change in this contract liability balance from December 31, 2019 to December 31, 2020 was due to revenue recognized of $4.5 million that was included in this balance as of January 1, 2020, after which time it became earned and the balance was reduced, and to increases due to cash received, net of revenue recognized during the period related to contracts that commenced during the period.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contracts that have an original duration of one year or less, Centuri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Centuri has 16 contracts with an original duration of more than one year. The aggregate amount of the transaction price allocated to the unsatisfied performance obligations of these contracts as of December 31, 2020 was $76.4 million. Centuri expects to recognize the remaining performance obligations over approximately the next two years;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however, the timing of that recognition is largely within the control of the customer, including when the necessary equipment and materials required to complete the work will be provided by the customer.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8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216,268</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w:t>
            </w: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224,724</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Business activity with respect to natural gas utility operations is conducted with customers located within the 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Although Southwest seeks generally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customarily written off approximately two months after inactivation.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gas-cost-related portion of uncollectible accounts. Such amounts are deferred and collected through a surcharge in the ratemaking process. Due to the ongoing COVID-19 pandemic, Southwest initiated a moratorium in March 2020 on disconnection of natural gas service for non-payment and also ceased charging late fees until further notice. While the moratorium continues to be in place, Southwest is actively working with customers experiencing financial hardship by means of flexible payment options and by coordinating with certain governmental and nonprofit entities for customer payment assistance. Management continues to monitor expected credit losses in light of the evolving financial impact of COVID-19. The allowance as of December 31, 2020 reflects the expected impact from the pandemic on balances as of that date, including consideration of customers’ ability to pay currently and once the moratorium is lifted.</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Centuri’s trade accounts receivable balances carry standard payment terms of up to 60 days. Centuri maintains an allowance that is an estimate based on historical collection experience, current and estimated future economic and market conditions, and a review of the current status of each customer's trade accounts receivable balance. Account balances are monitored at least monthly, and are charged off against the allowance when management determines it is probable the balance will not be recovered. Centuri has not been significantly impacted, nor does it anticipate it will experience significant difficulty in collecting amounts due, given the nature of its customers, as a result of the current environment surrounding COVID-19.</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contains information about the gas utility customer accounts receivable balance (net of allowance) at December 31, 2020 and 2019, and the percentage of customers in each of the three states, which was consistent with the prior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utility customer accounts receivable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The following table represents customers by state at December 31, 2020:</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800" w:type="dxa"/>
            <w:vAlign w:val="bottom"/>
          </w:tcPr>
          <w:p>
            <w:pPr>
              <w:ind w:left="20"/>
              <w:spacing w:after="0"/>
              <w:rPr>
                <w:sz w:val="20"/>
                <w:szCs w:val="20"/>
                <w:color w:val="auto"/>
              </w:rPr>
            </w:pPr>
            <w:r>
              <w:rPr>
                <w:rFonts w:ascii="Arial" w:cs="Arial" w:eastAsia="Arial" w:hAnsi="Arial"/>
                <w:sz w:val="18"/>
                <w:szCs w:val="18"/>
                <w:color w:val="auto"/>
              </w:rPr>
              <w:t>Percent of customers by state:</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Arizona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Nevada</w:t>
            </w: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324"/>
        </w:trPr>
        <w:tc>
          <w:tcPr>
            <w:tcW w:w="9800" w:type="dxa"/>
            <w:vAlign w:val="bottom"/>
          </w:tcPr>
          <w:p>
            <w:pPr>
              <w:spacing w:after="0"/>
              <w:rPr>
                <w:sz w:val="20"/>
                <w:szCs w:val="20"/>
                <w:color w:val="auto"/>
              </w:rPr>
            </w:pPr>
            <w:r>
              <w:rPr>
                <w:rFonts w:ascii="Arial" w:cs="Arial" w:eastAsia="Arial" w:hAnsi="Arial"/>
                <w:sz w:val="18"/>
                <w:szCs w:val="18"/>
                <w:color w:val="auto"/>
              </w:rPr>
              <w:t>Activity in the allowance account for uncollectibles is summarized as follows: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Allowance for</w:t>
            </w:r>
          </w:p>
        </w:tc>
        <w:tc>
          <w:tcPr>
            <w:tcW w:w="0" w:type="dxa"/>
            <w:vAlign w:val="bottom"/>
          </w:tcPr>
          <w:p>
            <w:pPr>
              <w:spacing w:after="0"/>
              <w:rPr>
                <w:sz w:val="1"/>
                <w:szCs w:val="1"/>
                <w:color w:val="auto"/>
              </w:rPr>
            </w:pPr>
          </w:p>
        </w:tc>
      </w:tr>
      <w:tr>
        <w:trPr>
          <w:trHeight w:val="230"/>
        </w:trPr>
        <w:tc>
          <w:tcPr>
            <w:tcW w:w="9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Uncollectibles</w:t>
            </w:r>
          </w:p>
        </w:tc>
        <w:tc>
          <w:tcPr>
            <w:tcW w:w="0" w:type="dxa"/>
            <w:vAlign w:val="bottom"/>
          </w:tcPr>
          <w:p>
            <w:pPr>
              <w:spacing w:after="0"/>
              <w:rPr>
                <w:sz w:val="1"/>
                <w:szCs w:val="1"/>
                <w:color w:val="auto"/>
              </w:rPr>
            </w:pPr>
          </w:p>
        </w:tc>
      </w:tr>
      <w:tr>
        <w:trPr>
          <w:trHeight w:val="223"/>
        </w:trPr>
        <w:tc>
          <w:tcPr>
            <w:tcW w:w="9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the utility infrastructure services segment (Centuri) had $375.3 million in combined customer accounts and contracts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Both the allowance for uncollectibles and write-offs related to Centuri customers have been insignificant and are not reflected in the table above.</w:t>
      </w: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is subject to the regulation of the Arizona Corporation Commission (“ACC”), the Public Utilities Commission of Nevada (“PUCN”), the California Public Utilities Commission (“CPUC”), and the FERC. Accounting policies of Southwest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Southwest is required to write-off the related regulatory asset. Regulatory liabilities are recorded if it is probable that revenues will be reduced for amounts that will be refunded to customers through the ratemaking process. Southwest management records regulatory assets and liabilities based on decisions of the commissions noted above, including the issuance of regulatory orders and precedents established by these commissions. Southwest has generally been successful in seeking recovery of regulatory assets, and regularly files rate cases in all jurisdictions, in part to establish the basis for recovering regulatory assets reflected in accounting records.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represents existing regulatory assets and liabilities: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8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Accrued pension and other postretirement benefit costs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427,550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420,114</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net loss on non-trading derivatives (Swaps) (2)</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Deferred purchased gas costs (3)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44,412</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purchased gas costs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Unamortized premium on reacquired debt (5)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18,249</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absence time (8)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Margin, interest- and property tax-tracking (9)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33,380</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541,647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582,759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Deferred purchased gas costs (3)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(60,755)</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removal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Unamortized gain on reacquired debt (6)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(8,181)</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excess deferred/other taxes and gross-up (7)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(455,625)</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Margin, interest- and property tax-tracking (9)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(22,650)</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regulatory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(363,890)</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hanging="10"/>
        <w:spacing w:after="0" w:line="258"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w:t>
      </w:r>
    </w:p>
    <w:p>
      <w:pPr>
        <w:jc w:val="both"/>
        <w:ind w:left="180" w:hanging="10"/>
        <w:spacing w:after="0" w:line="246"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Included in Prepaid and other assets on the Consolidated Balance Sheets. The actual amounts, when realized at settlement, become a component of purchased gas costs under Southwest’s PGA mechanisms. (For specific details, see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 Organization, and Summary of Significant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Policies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 Balance recovered or refunded on an ongoing basis.</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5" w:lineRule="exact"/>
        <w:rPr>
          <w:rFonts w:ascii="Arial" w:cs="Arial" w:eastAsia="Arial" w:hAnsi="Arial"/>
          <w:sz w:val="16"/>
          <w:szCs w:val="16"/>
          <w:color w:val="auto"/>
        </w:rPr>
      </w:pPr>
    </w:p>
    <w:p>
      <w:pPr>
        <w:jc w:val="both"/>
        <w:ind w:left="180" w:hanging="10"/>
        <w:spacing w:after="0" w:line="246"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remeasurement/reduction of the net accumulated deferred income tax liability from U.S. tax reform. The reduction (excess accumulated deferred taxes, or “EADIT”)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$15 million in 2020 which is in Other current liabilities. Amount also includes difference in current taxes required to be returned to customers and a separate $2.6 million gross-up related to contributions in aid of construction.</w:t>
      </w:r>
    </w:p>
    <w:p>
      <w:pPr>
        <w:spacing w:after="0" w:line="2" w:lineRule="exact"/>
        <w:rPr>
          <w:rFonts w:ascii="Arial" w:cs="Arial" w:eastAsia="Arial" w:hAnsi="Arial"/>
          <w:sz w:val="16"/>
          <w:szCs w:val="16"/>
          <w:color w:val="auto"/>
        </w:rPr>
      </w:pPr>
    </w:p>
    <w:p>
      <w:pPr>
        <w:ind w:left="660" w:hanging="490"/>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Regulatory recovery occurs on a one-year lag basis through the labor loading process. Included in Prepaid and other current assets on the Consolidated Balance</w:t>
      </w:r>
    </w:p>
    <w:p>
      <w:pPr>
        <w:spacing w:after="0" w:line="28"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Sheets.</w:t>
      </w:r>
    </w:p>
    <w:p>
      <w:pPr>
        <w:spacing w:after="0" w:line="5" w:lineRule="exact"/>
        <w:rPr>
          <w:rFonts w:ascii="Arial" w:cs="Arial" w:eastAsia="Arial" w:hAnsi="Arial"/>
          <w:sz w:val="14"/>
          <w:szCs w:val="14"/>
          <w:color w:val="auto"/>
        </w:rPr>
      </w:pPr>
    </w:p>
    <w:p>
      <w:pPr>
        <w:ind w:left="180" w:hanging="10"/>
        <w:spacing w:after="0" w:line="257"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Margin tracking/decoupling mechanisms are alternative revenue programs; revenue associated with under-collections (for the difference between authorized margin levels and amounts billed to customers through rates currently) is recognized as revenue so long as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4" w:name="page85"/>
    <w:bookmarkEnd w:id="84"/>
    <w:p>
      <w:pPr>
        <w:ind w:left="180"/>
        <w:spacing w:after="0" w:line="292" w:lineRule="auto"/>
        <w:rPr>
          <w:sz w:val="20"/>
          <w:szCs w:val="20"/>
          <w:color w:val="auto"/>
        </w:rPr>
      </w:pPr>
      <w:r>
        <w:rPr>
          <w:rFonts w:ascii="Arial" w:cs="Arial" w:eastAsia="Arial" w:hAnsi="Arial"/>
          <w:sz w:val="14"/>
          <w:szCs w:val="14"/>
          <w:color w:val="auto"/>
        </w:rPr>
        <w:t>recovery is expected to take place within 24 months. Total category asset balances are included in Prepaid and other current assets and Deferred charges and other assets on the Consolidated Balance Sheets. Total category liability balances are included in Other current liabilities and Other deferred credits and other long-term liabilities.</w:t>
      </w:r>
    </w:p>
    <w:p>
      <w:pPr>
        <w:jc w:val="both"/>
        <w:ind w:left="180" w:right="20" w:hanging="10"/>
        <w:spacing w:after="0" w:line="251"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December 31,</w:t>
            </w:r>
          </w:p>
        </w:tc>
      </w:tr>
      <w:tr>
        <w:trPr>
          <w:trHeight w:val="22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r>
      <w:tr>
        <w:trPr>
          <w:trHeight w:val="20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Regulatory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State mandated public purpose programs (including low income and conservation programs) (a) (e)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9,172</w:t>
            </w:r>
          </w:p>
        </w:tc>
      </w:tr>
      <w:tr>
        <w:trPr>
          <w:trHeight w:val="229"/>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Infrastructure replacement programs and similar (b) (e)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w:t>
            </w:r>
          </w:p>
        </w:tc>
      </w:tr>
      <w:tr>
        <w:trPr>
          <w:trHeight w:val="229"/>
        </w:trPr>
        <w:tc>
          <w:tcPr>
            <w:tcW w:w="9200" w:type="dxa"/>
            <w:vAlign w:val="bottom"/>
          </w:tcPr>
          <w:p>
            <w:pPr>
              <w:ind w:left="220"/>
              <w:spacing w:after="0"/>
              <w:rPr>
                <w:sz w:val="20"/>
                <w:szCs w:val="20"/>
                <w:color w:val="auto"/>
              </w:rPr>
            </w:pPr>
            <w:r>
              <w:rPr>
                <w:rFonts w:ascii="Arial" w:cs="Arial" w:eastAsia="Arial" w:hAnsi="Arial"/>
                <w:sz w:val="18"/>
                <w:szCs w:val="18"/>
                <w:color w:val="auto"/>
              </w:rPr>
              <w:t>Environmental compliance programs (c) (e)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5,768</w:t>
            </w:r>
          </w:p>
        </w:tc>
      </w:tr>
      <w:tr>
        <w:trPr>
          <w:trHeight w:val="230"/>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tracking mechanism (b)</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r>
      <w:tr>
        <w:trPr>
          <w:trHeight w:val="248"/>
        </w:trPr>
        <w:tc>
          <w:tcPr>
            <w:tcW w:w="9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640" w:hanging="470"/>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w:t>
      </w:r>
    </w:p>
    <w:p>
      <w:pPr>
        <w:spacing w:after="0" w:line="19" w:lineRule="exact"/>
        <w:rPr>
          <w:rFonts w:ascii="Arial" w:cs="Arial" w:eastAsia="Arial" w:hAnsi="Arial"/>
          <w:sz w:val="16"/>
          <w:szCs w:val="16"/>
          <w:color w:val="auto"/>
        </w:rPr>
      </w:pPr>
    </w:p>
    <w:p>
      <w:pPr>
        <w:ind w:left="660" w:hanging="490"/>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w:t>
      </w:r>
    </w:p>
    <w:p>
      <w:pPr>
        <w:spacing w:after="0" w:line="5" w:lineRule="exact"/>
        <w:rPr>
          <w:rFonts w:ascii="Arial" w:cs="Arial" w:eastAsia="Arial" w:hAnsi="Arial"/>
          <w:sz w:val="16"/>
          <w:szCs w:val="16"/>
          <w:color w:val="auto"/>
        </w:rPr>
      </w:pPr>
    </w:p>
    <w:p>
      <w:pPr>
        <w:jc w:val="both"/>
        <w:ind w:left="180" w:hanging="10"/>
        <w:spacing w:after="0" w:line="246" w:lineRule="auto"/>
        <w:tabs>
          <w:tab w:leader="none" w:pos="6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2020, approximately $4.2 million of these balances included in Prepaid and other current assets and $998,000 included in Deferred charges and other assets on the Consolidated Balance Sheets. In 2019, approximately $5.0 million included in Prepaid and other current assets and $782,000 included in Deferred charges and other assets on the Consolidated Balance Sheets.</w:t>
      </w:r>
    </w:p>
    <w:p>
      <w:pPr>
        <w:spacing w:after="0" w:line="1" w:lineRule="exact"/>
        <w:rPr>
          <w:rFonts w:ascii="Arial" w:cs="Arial" w:eastAsia="Arial" w:hAnsi="Arial"/>
          <w:sz w:val="16"/>
          <w:szCs w:val="16"/>
          <w:color w:val="auto"/>
        </w:rPr>
      </w:pPr>
    </w:p>
    <w:p>
      <w:pPr>
        <w:jc w:val="both"/>
        <w:ind w:left="180" w:hanging="10"/>
        <w:spacing w:after="0" w:line="246"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2020, $3.6 million included in Prepaid and other current assets and $14.4 million included in Deferred charges and other assets on the Consolidated Balance Sheets. In 2019, $1.6 million included in Prepaid and other current assets and $8.3 million included in Deferred charges and other assets on the Consolidated Balance Sheets.</w:t>
      </w:r>
    </w:p>
    <w:p>
      <w:pPr>
        <w:spacing w:after="0" w:line="1" w:lineRule="exact"/>
        <w:rPr>
          <w:rFonts w:ascii="Arial" w:cs="Arial" w:eastAsia="Arial" w:hAnsi="Arial"/>
          <w:sz w:val="16"/>
          <w:szCs w:val="16"/>
          <w:color w:val="auto"/>
        </w:rPr>
      </w:pPr>
    </w:p>
    <w:p>
      <w:pPr>
        <w:ind w:left="640" w:hanging="470"/>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December 31,</w:t>
            </w:r>
          </w:p>
        </w:tc>
      </w:tr>
      <w:tr>
        <w:trPr>
          <w:trHeight w:val="22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r>
      <w:tr>
        <w:trPr>
          <w:trHeight w:val="21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Regulatory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9200" w:type="dxa"/>
            <w:vAlign w:val="bottom"/>
          </w:tcPr>
          <w:p>
            <w:pPr>
              <w:ind w:left="220"/>
              <w:spacing w:after="0"/>
              <w:rPr>
                <w:sz w:val="20"/>
                <w:szCs w:val="20"/>
                <w:color w:val="auto"/>
              </w:rPr>
            </w:pPr>
            <w:r>
              <w:rPr>
                <w:rFonts w:ascii="Arial" w:cs="Arial" w:eastAsia="Arial" w:hAnsi="Arial"/>
                <w:sz w:val="18"/>
                <w:szCs w:val="18"/>
                <w:color w:val="auto"/>
              </w:rPr>
              <w:t>State mandated public purpose programs (including low income and conservation programs) (a) (c)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Environmental compliance programs (c) (d)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Pension tracking mechanism (b)</w:t>
            </w:r>
          </w:p>
        </w:tc>
        <w:tc>
          <w:tcPr>
            <w:tcW w:w="20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30"/>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 (c)</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23"/>
        </w:trPr>
        <w:tc>
          <w:tcPr>
            <w:tcW w:w="9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r>
      <w:tr>
        <w:trPr>
          <w:trHeight w:val="20"/>
        </w:trPr>
        <w:tc>
          <w:tcPr>
            <w:tcW w:w="9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40" w:hanging="470"/>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Included in Other current liabilities, except for $339,000 which is included in Other deferred credits and long-term liabilities on the Consolidated Balance Sheets.</w:t>
      </w:r>
    </w:p>
    <w:p>
      <w:pPr>
        <w:spacing w:after="0" w:line="30" w:lineRule="exact"/>
        <w:rPr>
          <w:rFonts w:ascii="Arial" w:cs="Arial" w:eastAsia="Arial" w:hAnsi="Arial"/>
          <w:sz w:val="15"/>
          <w:szCs w:val="15"/>
          <w:color w:val="auto"/>
        </w:rPr>
      </w:pPr>
    </w:p>
    <w:p>
      <w:pPr>
        <w:ind w:left="660" w:hanging="490"/>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w:t>
      </w:r>
    </w:p>
    <w:p>
      <w:pPr>
        <w:spacing w:after="0" w:line="5" w:lineRule="exact"/>
        <w:rPr>
          <w:rFonts w:ascii="Arial" w:cs="Arial" w:eastAsia="Arial" w:hAnsi="Arial"/>
          <w:sz w:val="16"/>
          <w:szCs w:val="16"/>
          <w:color w:val="auto"/>
        </w:rPr>
      </w:pPr>
    </w:p>
    <w:p>
      <w:pPr>
        <w:ind w:left="640" w:hanging="470"/>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Balance typically recovered or refunded on an ongoing basis, generally with interest.</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2020 and 2019, included in Other current liabilities on the Consolidated Balance Sheet.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provides insight into amounts impacting the Company’s Other comprehensive income (loss), both before and after-tax impacts, within the Consolidated Statements of Comprehensive Income, which also impact Accumulated other comprehensive income (“AOCI”) in the Consolidated Balance Sheets and the Consolidated Statements of Equity.</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color w:val="auto"/>
                <w:w w:val="91"/>
              </w:rPr>
              <w:t>Year Ended December 31,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Before-</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0"/>
              </w:rPr>
              <w:t>Tax (Expense)</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40" w:type="dxa"/>
            <w:vAlign w:val="bottom"/>
            <w:vMerge w:val="restart"/>
          </w:tcPr>
          <w:p>
            <w:pPr>
              <w:jc w:val="center"/>
              <w:ind w:right="28"/>
              <w:spacing w:after="0"/>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or</w:t>
            </w:r>
          </w:p>
        </w:tc>
        <w:tc>
          <w:tcPr>
            <w:tcW w:w="100" w:type="dxa"/>
            <w:vAlign w:val="bottom"/>
          </w:tcPr>
          <w:p>
            <w:pPr>
              <w:spacing w:after="0"/>
              <w:rPr>
                <w:sz w:val="11"/>
                <w:szCs w:val="11"/>
                <w:color w:val="auto"/>
              </w:rPr>
            </w:pPr>
          </w:p>
        </w:tc>
        <w:tc>
          <w:tcPr>
            <w:tcW w:w="64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3"/>
                <w:szCs w:val="13"/>
                <w:color w:val="auto"/>
              </w:rPr>
              <w:t>(Thousands of dollars)</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Benefit (1)</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(1)</w:t>
            </w:r>
          </w:p>
        </w:tc>
        <w:tc>
          <w:tcPr>
            <w:tcW w:w="100" w:type="dxa"/>
            <w:vAlign w:val="bottom"/>
          </w:tcPr>
          <w:p>
            <w:pPr>
              <w:spacing w:after="0"/>
              <w:rPr>
                <w:sz w:val="16"/>
                <w:szCs w:val="16"/>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14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(57,539)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(71,087)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(54,026)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(20,426)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4,902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(15,524)</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6"/>
        </w:trPr>
        <w:tc>
          <w:tcPr>
            <w:tcW w:w="3120" w:type="dxa"/>
            <w:vAlign w:val="bottom"/>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37,830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28,751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25,549</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(6,257)</w:t>
            </w:r>
          </w:p>
        </w:tc>
        <w:tc>
          <w:tcPr>
            <w:tcW w:w="0" w:type="dxa"/>
            <w:vAlign w:val="bottom"/>
          </w:tcPr>
          <w:p>
            <w:pPr>
              <w:spacing w:after="0"/>
              <w:rPr>
                <w:sz w:val="1"/>
                <w:szCs w:val="1"/>
                <w:color w:val="auto"/>
              </w:rPr>
            </w:pPr>
          </w:p>
        </w:tc>
      </w:tr>
      <w:tr>
        <w:trPr>
          <w:trHeight w:val="118"/>
        </w:trPr>
        <w:tc>
          <w:tcPr>
            <w:tcW w:w="31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Pension plans other comprehensive income</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79"/>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18"/>
        </w:trPr>
        <w:tc>
          <w:tcPr>
            <w:tcW w:w="31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Total other comprehensive income (loss) –</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1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0" w:type="dxa"/>
            <w:vAlign w:val="bottom"/>
          </w:tcPr>
          <w:p>
            <w:pPr>
              <w:spacing w:after="0"/>
              <w:rPr>
                <w:sz w:val="1"/>
                <w:szCs w:val="1"/>
                <w:color w:val="auto"/>
              </w:rPr>
            </w:pPr>
          </w:p>
        </w:tc>
      </w:tr>
      <w:tr>
        <w:trPr>
          <w:trHeight w:val="115"/>
        </w:trPr>
        <w:tc>
          <w:tcPr>
            <w:tcW w:w="3120" w:type="dxa"/>
            <w:vAlign w:val="bottom"/>
          </w:tcPr>
          <w:p>
            <w:pPr>
              <w:ind w:left="360"/>
              <w:spacing w:after="0" w:line="115" w:lineRule="exact"/>
              <w:rPr>
                <w:sz w:val="20"/>
                <w:szCs w:val="20"/>
                <w:color w:val="auto"/>
              </w:rPr>
            </w:pPr>
            <w:r>
              <w:rPr>
                <w:rFonts w:ascii="Arial" w:cs="Arial" w:eastAsia="Arial" w:hAnsi="Arial"/>
                <w:sz w:val="13"/>
                <w:szCs w:val="13"/>
                <w:color w:val="auto"/>
              </w:rPr>
              <w:t>Foreign currency other comprehensive</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(3,010)</w:t>
            </w:r>
          </w:p>
        </w:tc>
        <w:tc>
          <w:tcPr>
            <w:tcW w:w="0" w:type="dxa"/>
            <w:vAlign w:val="bottom"/>
          </w:tcPr>
          <w:p>
            <w:pPr>
              <w:spacing w:after="0"/>
              <w:rPr>
                <w:sz w:val="1"/>
                <w:szCs w:val="1"/>
                <w:color w:val="auto"/>
              </w:rPr>
            </w:pPr>
          </w:p>
        </w:tc>
      </w:tr>
      <w:tr>
        <w:trPr>
          <w:trHeight w:val="186"/>
        </w:trPr>
        <w:tc>
          <w:tcPr>
            <w:tcW w:w="3120" w:type="dxa"/>
            <w:vAlign w:val="bottom"/>
          </w:tcPr>
          <w:p>
            <w:pPr>
              <w:ind w:left="440"/>
              <w:spacing w:after="0"/>
              <w:rPr>
                <w:sz w:val="20"/>
                <w:szCs w:val="20"/>
                <w:color w:val="auto"/>
              </w:rPr>
            </w:pPr>
            <w:r>
              <w:rPr>
                <w:rFonts w:ascii="Arial" w:cs="Arial" w:eastAsia="Arial" w:hAnsi="Arial"/>
                <w:sz w:val="14"/>
                <w:szCs w:val="14"/>
                <w:color w:val="auto"/>
              </w:rPr>
              <w:t>income (loss)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12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Total other comprehensive income (loss) –</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6,628</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0" w:type="dxa"/>
            <w:vAlign w:val="bottom"/>
          </w:tcPr>
          <w:p>
            <w:pPr>
              <w:spacing w:after="0"/>
              <w:rPr>
                <w:sz w:val="1"/>
                <w:szCs w:val="1"/>
                <w:color w:val="auto"/>
              </w:rPr>
            </w:pPr>
          </w:p>
        </w:tc>
      </w:tr>
      <w:tr>
        <w:trPr>
          <w:trHeight w:val="182"/>
        </w:trPr>
        <w:tc>
          <w:tcPr>
            <w:tcW w:w="3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Southwest Gas Holdings, Inc.</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315" w:lineRule="auto"/>
        <w:tabs>
          <w:tab w:leader="none" w:pos="40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Tax amounts are calculated using a 24% rate.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$1.7 million of realized losses (net of tax) related to the remaining balance of FSIRS, included in AOCI at December 31, 2020, will be reclassified into interest expense within the next twelve months as the related interest payments on long-term debt occur.</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The following table represents a rollforward of AOCI, presented on the Company’s Consolidated Balance Sheets and its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3"/>
                <w:szCs w:val="13"/>
                <w:color w:val="auto"/>
                <w:w w:val="87"/>
              </w:rPr>
              <w:t>Defined Benefit Plans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FSIRS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8"/>
          </w:tcPr>
          <w:p>
            <w:pPr>
              <w:jc w:val="center"/>
              <w:ind w:right="200"/>
              <w:spacing w:after="0"/>
              <w:rPr>
                <w:sz w:val="20"/>
                <w:szCs w:val="20"/>
                <w:color w:val="auto"/>
              </w:rPr>
            </w:pPr>
            <w:r>
              <w:rPr>
                <w:rFonts w:ascii="Arial" w:cs="Arial" w:eastAsia="Arial" w:hAnsi="Arial"/>
                <w:sz w:val="13"/>
                <w:szCs w:val="13"/>
                <w:color w:val="auto"/>
                <w:w w:val="88"/>
              </w:rPr>
              <w:t>Foreign Currency Items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color w:val="auto"/>
                <w:w w:val="82"/>
              </w:rPr>
              <w:t>Tax</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color w:val="auto"/>
                <w:w w:val="89"/>
              </w:rPr>
              <w:t>Before-</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color w:val="auto"/>
                <w:w w:val="82"/>
              </w:rPr>
              <w:t>Tax</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color w:val="auto"/>
                <w:w w:val="89"/>
              </w:rPr>
              <w:t>Before-</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color w:val="auto"/>
                <w:w w:val="82"/>
              </w:rPr>
              <w:t>Tax</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(Thousands of dollars)</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4"/>
              </w:rPr>
              <w:t>(Expense)</w:t>
            </w:r>
          </w:p>
        </w:tc>
        <w:tc>
          <w:tcPr>
            <w:tcW w:w="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After-Tax</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4"/>
              </w:rPr>
              <w:t>(Expense)</w:t>
            </w:r>
          </w:p>
        </w:tc>
        <w:tc>
          <w:tcPr>
            <w:tcW w:w="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After-Tax</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7"/>
              </w:rPr>
              <w:t>(Expense)</w:t>
            </w:r>
          </w:p>
        </w:tc>
        <w:tc>
          <w:tcPr>
            <w:tcW w:w="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140" w:type="dxa"/>
            <w:vAlign w:val="bottom"/>
          </w:tcPr>
          <w:p>
            <w:pPr>
              <w:spacing w:after="0"/>
              <w:rPr>
                <w:sz w:val="10"/>
                <w:szCs w:val="10"/>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9"/>
        </w:trPr>
        <w:tc>
          <w:tcPr>
            <w:tcW w:w="28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Benefit (4)</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Tax</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Benefit (4)</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Benefit</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Beginning Balance AOCI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(66,601)</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15,985</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(56,732)</w:t>
            </w:r>
          </w:p>
        </w:tc>
        <w:tc>
          <w:tcPr>
            <w:tcW w:w="0" w:type="dxa"/>
            <w:vAlign w:val="bottom"/>
          </w:tcPr>
          <w:p>
            <w:pPr>
              <w:spacing w:after="0"/>
              <w:rPr>
                <w:sz w:val="1"/>
                <w:szCs w:val="1"/>
                <w:color w:val="auto"/>
              </w:rPr>
            </w:pPr>
          </w:p>
        </w:tc>
      </w:tr>
      <w:tr>
        <w:trPr>
          <w:trHeight w:val="161"/>
        </w:trPr>
        <w:tc>
          <w:tcPr>
            <w:tcW w:w="2860" w:type="dxa"/>
            <w:vAlign w:val="bottom"/>
          </w:tcPr>
          <w:p>
            <w:pPr>
              <w:ind w:left="20"/>
              <w:spacing w:after="0" w:line="141" w:lineRule="exact"/>
              <w:rPr>
                <w:sz w:val="20"/>
                <w:szCs w:val="20"/>
                <w:color w:val="auto"/>
              </w:rPr>
            </w:pPr>
            <w:r>
              <w:rPr>
                <w:rFonts w:ascii="Arial" w:cs="Arial" w:eastAsia="Arial" w:hAnsi="Arial"/>
                <w:sz w:val="13"/>
                <w:szCs w:val="13"/>
                <w:color w:val="auto"/>
              </w:rPr>
              <w:t>Net actuarial gain/(loss)</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(57,539)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13,809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(43,730)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(43,730)</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adjustments</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0" w:type="dxa"/>
            <w:vAlign w:val="bottom"/>
          </w:tcPr>
          <w:p>
            <w:pPr>
              <w:spacing w:after="0"/>
              <w:rPr>
                <w:sz w:val="1"/>
                <w:szCs w:val="1"/>
                <w:color w:val="auto"/>
              </w:rPr>
            </w:pPr>
          </w:p>
        </w:tc>
      </w:tr>
      <w:tr>
        <w:trPr>
          <w:trHeight w:val="161"/>
        </w:trPr>
        <w:tc>
          <w:tcPr>
            <w:tcW w:w="2860" w:type="dxa"/>
            <w:vAlign w:val="bottom"/>
          </w:tcPr>
          <w:p>
            <w:pPr>
              <w:ind w:left="20"/>
              <w:spacing w:after="0" w:line="141" w:lineRule="exact"/>
              <w:rPr>
                <w:sz w:val="20"/>
                <w:szCs w:val="20"/>
                <w:color w:val="auto"/>
              </w:rPr>
            </w:pPr>
            <w:r>
              <w:rPr>
                <w:rFonts w:ascii="Arial" w:cs="Arial" w:eastAsia="Arial" w:hAnsi="Arial"/>
                <w:sz w:val="13"/>
                <w:szCs w:val="13"/>
                <w:color w:val="auto"/>
                <w:w w:val="92"/>
              </w:rPr>
              <w:t>Other comprehensive income before reclassifications</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(57,539)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13,809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(43,730)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(42,017)</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FSIRS amounts reclassified from AOCI (1)</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Amortization of prior service cost (2)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net actuarial loss (2)</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28,751</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Regulatory adjustment (3)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5,650</w:t>
            </w:r>
          </w:p>
        </w:tc>
        <w:tc>
          <w:tcPr>
            <w:tcW w:w="0" w:type="dxa"/>
            <w:vAlign w:val="bottom"/>
          </w:tcPr>
          <w:p>
            <w:pPr>
              <w:spacing w:after="0"/>
              <w:rPr>
                <w:sz w:val="1"/>
                <w:szCs w:val="1"/>
                <w:color w:val="auto"/>
              </w:rPr>
            </w:pPr>
          </w:p>
        </w:tc>
      </w:tr>
      <w:tr>
        <w:trPr>
          <w:trHeight w:val="108"/>
        </w:trPr>
        <w:tc>
          <w:tcPr>
            <w:tcW w:w="28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current period other</w:t>
            </w: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CEEFF"/>
          </w:tcPr>
          <w:p>
            <w:pPr>
              <w:ind w:left="100"/>
              <w:spacing w:after="0" w:line="122" w:lineRule="exact"/>
              <w:rPr>
                <w:sz w:val="20"/>
                <w:szCs w:val="20"/>
                <w:color w:val="auto"/>
              </w:rPr>
            </w:pPr>
            <w:r>
              <w:rPr>
                <w:rFonts w:ascii="Arial" w:cs="Arial" w:eastAsia="Arial" w:hAnsi="Arial"/>
                <w:sz w:val="13"/>
                <w:szCs w:val="13"/>
                <w:color w:val="auto"/>
              </w:rPr>
              <w:t>comprehensive income (loss) attributable to</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(11,119)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(4,271)</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Southwest Gas Holdings, Inc.</w:t>
            </w: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line="141" w:lineRule="exact"/>
              <w:rPr>
                <w:sz w:val="20"/>
                <w:szCs w:val="20"/>
                <w:color w:val="auto"/>
              </w:rPr>
            </w:pPr>
            <w:r>
              <w:rPr>
                <w:rFonts w:ascii="Arial" w:cs="Arial" w:eastAsia="Arial" w:hAnsi="Arial"/>
                <w:sz w:val="13"/>
                <w:szCs w:val="13"/>
                <w:color w:val="auto"/>
              </w:rPr>
              <w:t>Ending Balance AOCI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(77,720)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18,653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(59,067)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(2,719)</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(61,003)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Consolidated Statements of Income.</w:t>
      </w:r>
    </w:p>
    <w:p>
      <w:pPr>
        <w:spacing w:after="0" w:line="22" w:lineRule="exact"/>
        <w:rPr>
          <w:rFonts w:ascii="Arial" w:cs="Arial" w:eastAsia="Arial" w:hAnsi="Arial"/>
          <w:sz w:val="16"/>
          <w:szCs w:val="16"/>
          <w:color w:val="auto"/>
        </w:rPr>
      </w:pPr>
    </w:p>
    <w:p>
      <w:pPr>
        <w:ind w:left="180" w:hanging="10"/>
        <w:spacing w:after="0" w:line="253" w:lineRule="auto"/>
        <w:tabs>
          <w:tab w:leader="none" w:pos="6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right="20" w:hanging="10"/>
        <w:spacing w:after="0" w:line="257" w:lineRule="auto"/>
        <w:tabs>
          <w:tab w:leader="none" w:pos="6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20" w:hanging="350"/>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Defined Benefit Plans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2"/>
              </w:rPr>
              <w:t>FSIRS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After-</w:t>
            </w:r>
          </w:p>
        </w:tc>
        <w:tc>
          <w:tcPr>
            <w:tcW w:w="14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Before-</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After-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2"/>
              </w:rPr>
              <w:t>Before-Tax</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3"/>
                <w:szCs w:val="13"/>
                <w:color w:val="auto"/>
              </w:rPr>
              <w:t>(Thousands of dollars)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(66,601)</w:t>
            </w:r>
          </w:p>
        </w:tc>
        <w:tc>
          <w:tcPr>
            <w:tcW w:w="2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15,985</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(50,616)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(5,966)</w:t>
            </w: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(55,151)</w:t>
            </w: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actuarial gain/(loss)</w:t>
            </w: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(57,539)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13,809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(43,730)</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FSIRS amounts reclassified from AOCI (6)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Amortization of net actuarial loss (7)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28,751</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15"/>
        </w:trPr>
        <w:tc>
          <w:tcPr>
            <w:tcW w:w="4080" w:type="dxa"/>
            <w:vAlign w:val="bottom"/>
          </w:tcPr>
          <w:p>
            <w:pPr>
              <w:ind w:left="20"/>
              <w:spacing w:after="0" w:line="115" w:lineRule="exact"/>
              <w:rPr>
                <w:sz w:val="20"/>
                <w:szCs w:val="20"/>
                <w:color w:val="auto"/>
              </w:rPr>
            </w:pPr>
            <w:r>
              <w:rPr>
                <w:rFonts w:ascii="Arial" w:cs="Arial" w:eastAsia="Arial" w:hAnsi="Arial"/>
                <w:sz w:val="13"/>
                <w:szCs w:val="13"/>
                <w:color w:val="auto"/>
              </w:rPr>
              <w:t>Net current period other comprehensive income (loss) attributable to</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(11,119)</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(8,451)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(5,984)</w:t>
            </w:r>
          </w:p>
        </w:tc>
        <w:tc>
          <w:tcPr>
            <w:tcW w:w="0" w:type="dxa"/>
            <w:vAlign w:val="bottom"/>
          </w:tcPr>
          <w:p>
            <w:pPr>
              <w:spacing w:after="0"/>
              <w:rPr>
                <w:sz w:val="1"/>
                <w:szCs w:val="1"/>
                <w:color w:val="auto"/>
              </w:rPr>
            </w:pPr>
          </w:p>
        </w:tc>
      </w:tr>
      <w:tr>
        <w:trPr>
          <w:trHeight w:val="186"/>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Southwest Gas Corporation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hanging="350"/>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Consolidated Statements of Income.</w:t>
      </w:r>
    </w:p>
    <w:p>
      <w:pPr>
        <w:spacing w:after="0" w:line="19" w:lineRule="exact"/>
        <w:rPr>
          <w:rFonts w:ascii="Arial" w:cs="Arial" w:eastAsia="Arial" w:hAnsi="Arial"/>
          <w:sz w:val="16"/>
          <w:szCs w:val="16"/>
          <w:color w:val="auto"/>
        </w:rPr>
      </w:pPr>
    </w:p>
    <w:p>
      <w:pPr>
        <w:ind w:left="180" w:hanging="10"/>
        <w:spacing w:after="0" w:line="246"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hanging="10"/>
        <w:spacing w:after="0" w:line="246"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Deferred charges and other assets on Southwest’s Consolidated Balance Sheets).</w:t>
      </w:r>
    </w:p>
    <w:p>
      <w:pPr>
        <w:ind w:left="520" w:hanging="350"/>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(483,074)</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420,114</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(66,601)</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 and </w:t>
      </w:r>
      <w:r>
        <w:rPr>
          <w:rFonts w:ascii="Arial" w:cs="Arial" w:eastAsia="Arial" w:hAnsi="Arial"/>
          <w:sz w:val="18"/>
          <w:szCs w:val="18"/>
          <w:b w:val="1"/>
          <w:bCs w:val="1"/>
          <w:color w:val="auto"/>
        </w:rPr>
        <w:t>Note 1 - Background,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color w:val="auto"/>
        </w:rPr>
        <w:t>for more information on the FSIRS.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7 -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awards to be issued in shares of Southwest Gas Holdings, Inc.</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2019, between the Company and BNY Mellon Capital Markets, LLC (the “Equity Shelf Program”). The following table provides the activity in the Equity Shelf Program for the three-month and life-to-date periods ended December 31,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Three Months Ended</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Life-To-Date Ended</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4"/>
          </w:tcPr>
          <w:p>
            <w:pPr>
              <w:jc w:val="right"/>
              <w:ind w:right="133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46,425,623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253,551,490</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(2,535,515)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45,961,367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251,015,975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691,081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3,396,457</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had up to $46,448,510 of common stock available for future issuance under the program. Net proceeds from the sale of shares of common stock under the Equity Shelf Programs are intended for general corporate purposes, including the acquisition of property for the construction, completion, extension, or improvement of pipeline systems and facilities located in and around the communities served by Southwest. Net proceeds during the twelve months ended December 31, 2020 were contributed to, and reflected in the records of, Southwest (as a capital contribution from Southwest Gas Holdings, Inc.).</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Aside from the equity shelf registration, in December 2020, the Company and Southwest jointly filed with the SEC an automatic shelf registration statement (File No. 333-251074),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Additionally as part of the Universal Shelf,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Company issued approximately 96,000 shares of common stock through the Restricted Stock/Unit Plan, Omnibus Incentive Plan, and Management Incentive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2020, the Company issued 172,000 shares of common stock through the Dividend Reinvestment and Stock Purchase Plan, raising proceeds of approximately $11 million.</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there were 4.5 million shares of common stock registered and available for issuance under the provisions of the various stock issuance plans, which does not include the amount of common stock available that is separately disclosed with respect to the Equity Shelf Program above.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debt is recognized in the Company’s and Southwest’s Consolidated Balance Sheets generally at the carrying value of the obligations outstanding. However, details surrounding the fair value and individual carrying values of instruments are discussed below and provided in the table that follows.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8" w:name="page89"/>
    <w:bookmarkEnd w:id="88"/>
    <w:p>
      <w:pPr>
        <w:jc w:val="both"/>
        <w:spacing w:after="0" w:line="257" w:lineRule="auto"/>
        <w:rPr>
          <w:sz w:val="20"/>
          <w:szCs w:val="20"/>
          <w:color w:val="auto"/>
        </w:rPr>
      </w:pPr>
      <w:r>
        <w:rPr>
          <w:rFonts w:ascii="Arial" w:cs="Arial" w:eastAsia="Arial" w:hAnsi="Arial"/>
          <w:sz w:val="18"/>
          <w:szCs w:val="18"/>
          <w:color w:val="auto"/>
        </w:rPr>
        <w:t>The fair values of Southwest’s revolving credit facility (including commercial paper) and the variable-rate Industrial Development Revenue Bonds (“IDRBs”) approximate their carrying values. The fair values of the revolving credit facility and IDRBs are categorized as Level 1 based on the FASB’s fair value hierarchy, due to Southwest’s ability to access similar debt arrangements at measurement dates with comparable terms, including variable/market rates. Additionally, the borrowings by Southwest under the revolving credit facility are generally repaid quickly, and the IDRBs have interest rates that reset frequently.</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 in the hierarchy.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the secured revolving credit and term loan facility and its other debt obligations were based on a conventional discounted cash flow methodology and utilizing current market pricing yield curves, across Centuri’s debt maturity spectrum, of other industrial bonds with an assumed credit rating comparable to the Company’s.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Carrying amounts of long-term debt and related estimated fair values as of December 31, 2020 and 2019 are disclosed in the following table. The fair value hierarchy is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80"/>
              <w:spacing w:after="0" w:line="169" w:lineRule="exact"/>
              <w:rPr>
                <w:sz w:val="20"/>
                <w:szCs w:val="20"/>
                <w:color w:val="auto"/>
              </w:rPr>
            </w:pPr>
            <w:r>
              <w:rPr>
                <w:rFonts w:ascii="Arial" w:cs="Arial" w:eastAsia="Arial" w:hAnsi="Arial"/>
                <w:sz w:val="18"/>
                <w:szCs w:val="18"/>
                <w:color w:val="auto"/>
              </w:rPr>
              <w:t>Carrying</w:t>
            </w:r>
          </w:p>
        </w:tc>
        <w:tc>
          <w:tcPr>
            <w:tcW w:w="88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9"/>
              </w:rPr>
              <w:t>Carrying</w:t>
            </w:r>
          </w:p>
        </w:tc>
        <w:tc>
          <w:tcPr>
            <w:tcW w:w="340" w:type="dxa"/>
            <w:vAlign w:val="bottom"/>
          </w:tcPr>
          <w:p>
            <w:pPr>
              <w:spacing w:after="0"/>
              <w:rPr>
                <w:sz w:val="14"/>
                <w:szCs w:val="14"/>
                <w:color w:val="auto"/>
              </w:rPr>
            </w:pPr>
          </w:p>
        </w:tc>
        <w:tc>
          <w:tcPr>
            <w:tcW w:w="88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0"/>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Amount</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Notes, 4.45%, due 2020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6.1%, due 2041</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Notes, 3.875%, due 2022</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4.875%, due 2043</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Notes, 3.8%, due 2046</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347,046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3.7%, due 2028</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Notes, 4.15%, due 2049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2.2%, due 2030</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7.78% series, due 2022</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Medium-term notes, 7.92% series, due 2027</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6.76% series, due 2027</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2,089,678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1,768,050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Tax-exempt Series A, due 2028</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2003 Series A, due 2038</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2008 Series A, due 2038</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 Series A, due 2039</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less current maturities – Southwest Gas Corporation</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1,991,333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Centuri:</w:t>
            </w: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term loan facility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26,626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60,021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other debt obligations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(38,512)</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293,994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309,149</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Consolidated Southwest Gas Holdings, Inc.:</w:t>
            </w: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2,116,333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Centuri long-term debt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334,427</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347,661</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w w:val="93"/>
              </w:rPr>
              <w:t>Long-term debt, less current maturities – Southwest Gas Holdings, Inc.</w:t>
            </w:r>
          </w:p>
        </w:tc>
        <w:tc>
          <w:tcPr>
            <w:tcW w:w="1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2,732,200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2,300,482</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vMerge w:val="restart"/>
          </w:tcPr>
          <w:p>
            <w:pPr>
              <w:jc w:val="right"/>
              <w:ind w:right="57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3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0" w:name="page91"/>
    <w:bookmarkEnd w:id="90"/>
    <w:p>
      <w:pPr>
        <w:jc w:val="both"/>
        <w:spacing w:after="0" w:line="255" w:lineRule="auto"/>
        <w:rPr>
          <w:sz w:val="20"/>
          <w:szCs w:val="20"/>
          <w:color w:val="auto"/>
        </w:rPr>
      </w:pPr>
      <w:r>
        <w:rPr>
          <w:rFonts w:ascii="Arial" w:cs="Arial" w:eastAsia="Arial" w:hAnsi="Arial"/>
          <w:sz w:val="18"/>
          <w:szCs w:val="18"/>
          <w:color w:val="auto"/>
        </w:rPr>
        <w:t>Southwest has a $400 million credit facility, for which it has designated $150 million of associated capacity as long-term debt and the remaining $250 million for working capital purposes. Interest rates for the credit facility are calculated at either LIBOR or an “alternate base rate,” plus in each case an applicable margin that is determined based on Southwest’s senior unsecured debt rating. At December 31, 2020, $150 million was outstanding on the long-term portion (including $50 million under the commercial paper program discussed below). The effective interest rate on the long-term portion of the credit facility was 0.92% at December 31, 2020. Borrowings under the credit facility ranged from none at various times throughout 2020 to a high of $344 million during the first quarter of 2020.</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10, 2020, Southwest amended its credit facility agreement; total borrowing capacity under the amended agreement remains at $400 million. The amended agreement extended the maturity date from March 2022 to April 2025. Under the amended agreement, the applicable margin ranges from 0.750% to 1.500% for loans bearing interest with reference to LIBOR and from 0.000% to 0.500% for loans bearing interest with reference to an alternate base rate. At December 31, 2020, the applicable margin is 1% for loans bearing interest with reference to LIBOR and 0% for loans bearing interest with reference to the alternative base rate. Upon the occurrence of certain events providing for a transition away from LIBOR, or if LIBOR is no longer a widely recognized benchmark rate, Southwest may further amend the credit facility with a replacement rate as set forth in the amended agreement. Southwest is also required to pay a commitment fee on the unfunded portion of the commitments based on its senior unsecured long-term debt rating. The commitment fee on the unfunded portion of the commitments ranges from 0.075% to 0.200% per annum, and was not significant for the year ended December 31, 2020. The amended agreement contains certain representations and warranties and affirmative and negative covenants similar to those contained in the previous agreement. In addition, the amended agreement contains a financial covenant requiring Southwest to maintain a ratio of funded debt to total capitalization not to exceed 0.70 to 1.00 as of the end of any quarter of any fiscal year.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current revolving credit facility and, therefore, do not represent additional borrowing capacity. Borrowings under the commercial paper program are designated as long-term debt. Interest rates for the program are calculated at the then current commercial paper rate. At December 31, 2020, as noted above, $50 million of borrowings were outstanding under the commercial paper program.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Southwest issued $450 million aggregate principal amount of 2.20% Senior Notes at a discount of 0.126%. The notes will mature in June 2030. A portion of the net proceeds was used to reduce borrowings under Southwest’s credit facility and to redeem the 4.45% $125 million notes due in December 2020, which were redeemed in September 2020 after Southwest provided advance notice to the holders of its intention to redeem the notes in full at a redemption price of 100% plus accrued and unpaid interest.</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has a $590 million senior secured revolving credit and term loan facility, scheduled to expire in November 2023. The capacity of the line of credit portion of the facility is $325 million; related amounts borrowed and repaid are available to be re-borrowed. The term loan portion of the facility has a limit of approximately $265 million; amounts borrowed and repaid under this portion of the facility are not able to be re-borrowed. It is secured by substantially all of Centuri’s assets except those explicitly excluded under the terms of the agreement (including owned real estate and certain certificated vehicles). Centuri’s assets securing the facility at December 31, 2020 totaled $1.4 billion. At December 31, 2020, $253 million in borrowings were outstanding under Centuri’s combined facility. During 2020, Centuri also received proceeds of $70 million in equipment loans.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rates for Centuri’s $590 million secured revolving credit and term loan facility are calculated at LIBOR, the Canadian Dealer Offered Rate (“CDOR”), or an alternate base rate or Canadian base rate, plus in each case an applicable margin that is determined based on Centuri’s consolidated leverage ratio. The applicable margin ranges from 0.875% to 2.25% for loans bearing interest with reference to LIBOR or CDOR and from 0.00% to 1.25% for loans bearing interest with reference to the alternate base rate or Canadian base rate. Centuri is also required to pay a commitment fee on the unfunded portion of the commitments based on their consolidated leverage ratio. The commitment fee ranges from 0.125% to 0.35% per annum. Borrowings under the secured revolving credit portion of the facility ranged from a low of $27 million during the fourth quarter of 2020 to a high of $77 million during the third quarter of 2020.</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outstanding are considered long-term borrowings. The effective interest rate on the secured revolving credit and term loan facility was 1.3% at December 31, 2020.</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It is currently anticipated that LIBOR may be discontinued as a benchmark or reference rate after 2021. As of December 31, 2020, $50 million of outstanding borrowings for the holding company under its credit facility (see </w:t>
      </w:r>
      <w:r>
        <w:rPr>
          <w:rFonts w:ascii="Arial" w:cs="Arial" w:eastAsia="Arial" w:hAnsi="Arial"/>
          <w:sz w:val="16"/>
          <w:szCs w:val="16"/>
          <w:i w:val="1"/>
          <w:iCs w:val="1"/>
          <w:color w:val="auto"/>
        </w:rPr>
        <w:t>Short-term Debt</w:t>
      </w:r>
      <w:r>
        <w:rPr>
          <w:rFonts w:ascii="Arial" w:cs="Arial" w:eastAsia="Arial" w:hAnsi="Arial"/>
          <w:sz w:val="16"/>
          <w:szCs w:val="16"/>
          <w:color w:val="auto"/>
        </w:rPr>
        <w:t xml:space="preserve"> below), $157 million of Southwest’s outstanding borrowings under its credit facility (other than from its commercial paper program), and $145 million of Centuri’s outstanding borrowings under its combined facility have interest rates with reference to LIBOR and maturity dates that extend beyond 2021. The outstanding amounts reflect approximately 6% of Southwest’s total debt and 12% of total debt (including current maturities) for the Company overall. Southwest and Southwest Gas Holdings, Inc., in accordance with the April 2020 amendments to their respective facilities, may make further amendments with replacement rates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1" w:name="page92"/>
    <w:bookmarkEnd w:id="91"/>
    <w:p>
      <w:pPr>
        <w:jc w:val="both"/>
        <w:spacing w:after="0" w:line="257" w:lineRule="auto"/>
        <w:rPr>
          <w:sz w:val="20"/>
          <w:szCs w:val="20"/>
          <w:color w:val="auto"/>
        </w:rPr>
      </w:pPr>
      <w:r>
        <w:rPr>
          <w:rFonts w:ascii="Arial" w:cs="Arial" w:eastAsia="Arial" w:hAnsi="Arial"/>
          <w:sz w:val="18"/>
          <w:szCs w:val="18"/>
          <w:color w:val="auto"/>
        </w:rPr>
        <w:t>if LIBOR is discontinued. However, replacement rates are not currently determinable. In order to mitigate the impact of the discontinuance on the Company’s and Southwest’s financial condition and results of operations, management will continue to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The effective interest rates on Southwest’s variable-rate IDRBs are included in the table below:</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2003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2008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0.83 %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Tax-exempt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0.87 %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2.32 %</w:t>
            </w:r>
          </w:p>
        </w:tc>
      </w:tr>
    </w:tbl>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customers through a variable interest expense recovery mechanism.</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2020, Southwest was in compliance with all of its covenants. Under the most restrictive of the financial covenants, approximately $2.7 billion in additional debt could be issued while still meeting the leverage ratio requirement. Relating to the minimum net worth requirement, as of December 31, 2020, there is at least $1.7 billion of cushion in equity. No specific dividend restrictions exist under the collective covenants. None of the debt instruments contain material adverse change clauses.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Centuri debt instruments have leverage ratio caps and fixed charge ratio coverage requirements. At December 31, 2020, Centuri was in compliance with all of its covenants. Under the most restrictive of the covenants, Centuri could issue over $318 million in additional debt and meet the leverage ratio requirement. Centuri has at least $115 million of cushion relating to the minimum fixed charge ratio coverage requirement. Centuri’s covenants limit its ability to provide cash dividends to Southwest Gas Holdings, Inc., its parent. The dividend restriction is equal to a maximum of 60% of its rolling twelve-month consolidated net income.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Estimated maturities of long-term debt for the next five years are:</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8"/>
        </w:trPr>
        <w:tc>
          <w:tcPr>
            <w:tcW w:w="56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4"/>
                <w:szCs w:val="24"/>
                <w:color w:val="auto"/>
              </w:rPr>
            </w:pPr>
          </w:p>
        </w:tc>
        <w:tc>
          <w:tcPr>
            <w:tcW w:w="1940" w:type="dxa"/>
            <w:vAlign w:val="bottom"/>
            <w:gridSpan w:val="3"/>
          </w:tcPr>
          <w:p>
            <w:pPr>
              <w:jc w:val="right"/>
              <w:ind w:right="890"/>
              <w:spacing w:after="0"/>
              <w:rPr>
                <w:sz w:val="20"/>
                <w:szCs w:val="20"/>
                <w:color w:val="auto"/>
              </w:rPr>
            </w:pPr>
            <w:r>
              <w:rPr>
                <w:rFonts w:ascii="Arial" w:cs="Arial" w:eastAsia="Arial" w:hAnsi="Arial"/>
                <w:sz w:val="18"/>
                <w:szCs w:val="18"/>
                <w:color w:val="auto"/>
              </w:rPr>
              <w:t>Southwest</w:t>
            </w: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Centuri</w:t>
            </w:r>
          </w:p>
        </w:tc>
        <w:tc>
          <w:tcPr>
            <w:tcW w:w="400" w:type="dxa"/>
            <w:vAlign w:val="bottom"/>
          </w:tcPr>
          <w:p>
            <w:pPr>
              <w:spacing w:after="0"/>
              <w:rPr>
                <w:sz w:val="24"/>
                <w:szCs w:val="24"/>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Total</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320,433</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9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Gas Holdings, Inc. has a $100 million credit facility that is primarily used for short-term financing needs. Interest rates for this facility are calculated at either LIBOR or the “alternate base rate,” plus in each case an applicable margin that is determined based on the Company’s senior unsecured debt rating. Borrowings under the credit facility ranged from a low of $17 million during the first quarter of 2020 to a high of $67 million during the first quarter of 2020. There was $50 million and $17 million outstanding under this facility with a weighted average interest rate of 1.225% and 2.749% at December 31, 2020 and 2019, respectively.</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Similar to Southwest amending its credit facility agreement, on April 10, 2020, Southwest Gas Holdings, Inc. also amended its existing credit facility, extending the maturity date to April 2025. The revolving borrowing capacity under the amended agreement remained at $100 million, the same as before the amendment. Interest rate benchmarks (LIBOR or an alternative) as well as related ranges, including with regard to the applicable margin, largely mirror those included in Southwest’s amended facility agreement noted above, determined in this case based on Southwest Gas Holdings, Inc.’s senior unsecured long-term debt rating. At December 31, 2020, the applicable margin is 1.125% for loans bearing interest with reference to LIBOR and 0.125% for loans bearing interest with reference to the alternative base rate. Similar to the Southwest facility amendment, upon the occurrence of certain events providing for a transition away from LIBOR, or if LIBOR is no longer a widely recognized</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benchmark rate, Southwest Gas Holdings, Inc. may amend its credit facility agreement with a replacement rate, as set forth in the amended agreement. The commitment fee rates, terms, and covenants, noted above for Southwest are also applicable to Southwest Gas Holdings, Inc. in its amended credit facility, including the noted ratio of funded debt to total capitalization as of the end of any quarter of any fiscal year. The commitment fee under this credit facility was not significant for the year ended December 31, 2020.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Southwest Holdings, Inc. was in compliance with all of its credit facility covenants. Interest and fees on the credit facility are subject to adjustment depending on its bond ratings. The credit facility is subject to a leverage ratio cap. No specific dividend restrictions exist under the collective covenants. The credit facility does not contain a material adverse change clause.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indicated above, under Southwest’s $400 million credit facility, of which $250 million has been designated by management for working capital purposes. Southwest had $57 million and $194 million of short-term borrowings outstanding with weighted average interest rates of 1.10% and 2.61%, at December 31, 2020 and 2019,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the following share-based compensation plans existed at the Company: an omnibus incentive plan and a restricted stock/unit plan. All share grants in 2020, including time-lapse restricted stock units and performance shares, occurred under the omnibus incentive plan. The table below shows total share-based plan compensation expense which was recognized in the Consolidated Statements of Income: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plan expense, net of related tax benefits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Share-based compensation plan related tax benefits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1,467</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Omnibus Incentive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omnibus incentive plan is used to promote the long-term growth and profitability of the Company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 of Directors.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Performance-based incentive opportunities under the omnibus plan were granted to all officers of Southwest in the form of performance shares and are based, depending on the officer, on consolidated earnings per share, utility net income, and utility return on equity, with an adjustment based on relative total shareholder return, in each case, measured over a three-year performance period. Southwest recorded $2.8 million, $2.3 million, and $2.1 million of estimated compensation expense associated with these shares during 2020, 2019, and 2018,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Stock/Unit Plan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stock/units under the restricted stock/unit plan were granted to attract, motivate, retain, and reward key employees of the Company with an incentive to attain high levels of individual performance and improved financial performance. As noted above, grants of restricted stock during 2020 occurred under the omnibus incentive plan. The restricted stock/units vest 40% at the end of year one and 30% at the end of years two and three and are issued annually as common stock in accordance with the percentage vested. The restricted stock/unit plan was also established to attract, motivate, and retain experienced and knowledgeable independent directors. Vesting for grants of restricted stock/units to directors occurred immediately upon grant. The issuance of common stock for directors occurs when their service on the Board ends. No new grants are made under the legacy restricted stock/unit plan as all future incentive compensation, including restricted stock, is granted under programs of the omnibus incentive plan, which subject to advance election, provides that issuance to directors may occur upon grant. With regard to management, grants of time-lapse restricted stock under the omnibus plan vest based on the same percentages indicated above under the legacy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Management Incentive Plan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management incentive plan, awards were historically granted to encourage key employees of the Company to remain as employees and to achieve short-term and long-term performance goals. Plan participants were eligible to receive a cash bonus (i.e., short-term incentive) and a portion in shares (i.e., long-term incentive). The share grants vested three years after grant and were then issued as common stock. No new share grants are made under the management incentive plan as all future incentive share compensation is granted under the omnibus incentive plan. The remaining shares vesting under the management incentive plan were issued during the first quarter of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management incentive plan shares and restricted stock/units as of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Weighted-</w:t>
            </w: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Restricted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color w:val="auto"/>
                <w:w w:val="93"/>
              </w:rPr>
              <w:t>Weighted-</w:t>
            </w:r>
          </w:p>
        </w:tc>
        <w:tc>
          <w:tcPr>
            <w:tcW w:w="0" w:type="dxa"/>
            <w:vAlign w:val="bottom"/>
          </w:tcPr>
          <w:p>
            <w:pPr>
              <w:spacing w:after="0"/>
              <w:rPr>
                <w:sz w:val="1"/>
                <w:szCs w:val="1"/>
                <w:color w:val="auto"/>
              </w:rPr>
            </w:pPr>
          </w:p>
        </w:tc>
      </w:tr>
      <w:tr>
        <w:trPr>
          <w:trHeight w:val="162"/>
        </w:trPr>
        <w:tc>
          <w:tcPr>
            <w:tcW w:w="6140" w:type="dxa"/>
            <w:vAlign w:val="bottom"/>
            <w:vMerge w:val="restart"/>
          </w:tcPr>
          <w:p>
            <w:pPr>
              <w:ind w:left="20"/>
              <w:spacing w:after="0"/>
              <w:rPr>
                <w:sz w:val="20"/>
                <w:szCs w:val="20"/>
                <w:color w:val="auto"/>
              </w:rPr>
            </w:pPr>
            <w:r>
              <w:rPr>
                <w:rFonts w:ascii="Arial" w:cs="Arial" w:eastAsia="Arial" w:hAnsi="Arial"/>
                <w:sz w:val="18"/>
                <w:szCs w:val="18"/>
                <w:color w:val="auto"/>
              </w:rPr>
              <w:t>(thousands of shares)</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w w:val="93"/>
              </w:rPr>
              <w:t>Incentive</w:t>
            </w: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89"/>
              </w:rPr>
              <w:t>average grant date</w:t>
            </w:r>
          </w:p>
        </w:tc>
        <w:tc>
          <w:tcPr>
            <w:tcW w:w="980" w:type="dxa"/>
            <w:vAlign w:val="bottom"/>
          </w:tcPr>
          <w:p>
            <w:pPr>
              <w:jc w:val="center"/>
              <w:spacing w:after="0" w:line="162" w:lineRule="exact"/>
              <w:rPr>
                <w:sz w:val="20"/>
                <w:szCs w:val="20"/>
                <w:color w:val="auto"/>
              </w:rPr>
            </w:pPr>
            <w:r>
              <w:rPr>
                <w:rFonts w:ascii="Arial" w:cs="Arial" w:eastAsia="Arial" w:hAnsi="Arial"/>
                <w:sz w:val="16"/>
                <w:szCs w:val="16"/>
                <w:color w:val="auto"/>
                <w:w w:val="94"/>
              </w:rPr>
              <w:t>Stock/</w:t>
            </w:r>
          </w:p>
        </w:tc>
        <w:tc>
          <w:tcPr>
            <w:tcW w:w="100" w:type="dxa"/>
            <w:vAlign w:val="bottom"/>
          </w:tcPr>
          <w:p>
            <w:pPr>
              <w:spacing w:after="0"/>
              <w:rPr>
                <w:sz w:val="14"/>
                <w:szCs w:val="14"/>
                <w:color w:val="auto"/>
              </w:rPr>
            </w:pP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89"/>
              </w:rPr>
              <w:t>average grant date</w:t>
            </w:r>
          </w:p>
        </w:tc>
        <w:tc>
          <w:tcPr>
            <w:tcW w:w="0" w:type="dxa"/>
            <w:vAlign w:val="bottom"/>
          </w:tcPr>
          <w:p>
            <w:pPr>
              <w:spacing w:after="0"/>
              <w:rPr>
                <w:sz w:val="1"/>
                <w:szCs w:val="1"/>
                <w:color w:val="auto"/>
              </w:rPr>
            </w:pPr>
          </w:p>
        </w:tc>
      </w:tr>
      <w:tr>
        <w:trPr>
          <w:trHeight w:val="212"/>
        </w:trPr>
        <w:tc>
          <w:tcPr>
            <w:tcW w:w="614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Plan Shares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2"/>
              </w:rPr>
              <w:t>fair value</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Units (1)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fair value</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Nonvested/unissued at December 31, 2019</w:t>
            </w:r>
          </w:p>
        </w:tc>
        <w:tc>
          <w:tcPr>
            <w:tcW w:w="118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89"/>
              </w:rPr>
              <w:t>29</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180" w:type="dxa"/>
            <w:vAlign w:val="bottom"/>
          </w:tcPr>
          <w:p>
            <w:pPr>
              <w:jc w:val="center"/>
              <w:ind w:left="77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76.85</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w:t>
            </w:r>
          </w:p>
        </w:tc>
        <w:tc>
          <w:tcPr>
            <w:tcW w:w="118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180" w:type="dxa"/>
            <w:vAlign w:val="bottom"/>
          </w:tcPr>
          <w:p>
            <w:pPr>
              <w:jc w:val="center"/>
              <w:ind w:left="77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 (2)</w:t>
            </w:r>
          </w:p>
        </w:tc>
        <w:tc>
          <w:tcPr>
            <w:tcW w:w="118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w w:val="91"/>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w:t>
            </w:r>
          </w:p>
        </w:tc>
        <w:tc>
          <w:tcPr>
            <w:tcW w:w="0" w:type="dxa"/>
            <w:vAlign w:val="bottom"/>
          </w:tcPr>
          <w:p>
            <w:pPr>
              <w:spacing w:after="0"/>
              <w:rPr>
                <w:sz w:val="1"/>
                <w:szCs w:val="1"/>
                <w:color w:val="auto"/>
              </w:rPr>
            </w:pPr>
          </w:p>
        </w:tc>
      </w:tr>
      <w:tr>
        <w:trPr>
          <w:trHeight w:val="210"/>
        </w:trPr>
        <w:tc>
          <w:tcPr>
            <w:tcW w:w="6140" w:type="dxa"/>
            <w:vAlign w:val="bottom"/>
          </w:tcPr>
          <w:p>
            <w:pPr>
              <w:ind w:left="20"/>
              <w:spacing w:after="0"/>
              <w:rPr>
                <w:sz w:val="20"/>
                <w:szCs w:val="20"/>
                <w:color w:val="auto"/>
              </w:rPr>
            </w:pPr>
            <w:r>
              <w:rPr>
                <w:rFonts w:ascii="Arial" w:cs="Arial" w:eastAsia="Arial" w:hAnsi="Arial"/>
                <w:sz w:val="16"/>
                <w:szCs w:val="16"/>
                <w:color w:val="auto"/>
              </w:rPr>
              <w:t>Nonvested/unissued at December 31, 2020</w:t>
            </w:r>
          </w:p>
        </w:tc>
        <w:tc>
          <w:tcPr>
            <w:tcW w:w="118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62.23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right="20" w:hanging="10"/>
        <w:spacing w:after="0" w:line="255"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performance shares includes 77,400 granted and 35,500 vested and issued, which was derived by assuming that target performance will be achieved during the relevant performance period.</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all restricted stock/units granted in 2019 and 2018 was $81.75 and $69.16,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total compensation cost related to all nonvested restricted stock/units not yet recognized is $4.5 million, which is expected to be recognized over a weighted average period of 1.7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Southwest are defendants in miscellaneous legal proceedings. The Company and Southwest are also parties to various regulatory proceedings. The ultimate dispositions of these proceedings are not presently determinable; however, it is the opinion of management that no litigation or regulatory proceeding to which the Company and Southwest are currently subject will have a material adverse impact on their financial position, results of operations, or cash flows.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maintains liability insurance for various risks associated with the operation of its natural gas pipelines and facilities. In connection with these liability insurance policies, Southwest is responsible for an initial deductible or self-insured retention amount per incident, after which the insurance carriers would be responsible for amounts up to the policy limits. For the policy year August 2020 to July 2021, these liability insurance policies require Southwest to be responsible for the first $1 million (self-insured retention) of each incident plus the first $4 million in aggregate claims above its self-insured retention in the policy year.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May 2020 to April 2021, Centuri is responsible for the first $750,000 (self-insured retention) per occurrence under these liability insurance policies.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 an assessment process, the Company and Southwest may determine that certain costs are likely to be incurred in the future related to specific legal matters. In these circumstances and in accordance with accounting policies, the Company and Southwest will make an accrual, as necessary.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Investment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Employees’ Investment Plan (“EIP”) is offered to eligible employees of Southwest through deduction of a percentage of base compensation, subject to IRS limitations. The EIP provides for purchases of various mutual fund investments and Company common stock. One-half of amounts deferred by employees are matched, up to a maximum matching contribution of 3.5% of an employee’s annual compensation. There are no employer matching contributions for officer deferrals into the EIP.</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4" w:name="page95"/>
    <w:bookmarkEnd w:id="94"/>
    <w:p>
      <w:pPr>
        <w:ind w:right="2000"/>
        <w:spacing w:after="0" w:line="375" w:lineRule="auto"/>
        <w:rPr>
          <w:sz w:val="20"/>
          <w:szCs w:val="20"/>
          <w:color w:val="auto"/>
        </w:rPr>
      </w:pPr>
      <w:r>
        <w:rPr>
          <w:rFonts w:ascii="Arial" w:cs="Arial" w:eastAsia="Arial" w:hAnsi="Arial"/>
          <w:sz w:val="18"/>
          <w:szCs w:val="18"/>
          <w:color w:val="auto"/>
        </w:rPr>
        <w:t xml:space="preserve">Contributions to the plan by Southwest were $5.9 million, $5.7 million, and $5.5 million for 2020, 2019, and 2018, respectively. </w:t>
      </w:r>
      <w:r>
        <w:rPr>
          <w:rFonts w:ascii="Arial" w:cs="Arial" w:eastAsia="Arial" w:hAnsi="Arial"/>
          <w:sz w:val="18"/>
          <w:szCs w:val="18"/>
          <w:i w:val="1"/>
          <w:iCs w:val="1"/>
          <w:color w:val="auto"/>
        </w:rPr>
        <w:t>Deferred Compensation Plan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is offered to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noncontributory qualified retirement plan with defined benefits covering substantially all Southwest employees is available, in addition to a separate unfunded supplemental executive retirement plan (“SERP”), which is limited to Southwest’s officers. Postretirement benefits other than pensions (“PBOP”) are provided to qualified retirees for health care, dental, and life insurance benefits.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qualified retirement plan invests the majority of its plan assets in common collective trusts, which include a well-diversified portfolio of domestic and international equity securities and fixed income securities, and which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an historically low interest rate environment, there was a 75 basis points decrease in the discount rate between years, as reflected below. This decrease in the discount rate was the most significant contributor to the actuarial loss for the qualified retirement plan, SERP, and PBOP benefit obligations as of December 31, 2020. The methodology utilized to determine the discount rate was consistent with prior years. The weighted-average rate of compensation increase was lowered from the prior year by 25 basis points. The asset return assumption (which impacts the following year’s expense) was also lowered by 25 basis points. The rates are presented in the table below:</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Weighted-average rate of compensation increase</w:t>
            </w: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3.25 %</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 assumption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Future years’ expense level movements (up or down) will continue to be greatly influenced by long-term interest rates, asset returns, and funding levels.</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Year Ended December 31,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2"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color w:val="auto"/>
              </w:rPr>
              <w:t>PBOP</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2"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color w:val="auto"/>
              </w:rPr>
              <w:t>PBOP</w:t>
            </w: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benefit obligations:</w:t>
            </w: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140"/>
              <w:spacing w:after="0" w:line="135" w:lineRule="exact"/>
              <w:rPr>
                <w:sz w:val="20"/>
                <w:szCs w:val="20"/>
                <w:color w:val="auto"/>
              </w:rPr>
            </w:pPr>
            <w:r>
              <w:rPr>
                <w:rFonts w:ascii="Arial" w:cs="Arial" w:eastAsia="Arial" w:hAnsi="Arial"/>
                <w:sz w:val="14"/>
                <w:szCs w:val="14"/>
                <w:color w:val="auto"/>
              </w:rPr>
              <w:t>Benefit obligation for service rendered to date at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1,329,577</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47,397</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76,111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1,116,014</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40,603</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69,956</w:t>
            </w:r>
          </w:p>
        </w:tc>
        <w:tc>
          <w:tcPr>
            <w:tcW w:w="0" w:type="dxa"/>
            <w:vAlign w:val="bottom"/>
          </w:tcPr>
          <w:p>
            <w:pPr>
              <w:spacing w:after="0"/>
              <w:rPr>
                <w:sz w:val="1"/>
                <w:szCs w:val="1"/>
                <w:color w:val="auto"/>
              </w:rPr>
            </w:pPr>
          </w:p>
        </w:tc>
      </w:tr>
      <w:tr>
        <w:trPr>
          <w:trHeight w:val="186"/>
        </w:trPr>
        <w:tc>
          <w:tcPr>
            <w:tcW w:w="3540" w:type="dxa"/>
            <w:vAlign w:val="bottom"/>
          </w:tcPr>
          <w:p>
            <w:pPr>
              <w:ind w:left="300"/>
              <w:spacing w:after="0"/>
              <w:rPr>
                <w:sz w:val="20"/>
                <w:szCs w:val="20"/>
                <w:color w:val="auto"/>
              </w:rPr>
            </w:pPr>
            <w:r>
              <w:rPr>
                <w:rFonts w:ascii="Arial" w:cs="Arial" w:eastAsia="Arial" w:hAnsi="Arial"/>
                <w:sz w:val="14"/>
                <w:szCs w:val="14"/>
                <w:color w:val="auto"/>
              </w:rPr>
              <w:t>beginning of year (PBO/PBO/APBO)</w:t>
            </w:r>
          </w:p>
        </w:tc>
        <w:tc>
          <w:tcPr>
            <w:tcW w:w="1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34,299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25,864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45,555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49,006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 amendments</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Actuarial loss (gain)</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145,440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7,240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192,416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7,974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(55,632)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(4,616)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(53,723)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 obligation at end of year (PBO/PBO/APBO)</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1,499,239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53,631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82,205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1,329,577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47,397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76,111</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plan 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Market value of plan assets at beginning of year</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974,993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52,838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790,614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47,341</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Actual return on plan assets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165,072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186,102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9,757</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Employer contributions</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(55,632)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(53,723)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(4,260)</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Market value of plan assets at end of year</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1,186,433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52,286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974,993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52,838</w:t>
            </w: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Funded status at year end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(312,806)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(53,631)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(29,919)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(354,584)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(47,397)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assumptions (benefit obligation):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Discount rate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Weighted-average rate of compensation increase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Estimated funding for the plans above during calendar year 2021 is approximately $105 million, of which $102 million pertains to the retirement plan, and which includes a supplemental discretionary contribution of $50 million in January 2021, similar to the supplemental discretionary contribution made in January 2020. Management monitors plan assets and liabilities and may, at its discretion, increase plan funding levels above the minimum in order to achieve a desired funded status and avoid or minimize potential benefit restrictions. As a result of the impact of the historically low discount rates at December 31, 2020 and December 31, 2019, Southwest made the discretionary supplemental contributions, which are intended to mitigate the impacts on the funded status and the increase in pension costs in both years, through the ability to provide returns on the increased level of plan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r>
      <w:tr>
        <w:trPr>
          <w:trHeight w:val="22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5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plan</w:t>
            </w:r>
          </w:p>
        </w:tc>
        <w:tc>
          <w:tcPr>
            <w:tcW w:w="5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1,219,989</w:t>
            </w:r>
          </w:p>
        </w:tc>
        <w:tc>
          <w:tcPr>
            <w:tcW w:w="2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SERP</w:t>
            </w: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46,067</w:t>
            </w:r>
          </w:p>
        </w:tc>
        <w:tc>
          <w:tcPr>
            <w:tcW w:w="20" w:type="dxa"/>
            <w:vAlign w:val="bottom"/>
          </w:tcPr>
          <w:p>
            <w:pPr>
              <w:spacing w:after="0"/>
              <w:rPr>
                <w:sz w:val="20"/>
                <w:szCs w:val="20"/>
                <w:color w:val="auto"/>
              </w:rPr>
            </w:pPr>
          </w:p>
        </w:tc>
      </w:tr>
      <w:tr>
        <w:trPr>
          <w:trHeight w:val="890"/>
        </w:trPr>
        <w:tc>
          <w:tcPr>
            <w:tcW w:w="3580" w:type="dxa"/>
            <w:vAlign w:val="bottom"/>
          </w:tcPr>
          <w:p>
            <w:pPr>
              <w:spacing w:after="0"/>
              <w:rPr>
                <w:sz w:val="24"/>
                <w:szCs w:val="24"/>
                <w:color w:val="auto"/>
              </w:rPr>
            </w:pPr>
          </w:p>
        </w:tc>
        <w:tc>
          <w:tcPr>
            <w:tcW w:w="5120" w:type="dxa"/>
            <w:vAlign w:val="bottom"/>
          </w:tcPr>
          <w:p>
            <w:pPr>
              <w:jc w:val="right"/>
              <w:ind w:right="291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580" w:type="dxa"/>
            <w:vAlign w:val="bottom"/>
            <w:tcBorders>
              <w:bottom w:val="single" w:sz="8" w:color="9A9A9A"/>
            </w:tcBorders>
          </w:tcPr>
          <w:p>
            <w:pPr>
              <w:spacing w:after="0"/>
              <w:rPr>
                <w:sz w:val="18"/>
                <w:szCs w:val="18"/>
                <w:color w:val="auto"/>
              </w:rPr>
            </w:pPr>
          </w:p>
        </w:tc>
        <w:tc>
          <w:tcPr>
            <w:tcW w:w="5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Benefits expected to be paid for pension, SERP, and PBOP over the next 10 years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(Millions of dollars)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2026-2030</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SERP</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PBOP</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PBOP measurement purposes, the per capita cost of the covered health care benefits medical rate trend assumption is 6.0%, declining to 4.5%. Specific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non-service cost components of net periodic benefit cost are reflected in Other income (deductions) on the Consolidated Statements of Income of each entity, based on accounting guidance for the presentation of such costs.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gridSpan w:val="8"/>
          </w:tcPr>
          <w:p>
            <w:pPr>
              <w:ind w:left="480"/>
              <w:spacing w:after="0"/>
              <w:rPr>
                <w:sz w:val="20"/>
                <w:szCs w:val="20"/>
                <w:color w:val="auto"/>
              </w:rPr>
            </w:pPr>
            <w:r>
              <w:rPr>
                <w:rFonts w:ascii="Arial" w:cs="Arial" w:eastAsia="Arial" w:hAnsi="Arial"/>
                <w:sz w:val="16"/>
                <w:szCs w:val="16"/>
                <w:color w:val="auto"/>
              </w:rPr>
              <w:t>Qualified Retirement Plan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SERP</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PBOP</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color w:val="auto"/>
                <w:w w:val="95"/>
              </w:rPr>
              <w:t>2019</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45,555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49,006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44,174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7"/>
              </w:rPr>
              <w:t>(65,296)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7"/>
              </w:rPr>
              <w:t>(60,244)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166"/>
        </w:trPr>
        <w:tc>
          <w:tcPr>
            <w:tcW w:w="2460" w:type="dxa"/>
            <w:vAlign w:val="bottom"/>
          </w:tcPr>
          <w:p>
            <w:pPr>
              <w:ind w:left="140"/>
              <w:spacing w:after="0" w:line="166" w:lineRule="exact"/>
              <w:rPr>
                <w:sz w:val="20"/>
                <w:szCs w:val="20"/>
                <w:color w:val="auto"/>
              </w:rPr>
            </w:pPr>
            <w:r>
              <w:rPr>
                <w:rFonts w:ascii="Arial" w:cs="Arial" w:eastAsia="Arial" w:hAnsi="Arial"/>
                <w:sz w:val="16"/>
                <w:szCs w:val="16"/>
                <w:color w:val="auto"/>
              </w:rPr>
              <w:t>Amortization of prior service</w:t>
            </w:r>
          </w:p>
        </w:tc>
        <w:tc>
          <w:tcPr>
            <w:tcW w:w="160" w:type="dxa"/>
            <w:vAlign w:val="bottom"/>
          </w:tcPr>
          <w:p>
            <w:pPr>
              <w:spacing w:after="0"/>
              <w:rPr>
                <w:sz w:val="14"/>
                <w:szCs w:val="1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9"/>
        </w:trPr>
        <w:tc>
          <w:tcPr>
            <w:tcW w:w="2460" w:type="dxa"/>
            <w:vAlign w:val="bottom"/>
          </w:tcPr>
          <w:p>
            <w:pPr>
              <w:ind w:left="30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Amortization of net actuarial loss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60" w:type="dxa"/>
            <w:vAlign w:val="bottom"/>
          </w:tcPr>
          <w:p>
            <w:pPr>
              <w:ind w:left="140"/>
              <w:spacing w:after="0"/>
              <w:rPr>
                <w:sz w:val="20"/>
                <w:szCs w:val="20"/>
                <w:color w:val="auto"/>
              </w:rPr>
            </w:pPr>
            <w:r>
              <w:rPr>
                <w:rFonts w:ascii="Arial" w:cs="Arial" w:eastAsia="Arial" w:hAnsi="Arial"/>
                <w:sz w:val="16"/>
                <w:szCs w:val="16"/>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50,583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36,982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46,089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3,798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3,405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6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assumptions (net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cost)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Discount rate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166"/>
        </w:trPr>
        <w:tc>
          <w:tcPr>
            <w:tcW w:w="2460" w:type="dxa"/>
            <w:vAlign w:val="bottom"/>
          </w:tcPr>
          <w:p>
            <w:pPr>
              <w:ind w:left="140"/>
              <w:spacing w:after="0" w:line="166" w:lineRule="exact"/>
              <w:rPr>
                <w:sz w:val="20"/>
                <w:szCs w:val="20"/>
                <w:color w:val="auto"/>
              </w:rPr>
            </w:pPr>
            <w:r>
              <w:rPr>
                <w:rFonts w:ascii="Arial" w:cs="Arial" w:eastAsia="Arial" w:hAnsi="Arial"/>
                <w:sz w:val="16"/>
                <w:szCs w:val="16"/>
                <w:color w:val="auto"/>
              </w:rPr>
              <w:t>Weighted-average rate of</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4"/>
                <w:szCs w:val="14"/>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460" w:type="dxa"/>
            <w:vAlign w:val="bottom"/>
          </w:tcPr>
          <w:p>
            <w:pPr>
              <w:ind w:left="300"/>
              <w:spacing w:after="0"/>
              <w:rPr>
                <w:sz w:val="20"/>
                <w:szCs w:val="20"/>
                <w:color w:val="auto"/>
              </w:rPr>
            </w:pPr>
            <w:r>
              <w:rPr>
                <w:rFonts w:ascii="Arial" w:cs="Arial" w:eastAsia="Arial" w:hAnsi="Arial"/>
                <w:sz w:val="16"/>
                <w:szCs w:val="16"/>
                <w:color w:val="auto"/>
              </w:rPr>
              <w:t>compensation increase</w:t>
            </w: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7" w:name="page98"/>
    <w:bookmarkEnd w:id="97"/>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Net Periodic Benefit Cost and Other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color w:val="auto"/>
              </w:rPr>
              <w:t>Year Ended December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color w:val="auto"/>
                <w:w w:val="89"/>
              </w:rPr>
              <w:t>2019</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2018</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3"/>
              </w:rPr>
              <w:t>Qualified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Qualified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3"/>
              </w:rPr>
              <w:t>Qualified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(Thousands of dollars)</w:t>
            </w:r>
          </w:p>
        </w:tc>
        <w:tc>
          <w:tcPr>
            <w:tcW w:w="1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Retirement</w:t>
            </w:r>
          </w:p>
        </w:tc>
        <w:tc>
          <w:tcPr>
            <w:tcW w:w="12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color w:val="auto"/>
              </w:rPr>
              <w:t>PBOP</w:t>
            </w:r>
          </w:p>
        </w:tc>
        <w:tc>
          <w:tcPr>
            <w:tcW w:w="1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0"/>
                <w:szCs w:val="10"/>
                <w:color w:val="auto"/>
              </w:rPr>
            </w:pPr>
          </w:p>
        </w:tc>
        <w:tc>
          <w:tcPr>
            <w:tcW w:w="82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Retirement</w:t>
            </w:r>
          </w:p>
        </w:tc>
        <w:tc>
          <w:tcPr>
            <w:tcW w:w="14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auto"/>
              </w:rPr>
              <w:t>PBOP</w:t>
            </w:r>
          </w:p>
        </w:tc>
        <w:tc>
          <w:tcPr>
            <w:tcW w:w="1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Retirement</w:t>
            </w:r>
          </w:p>
        </w:tc>
        <w:tc>
          <w:tcPr>
            <w:tcW w:w="12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0"/>
                <w:szCs w:val="10"/>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3"/>
                <w:szCs w:val="13"/>
                <w:color w:val="auto"/>
                <w:w w:val="93"/>
              </w:rPr>
              <w:t>PBOP</w:t>
            </w:r>
          </w:p>
        </w:tc>
        <w:tc>
          <w:tcPr>
            <w:tcW w:w="0" w:type="dxa"/>
            <w:vAlign w:val="bottom"/>
          </w:tcPr>
          <w:p>
            <w:pPr>
              <w:spacing w:after="0"/>
              <w:rPr>
                <w:sz w:val="1"/>
                <w:szCs w:val="1"/>
                <w:color w:val="auto"/>
              </w:rPr>
            </w:pPr>
          </w:p>
        </w:tc>
      </w:tr>
      <w:tr>
        <w:trPr>
          <w:trHeight w:val="169"/>
        </w:trPr>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Plan</w:t>
            </w: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color w:val="auto"/>
              </w:rPr>
              <w:t>Plan</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Plan</w:t>
            </w: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rPr>
              <w:t>Net actuarial loss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57,539</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45,665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7,240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71,087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66,557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7,975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20,426</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23,607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(a)</w:t>
            </w: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line="135" w:lineRule="exact"/>
              <w:rPr>
                <w:sz w:val="20"/>
                <w:szCs w:val="20"/>
                <w:color w:val="auto"/>
              </w:rPr>
            </w:pPr>
            <w:r>
              <w:rPr>
                <w:rFonts w:ascii="Arial" w:cs="Arial" w:eastAsia="Arial" w:hAnsi="Arial"/>
                <w:sz w:val="14"/>
                <w:szCs w:val="14"/>
                <w:color w:val="auto"/>
              </w:rPr>
              <w:t>Amortization of prior</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86"/>
        </w:trPr>
        <w:tc>
          <w:tcPr>
            <w:tcW w:w="1600" w:type="dxa"/>
            <w:vAlign w:val="bottom"/>
          </w:tcPr>
          <w:p>
            <w:pPr>
              <w:ind w:left="100"/>
              <w:spacing w:after="0"/>
              <w:rPr>
                <w:sz w:val="20"/>
                <w:szCs w:val="20"/>
                <w:color w:val="auto"/>
              </w:rPr>
            </w:pPr>
            <w:r>
              <w:rPr>
                <w:rFonts w:ascii="Arial" w:cs="Arial" w:eastAsia="Arial" w:hAnsi="Arial"/>
                <w:sz w:val="14"/>
                <w:szCs w:val="14"/>
                <w:color w:val="auto"/>
              </w:rPr>
              <w:t>service cost (b)</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Amortization of net</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(37,830)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(23,376)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5"/>
              </w:rPr>
              <w:t>(22,356)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(33,617)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actuarial loss (b)</w:t>
            </w: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(36,944)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(39,782)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15"/>
        </w:trPr>
        <w:tc>
          <w:tcPr>
            <w:tcW w:w="1600" w:type="dxa"/>
            <w:vAlign w:val="bottom"/>
          </w:tcPr>
          <w:p>
            <w:pPr>
              <w:ind w:left="20"/>
              <w:spacing w:after="0" w:line="115" w:lineRule="exact"/>
              <w:rPr>
                <w:sz w:val="20"/>
                <w:szCs w:val="20"/>
                <w:color w:val="auto"/>
              </w:rPr>
            </w:pPr>
            <w:r>
              <w:rPr>
                <w:rFonts w:ascii="Arial" w:cs="Arial" w:eastAsia="Arial" w:hAnsi="Arial"/>
                <w:sz w:val="13"/>
                <w:szCs w:val="13"/>
                <w:color w:val="auto"/>
              </w:rPr>
              <w:t>Recognized in other</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00"/>
              <w:spacing w:after="0" w:line="135"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11,119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5,435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11,374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6,955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(6,293)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(5,442)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00" w:type="dxa"/>
            <w:vAlign w:val="bottom"/>
          </w:tcPr>
          <w:p>
            <w:pPr>
              <w:ind w:left="10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periodic benefit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costs recognized in net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56,291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50,583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36,982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600" w:type="dxa"/>
            <w:vAlign w:val="bottom"/>
          </w:tcPr>
          <w:p>
            <w:pPr>
              <w:ind w:left="20"/>
              <w:spacing w:after="0" w:line="115" w:lineRule="exact"/>
              <w:rPr>
                <w:sz w:val="20"/>
                <w:szCs w:val="20"/>
                <w:color w:val="auto"/>
              </w:rPr>
            </w:pPr>
            <w:r>
              <w:rPr>
                <w:rFonts w:ascii="Arial" w:cs="Arial" w:eastAsia="Arial" w:hAnsi="Arial"/>
                <w:sz w:val="13"/>
                <w:szCs w:val="13"/>
                <w:color w:val="auto"/>
              </w:rPr>
              <w:t>Total of amount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00"/>
              <w:spacing w:after="0" w:line="135" w:lineRule="exact"/>
              <w:rPr>
                <w:sz w:val="20"/>
                <w:szCs w:val="20"/>
                <w:color w:val="auto"/>
              </w:rPr>
            </w:pPr>
            <w:r>
              <w:rPr>
                <w:rFonts w:ascii="Arial" w:cs="Arial" w:eastAsia="Arial" w:hAnsi="Arial"/>
                <w:sz w:val="14"/>
                <w:szCs w:val="14"/>
                <w:color w:val="auto"/>
              </w:rPr>
              <w:t>recognized in net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00"/>
              <w:spacing w:after="0" w:line="135" w:lineRule="exact"/>
              <w:rPr>
                <w:sz w:val="20"/>
                <w:szCs w:val="20"/>
                <w:color w:val="auto"/>
              </w:rPr>
            </w:pPr>
            <w:r>
              <w:rPr>
                <w:rFonts w:ascii="Arial" w:cs="Arial" w:eastAsia="Arial" w:hAnsi="Arial"/>
                <w:sz w:val="14"/>
                <w:szCs w:val="14"/>
                <w:color w:val="auto"/>
              </w:rPr>
              <w:t>periodic benefit cost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00"/>
              <w:spacing w:after="0" w:line="135" w:lineRule="exact"/>
              <w:rPr>
                <w:sz w:val="20"/>
                <w:szCs w:val="20"/>
                <w:color w:val="auto"/>
              </w:rPr>
            </w:pPr>
            <w:r>
              <w:rPr>
                <w:rFonts w:ascii="Arial" w:cs="Arial" w:eastAsia="Arial" w:hAnsi="Arial"/>
                <w:sz w:val="14"/>
                <w:szCs w:val="14"/>
                <w:color w:val="auto"/>
              </w:rPr>
              <w:t>and other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00"/>
              <w:spacing w:after="0" w:line="135" w:lineRule="exact"/>
              <w:rPr>
                <w:sz w:val="20"/>
                <w:szCs w:val="20"/>
                <w:color w:val="auto"/>
              </w:rPr>
            </w:pPr>
            <w:r>
              <w:rPr>
                <w:rFonts w:ascii="Arial" w:cs="Arial" w:eastAsia="Arial" w:hAnsi="Arial"/>
                <w:sz w:val="14"/>
                <w:szCs w:val="14"/>
                <w:color w:val="auto"/>
              </w:rPr>
              <w:t>comprehensive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67,410</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56,267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9,233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53,839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41,401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7"/>
              </w:rPr>
              <w:t>10,001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45,039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45,238</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(2,037)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67"/>
        </w:trPr>
        <w:tc>
          <w:tcPr>
            <w:tcW w:w="1600" w:type="dxa"/>
            <w:vAlign w:val="bottom"/>
          </w:tcPr>
          <w:p>
            <w:pPr>
              <w:ind w:left="100"/>
              <w:spacing w:after="0"/>
              <w:rPr>
                <w:sz w:val="20"/>
                <w:szCs w:val="20"/>
                <w:color w:val="auto"/>
              </w:rPr>
            </w:pPr>
            <w:r>
              <w:rPr>
                <w:rFonts w:ascii="Arial" w:cs="Arial" w:eastAsia="Arial" w:hAnsi="Arial"/>
                <w:sz w:val="14"/>
                <w:szCs w:val="14"/>
                <w:color w:val="auto"/>
              </w:rPr>
              <w:t>(income) loss</w:t>
            </w: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180"/>
        <w:spacing w:after="0" w:line="286" w:lineRule="auto"/>
        <w:rPr>
          <w:sz w:val="20"/>
          <w:szCs w:val="20"/>
          <w:color w:val="auto"/>
        </w:rPr>
      </w:pPr>
      <w:r>
        <w:rPr>
          <w:rFonts w:ascii="Arial" w:cs="Arial" w:eastAsia="Arial" w:hAnsi="Arial"/>
          <w:sz w:val="15"/>
          <w:szCs w:val="15"/>
          <w:color w:val="auto"/>
        </w:rPr>
        <w:t xml:space="preserve">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 See also </w:t>
      </w:r>
      <w:r>
        <w:rPr>
          <w:rFonts w:ascii="Arial" w:cs="Arial" w:eastAsia="Arial" w:hAnsi="Arial"/>
          <w:sz w:val="15"/>
          <w:szCs w:val="15"/>
          <w:b w:val="1"/>
          <w:bCs w:val="1"/>
          <w:color w:val="auto"/>
        </w:rPr>
        <w:t>Note 6 - Other Comprehensive Income and Accumulated Other Comprehensive Income ("AOCI")</w:t>
      </w:r>
      <w:r>
        <w:rPr>
          <w:rFonts w:ascii="Arial" w:cs="Arial" w:eastAsia="Arial" w:hAnsi="Arial"/>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the fair values of the assets of the qualified pension plan and the PBOP as of December 31, 2020 and 2019. The SERP has no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color w:val="auto"/>
              </w:rPr>
              <w:t>December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8"/>
              </w:rPr>
              <w:t>Qualified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8"/>
              </w:rPr>
              <w:t>Qualified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(Thousands of dollars)</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1"/>
              </w:rPr>
              <w:t>Retirement</w:t>
            </w:r>
          </w:p>
        </w:tc>
        <w:tc>
          <w:tcPr>
            <w:tcW w:w="18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PBOP</w:t>
            </w:r>
          </w:p>
        </w:tc>
        <w:tc>
          <w:tcPr>
            <w:tcW w:w="20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1"/>
              </w:rPr>
              <w:t>Retirement</w:t>
            </w:r>
          </w:p>
        </w:tc>
        <w:tc>
          <w:tcPr>
            <w:tcW w:w="18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PBOP</w:t>
            </w:r>
          </w:p>
        </w:tc>
        <w:tc>
          <w:tcPr>
            <w:tcW w:w="180" w:type="dxa"/>
            <w:vAlign w:val="bottom"/>
          </w:tcPr>
          <w:p>
            <w:pPr>
              <w:spacing w:after="0"/>
              <w:rPr>
                <w:sz w:val="14"/>
                <w:szCs w:val="14"/>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Plan</w:t>
            </w: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Plan</w:t>
            </w: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at fair value:</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w w:val="96"/>
              </w:rPr>
              <w:t>Level 1 – Quoted prices in active markets for identical financial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29,188</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Arial" w:cs="Arial" w:eastAsia="Arial" w:hAnsi="Arial"/>
                <w:sz w:val="16"/>
                <w:szCs w:val="16"/>
                <w:color w:val="auto"/>
              </w:rPr>
              <w:t>Total Level 1 Assets (1)</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29,188</w:t>
            </w: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2 – Significant other observable inputs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Private commingled equity funds (2)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273,246</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117,086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119,866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equity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189,028</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Emerging markets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64,437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Private commingled fixed income funds (3)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343,097</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Pooled funds and mutual funds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6,048</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Government fixed income and mortgage 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Level 2 assets (4)</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1,183,848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972,257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995,907</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Plan assets at fair value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1,025,095</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Insurance company general account contracts (5)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Plan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1,027,831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180" w:hanging="10"/>
        <w:spacing w:after="0" w:line="252" w:lineRule="auto"/>
        <w:tabs>
          <w:tab w:leader="none" w:pos="6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Mutual funds category above is a balanced fund that invests in a diversified portfolio of common stocks, preferred stocks, and fixed-income securities. Under normal circumstances the balanced fund will hold no more than 75%, and no less than 25%, of its total assets in equity securities. The fund seeks regular income, conservation of principal, and an opportunity for long-term growth of principal and income.</w:t>
      </w:r>
    </w:p>
    <w:p>
      <w:pPr>
        <w:spacing w:after="0" w:line="1" w:lineRule="exact"/>
        <w:rPr>
          <w:rFonts w:ascii="Arial" w:cs="Arial" w:eastAsia="Arial" w:hAnsi="Arial"/>
          <w:sz w:val="16"/>
          <w:szCs w:val="16"/>
          <w:color w:val="auto"/>
        </w:rPr>
      </w:pPr>
    </w:p>
    <w:p>
      <w:pPr>
        <w:jc w:val="both"/>
        <w:ind w:left="180" w:right="20" w:hanging="10"/>
        <w:spacing w:after="0" w:line="246" w:lineRule="auto"/>
        <w:tabs>
          <w:tab w:leader="none" w:pos="6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private commingled equity funds include common collective trusts that invest in a diversified portfolio of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spacing w:after="0" w:line="1" w:lineRule="exact"/>
        <w:rPr>
          <w:rFonts w:ascii="Arial" w:cs="Arial" w:eastAsia="Arial" w:hAnsi="Arial"/>
          <w:sz w:val="16"/>
          <w:szCs w:val="16"/>
          <w:color w:val="auto"/>
        </w:rPr>
      </w:pPr>
    </w:p>
    <w:p>
      <w:pPr>
        <w:ind w:left="1300" w:hanging="482"/>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Global equities, including domestic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International developed countries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Domestic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Emerging markets equities</w:t>
      </w:r>
    </w:p>
    <w:p>
      <w:pPr>
        <w:spacing w:after="0" w:line="5" w:lineRule="exact"/>
        <w:rPr>
          <w:sz w:val="20"/>
          <w:szCs w:val="20"/>
          <w:color w:val="auto"/>
        </w:rPr>
      </w:pPr>
    </w:p>
    <w:p>
      <w:pPr>
        <w:jc w:val="both"/>
        <w:ind w:left="180"/>
        <w:spacing w:after="0" w:line="250" w:lineRule="auto"/>
        <w:rPr>
          <w:sz w:val="20"/>
          <w:szCs w:val="20"/>
          <w:color w:val="auto"/>
        </w:rPr>
      </w:pPr>
      <w:r>
        <w:rPr>
          <w:rFonts w:ascii="Arial" w:cs="Arial" w:eastAsia="Arial" w:hAnsi="Arial"/>
          <w:sz w:val="16"/>
          <w:szCs w:val="16"/>
          <w:color w:val="auto"/>
        </w:rPr>
        <w:t>Shares in the private commingled equity funds may be redeemed given one business day notice. While they are private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29" w:lineRule="exact"/>
        <w:rPr>
          <w:sz w:val="20"/>
          <w:szCs w:val="20"/>
          <w:color w:val="auto"/>
        </w:rPr>
      </w:pPr>
    </w:p>
    <w:p>
      <w:pPr>
        <w:jc w:val="both"/>
        <w:ind w:left="180" w:right="20"/>
        <w:spacing w:after="0" w:line="300" w:lineRule="auto"/>
        <w:rPr>
          <w:sz w:val="20"/>
          <w:szCs w:val="20"/>
          <w:color w:val="auto"/>
        </w:rPr>
      </w:pPr>
      <w:r>
        <w:rPr>
          <w:rFonts w:ascii="Arial" w:cs="Arial" w:eastAsia="Arial" w:hAnsi="Arial"/>
          <w:sz w:val="15"/>
          <w:szCs w:val="15"/>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80"/>
        <w:spacing w:after="0" w:line="300" w:lineRule="auto"/>
        <w:rPr>
          <w:sz w:val="20"/>
          <w:szCs w:val="20"/>
          <w:color w:val="auto"/>
        </w:rPr>
      </w:pPr>
      <w:r>
        <w:rPr>
          <w:rFonts w:ascii="Arial" w:cs="Arial" w:eastAsia="Arial" w:hAnsi="Arial"/>
          <w:sz w:val="15"/>
          <w:szCs w:val="15"/>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 w:lineRule="exact"/>
        <w:rPr>
          <w:sz w:val="20"/>
          <w:szCs w:val="20"/>
          <w:color w:val="auto"/>
        </w:rPr>
      </w:pPr>
    </w:p>
    <w:p>
      <w:pPr>
        <w:jc w:val="both"/>
        <w:ind w:left="180"/>
        <w:spacing w:after="0" w:line="256" w:lineRule="auto"/>
        <w:rPr>
          <w:sz w:val="20"/>
          <w:szCs w:val="20"/>
          <w:color w:val="auto"/>
        </w:rPr>
      </w:pPr>
      <w:r>
        <w:rPr>
          <w:rFonts w:ascii="Arial" w:cs="Arial" w:eastAsia="Arial" w:hAnsi="Arial"/>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25"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auto"/>
        </w:rPr>
        <w:t>The emerging markets fund was developed to invest in emerging market equities worldwide. The purposes of the fund’s operations, “emerging market countries,” include every country in the world except the developed markets of the U.S., Canada, Japan, Australia, New Zealand, Hong Kong, and Singapore, and most countries located in Western Europe. Fund investments are made directly in each country or, where direct investment is inefficient or prohibited, through appropriate financial instruments or participation in commingled funds.</w:t>
      </w:r>
    </w:p>
    <w:p>
      <w:pPr>
        <w:ind w:left="180" w:hanging="10"/>
        <w:spacing w:after="0" w:line="257" w:lineRule="auto"/>
        <w:tabs>
          <w:tab w:leader="none" w:pos="6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private commingled fixed income funds consist primarily of fixed income debt securities issued by the U.S. Treasury, government agencies, and fixed income debt securities issued by corporations. The fixed income fund investments may include the use of</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9" w:name="page100"/>
    <w:bookmarkEnd w:id="99"/>
    <w:p>
      <w:pPr>
        <w:jc w:val="both"/>
        <w:ind w:left="180"/>
        <w:spacing w:after="0" w:line="300" w:lineRule="auto"/>
        <w:rPr>
          <w:sz w:val="20"/>
          <w:szCs w:val="20"/>
          <w:color w:val="auto"/>
        </w:rPr>
      </w:pPr>
      <w:r>
        <w:rPr>
          <w:rFonts w:ascii="Arial" w:cs="Arial" w:eastAsia="Arial" w:hAnsi="Arial"/>
          <w:sz w:val="15"/>
          <w:szCs w:val="15"/>
          <w:color w:val="auto"/>
        </w:rPr>
        <w:t>high yield, international fixed income securities and other instruments, including derivatives, to ensure prudent diversification over a broad spectrum of investments. The changes in the value of the fixed income funds are intended to offset the changes in the pension plan liabilities due to changes in the discount rate.</w:t>
      </w:r>
    </w:p>
    <w:p>
      <w:pPr>
        <w:spacing w:after="0" w:line="1"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auto"/>
        </w:rPr>
        <w:t>These funds are shown in the above table at NAV. Investments in the private commingled fixed equity funds may be redeemed given one business day notice. While they are private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ind w:left="180" w:hanging="10"/>
        <w:spacing w:after="0" w:line="246"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the exception of items (2) and (3), which are discussed above, the Level 2 assets consist mainly of pooled funds and mutual funds. These funds are collective short-term funds that invest in Treasury bills and money market funds and are used as a temporary cash repository.</w:t>
      </w:r>
    </w:p>
    <w:p>
      <w:pPr>
        <w:ind w:left="180" w:right="20" w:hanging="10"/>
        <w:spacing w:after="0" w:line="257"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Centuri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offers defined contribution plans under Section 401(k) of the Internal Revenue Code to its eligible employees, regardless of whether they are covered under collective-bargaining agreements. Eligibility requirements vary, as does timing of participation, matching, vesting, and profit-sharing features of the plans. Contributions by Centuri to these plans for the years ended December 31, 2020, 2019, and 2018 were $9 million, $8 million, and $7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election,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makes defined contributions to several multiemployer defined benefit pension plans under the terms of collective bargaining agreements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of participating in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those plans an amount based on the underfunded status of the plan.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contributed $44.3 million, $41.3 million, and $38.2 million collectively to the plans for the years ended December 31, 2020, 2019, and 2018, respectively. Substantially all of the contributions made by Centuri during these years were to U.S. plans that were not classified as critical, and for which no special surcharges were assessed. Only three plans were classified as critical and required special surcharges; however, the contributions overall related to these plans in all periods were insignificant.</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Southwest Gas Holdings, Inc.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before taxes and noncontrolling interest for domestic and foreign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235,120</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243,336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94,899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76,429</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above and below to Deferred payroll taxes relate to the employer portion of Social Security tax, for which deferment of remittance was permissible under the Coronavirus Aid, Relief, and Economic Security (“CARES”) Act.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differences</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104,314</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105,077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37,439</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Alternative minimum tax credit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net operating losses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21,536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192,612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197,129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785,734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732,798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19,789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839,610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796,113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noncurrent deferred tax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646,998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598,984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noncurrent deferred tax liabilities above at December 31, 2020 and 2019 are reflected net of $455,000 and $856,000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tax positions in prior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in statute of limitations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i w:val="1"/>
                <w:iCs w:val="1"/>
                <w:color w:val="auto"/>
              </w:rPr>
              <w:t>Southwest Gas Corporation</w:t>
            </w: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spacing w:after="0"/>
              <w:rPr>
                <w:sz w:val="20"/>
                <w:szCs w:val="20"/>
                <w:color w:val="auto"/>
              </w:rPr>
            </w:pPr>
            <w:r>
              <w:rPr>
                <w:rFonts w:ascii="Arial" w:cs="Arial" w:eastAsia="Arial" w:hAnsi="Arial"/>
                <w:sz w:val="18"/>
                <w:szCs w:val="18"/>
                <w:color w:val="auto"/>
              </w:rPr>
              <w:t>The following is a summary of income before taxes: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(17,584)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58,136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36,029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67,576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differences</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104,314</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105,077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Alternative minimum tax credit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118,698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135,228</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680,294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644,046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699,798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674,278</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581,100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539,050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A reconciliation of the beginning and ending amount of unrecognized tax benefits is as follows:</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tax positions in prior period</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in statute of limitations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1,793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04" w:name="page105"/>
    <w:bookmarkEnd w:id="104"/>
    <w:p>
      <w:pPr>
        <w:jc w:val="both"/>
        <w:spacing w:after="0" w:line="277" w:lineRule="auto"/>
        <w:rPr>
          <w:sz w:val="20"/>
          <w:szCs w:val="20"/>
          <w:color w:val="auto"/>
        </w:rPr>
      </w:pPr>
      <w:r>
        <w:rPr>
          <w:rFonts w:ascii="Arial" w:cs="Arial" w:eastAsia="Arial" w:hAnsi="Arial"/>
          <w:sz w:val="18"/>
          <w:szCs w:val="18"/>
          <w:color w:val="auto"/>
        </w:rPr>
        <w:t>the status of audits, conclusions of tax audits, lapsing of applicable statutes of limitation, identification of new issues, and any administrative guidance or developments.</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2020, the total amount of unrecognized tax benefits that, if recognized, would impact the effective tax rate was $1.9 million for the Company and $1.8 million for Southwest. No significant increases or decreases in unrecognized tax benefits are expected within the next 12 months.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 There was $523,000 of tax-related interest income for 2020, and none in 2019 or 2018.</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Company’s regulated operations accounting for income taxes is impacted by the FASB’s ASC 980 – Regulated Operations. Reductions in accumulated deferred income tax balances due to the reduction in the corporate income tax rates to 21% under the provisions of the Tax Cuts and Jobs Act (the “TCJA”), enacted in December 2017, may continue to result in a refund of excess deferred taxes to customers, generally through reductions in future rates. The TCJA included provisions that stipulate how these excess deferred taxes may be passed back to customers for certain accelerated tax depreciation benefits. Potential refunds of other deferred taxes will be determined in conjunction with appropriate regulatory commissions. Southwest began refunding excess deferred taxes to Nevada customers starting in January 2019 and to Arizona customers in January 2021. Refunding to California customers will begin with the effective date of new rates for the most recent general rate case. Paiute began refunding excess deferred taxes to its customers starting in December 2019. The December 31, 2020 Consolidated Balance Sheets of Southwest and the Company reflect the impact of the TCJA and the remaining unamortized balance of the regulatory liability (including a gross-up), barring further changes to income tax rates. See also </w:t>
      </w:r>
      <w:r>
        <w:rPr>
          <w:rFonts w:ascii="Arial" w:cs="Arial" w:eastAsia="Arial" w:hAnsi="Arial"/>
          <w:sz w:val="17"/>
          <w:szCs w:val="17"/>
          <w:b w:val="1"/>
          <w:bCs w:val="1"/>
          <w:color w:val="auto"/>
        </w:rPr>
        <w:t>Note 5 - Regulatory Assets</w:t>
      </w:r>
      <w:r>
        <w:rPr>
          <w:rFonts w:ascii="Arial" w:cs="Arial" w:eastAsia="Arial" w:hAnsi="Arial"/>
          <w:sz w:val="17"/>
          <w:szCs w:val="17"/>
          <w:color w:val="auto"/>
        </w:rPr>
        <w:t xml:space="preserve"> </w:t>
      </w:r>
      <w:r>
        <w:rPr>
          <w:rFonts w:ascii="Arial" w:cs="Arial" w:eastAsia="Arial" w:hAnsi="Arial"/>
          <w:sz w:val="17"/>
          <w:szCs w:val="17"/>
          <w:b w:val="1"/>
          <w:bCs w:val="1"/>
          <w:color w:val="auto"/>
        </w:rPr>
        <w:t>and Liabilities</w:t>
      </w:r>
      <w:r>
        <w:rPr>
          <w:rFonts w:ascii="Arial" w:cs="Arial" w:eastAsia="Arial" w:hAnsi="Arial"/>
          <w:sz w:val="17"/>
          <w:szCs w:val="17"/>
          <w:color w:val="auto"/>
        </w:rPr>
        <w:t>.</w:t>
      </w:r>
    </w:p>
    <w:p>
      <w:pPr>
        <w:spacing w:after="0" w:line="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2016.</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2020, the Company has no U.S. federal net operating loss carryforward. The Company also has no general business credit carryforwards. The Company has a net capital loss carryforward of $97,000, which will begin to expire in 2021. At December 31, 2020, the Company has an income tax net operating loss carryforward related to Canadian operations of $12.7 million, which begins to expire in 2034. At December 31, 2020, the Company has $50.9 million of state net operating loss carryforwards, with a tax effect (net of federal benefit) of $3.2 million. Depending on the jurisdiction in which the state net operating loss was generated, the carryforwards will begin to expire in 2025.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determined based on the nature of their activities. The natural gas operations segment is engaged in the business of purchasing, distributing, and transporting natural gas. Revenues are generated from the distribution and transportation of natural gas. The utility infrastructure services segment is primarily engaged in the business of providing utility companies with trenching and installation, replacement, and maintenance services for energy distribution systems. Although our utility infrastructure services operations are geographically dispersed, they are aggregated and reported as a single segment as each reporting unit has similar economic characteristics. Over 99% of the total Company’s long-lived assets are in the U.S.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Background, Organization, and Summary of</w:t>
      </w:r>
      <w:r>
        <w:rPr>
          <w:rFonts w:ascii="Arial" w:cs="Arial" w:eastAsia="Arial" w:hAnsi="Arial"/>
          <w:sz w:val="18"/>
          <w:szCs w:val="18"/>
          <w:color w:val="auto"/>
        </w:rPr>
        <w:t xml:space="preserve"> </w:t>
      </w:r>
      <w:r>
        <w:rPr>
          <w:rFonts w:ascii="Arial" w:cs="Arial" w:eastAsia="Arial" w:hAnsi="Arial"/>
          <w:sz w:val="18"/>
          <w:szCs w:val="18"/>
          <w:b w:val="1"/>
          <w:bCs w:val="1"/>
          <w:color w:val="auto"/>
        </w:rPr>
        <w:t>Significant Accounting Policies</w:t>
      </w:r>
      <w:r>
        <w:rPr>
          <w:rFonts w:ascii="Arial" w:cs="Arial" w:eastAsia="Arial" w:hAnsi="Arial"/>
          <w:sz w:val="18"/>
          <w:szCs w:val="18"/>
          <w:color w:val="auto"/>
        </w:rPr>
        <w:t>. Centuri accounts for the services provided to Southwest at contractual prices at contract inception.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these services, which are not eliminated during consolidation, are presented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December 31,</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for Centuri services</w:t>
            </w:r>
          </w:p>
        </w:tc>
        <w:tc>
          <w:tcPr>
            <w:tcW w:w="45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w:t>
            </w:r>
          </w:p>
        </w:tc>
      </w:tr>
      <w:tr>
        <w:trPr>
          <w:trHeight w:val="891"/>
        </w:trPr>
        <w:tc>
          <w:tcPr>
            <w:tcW w:w="4240" w:type="dxa"/>
            <w:vAlign w:val="bottom"/>
          </w:tcPr>
          <w:p>
            <w:pPr>
              <w:spacing w:after="0"/>
              <w:rPr>
                <w:sz w:val="24"/>
                <w:szCs w:val="24"/>
                <w:color w:val="auto"/>
              </w:rPr>
            </w:pPr>
          </w:p>
        </w:tc>
        <w:tc>
          <w:tcPr>
            <w:tcW w:w="4540" w:type="dxa"/>
            <w:vAlign w:val="bottom"/>
          </w:tcPr>
          <w:p>
            <w:pPr>
              <w:jc w:val="right"/>
              <w:ind w:right="299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240" w:type="dxa"/>
            <w:vAlign w:val="bottom"/>
            <w:tcBorders>
              <w:bottom w:val="single" w:sz="8" w:color="9A9A9A"/>
            </w:tcBorders>
          </w:tcPr>
          <w:p>
            <w:pPr>
              <w:spacing w:after="0"/>
              <w:rPr>
                <w:sz w:val="17"/>
                <w:szCs w:val="17"/>
                <w:color w:val="auto"/>
              </w:rPr>
            </w:pPr>
          </w:p>
        </w:tc>
        <w:tc>
          <w:tcPr>
            <w:tcW w:w="45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the amount of revenues for both segments by geographic area: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r>
      <w:tr>
        <w:trPr>
          <w:trHeight w:val="210"/>
        </w:trPr>
        <w:tc>
          <w:tcPr>
            <w:tcW w:w="7580" w:type="dxa"/>
            <w:vAlign w:val="bottom"/>
          </w:tcPr>
          <w:p>
            <w:pPr>
              <w:ind w:left="20"/>
              <w:spacing w:after="0"/>
              <w:rPr>
                <w:sz w:val="20"/>
                <w:szCs w:val="20"/>
                <w:color w:val="auto"/>
              </w:rPr>
            </w:pPr>
            <w:r>
              <w:rPr>
                <w:rFonts w:ascii="Arial" w:cs="Arial" w:eastAsia="Arial" w:hAnsi="Arial"/>
                <w:sz w:val="18"/>
                <w:szCs w:val="18"/>
                <w:color w:val="auto"/>
              </w:rPr>
              <w:t>Revenues (a)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2,664,670</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215,343</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2,880,013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Revenues are attributed to countries based on the location of customers.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for each of the three years in the period ended December 31, 2020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 2020</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89"/>
              </w:rPr>
              <w:t>Natural Gas</w:t>
            </w:r>
          </w:p>
        </w:tc>
        <w:tc>
          <w:tcPr>
            <w:tcW w:w="16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Utility Infrastructure</w:t>
            </w:r>
          </w:p>
        </w:tc>
        <w:tc>
          <w:tcPr>
            <w:tcW w:w="340" w:type="dxa"/>
            <w:vAlign w:val="bottom"/>
          </w:tcPr>
          <w:p>
            <w:pPr>
              <w:spacing w:after="0"/>
              <w:rPr>
                <w:sz w:val="14"/>
                <w:szCs w:val="14"/>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3,164,014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134,859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3,298,873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235,295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96,732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332,027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159,118</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232,324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8,735,853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692,216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132,889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825,105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89"/>
              </w:rPr>
              <w:t>Natural Gas</w:t>
            </w:r>
          </w:p>
        </w:tc>
        <w:tc>
          <w:tcPr>
            <w:tcW w:w="16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Utility Infrastructure</w:t>
            </w:r>
          </w:p>
        </w:tc>
        <w:tc>
          <w:tcPr>
            <w:tcW w:w="340" w:type="dxa"/>
            <w:vAlign w:val="bottom"/>
          </w:tcPr>
          <w:p>
            <w:pPr>
              <w:spacing w:after="0"/>
              <w:rPr>
                <w:sz w:val="14"/>
                <w:szCs w:val="14"/>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1,368,939</w:t>
            </w:r>
          </w:p>
        </w:tc>
        <w:tc>
          <w:tcPr>
            <w:tcW w:w="12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1,592,252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2,961,191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158,726</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1,368,939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1,750,978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3,119,917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95,026</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109,226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303,237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34,973</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6,798,746</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1,365,194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8,170,048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 2018</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89"/>
              </w:rPr>
              <w:t>Natural Gas</w:t>
            </w:r>
          </w:p>
        </w:tc>
        <w:tc>
          <w:tcPr>
            <w:tcW w:w="16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Utility Infrastructure</w:t>
            </w:r>
          </w:p>
        </w:tc>
        <w:tc>
          <w:tcPr>
            <w:tcW w:w="340" w:type="dxa"/>
            <w:vAlign w:val="bottom"/>
          </w:tcPr>
          <w:p>
            <w:pPr>
              <w:spacing w:after="0"/>
              <w:rPr>
                <w:sz w:val="14"/>
                <w:szCs w:val="14"/>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2,744,099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135,914</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191,816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57,396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249,212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138,842</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182,277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7,357,729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682,869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83,045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765,914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14 - Quarterly Financial Data (Unaudited)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color w:val="auto"/>
              </w:rPr>
              <w:t>The following table presents summarized quarterly financial data for 2020 and 2019: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rPr>
              <w:t>Quarter Ended</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 except per share amounts)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836,320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757,247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791,226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914,080</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152,795</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105,036</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Southwest Gas Holdings, Inc.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103,544</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Basic earnings per common share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common share (1)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5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502,827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210,834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374,490</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116,070</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79,550</w:t>
            </w:r>
          </w:p>
        </w:tc>
      </w:tr>
      <w:tr>
        <w:trPr>
          <w:trHeight w:val="270"/>
        </w:trPr>
        <w:tc>
          <w:tcPr>
            <w:tcW w:w="5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833,539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713,011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725,230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848,137</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138,204</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91,906</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Southwest Gas Holdings, Inc.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91,718</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 earnings per common share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common share (1)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5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379,571</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112,678</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76,425</w:t>
            </w:r>
          </w:p>
        </w:tc>
      </w:tr>
    </w:tbl>
    <w:p>
      <w:pPr>
        <w:ind w:left="180" w:hanging="10"/>
        <w:spacing w:after="0" w:line="261" w:lineRule="auto"/>
        <w:tabs>
          <w:tab w:leader="none" w:pos="6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sum of quarterly earnings (loss) per average common share may not equal the annual earnings (loss) per share due to the ongoing change in the weighted-average number of common shares.</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demand for natural gas is seasonal, and it is the opinion of management that comparisons of earnings for interim periods do not reliably reflect overall trends and changes in operations. Also, the timing of general rate relief can have a significant impact on earnings for interim periods.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Noncontrolling Interest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by means of Centuri,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and at each interval discussed above. The outstanding noncontrolling interest is not subject to minimum purchase provisions and following the eligibility dates for the elections, they do not expire. The redemption price represents the greater of fair value</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18"/>
          <w:szCs w:val="18"/>
          <w:color w:val="auto"/>
        </w:rPr>
        <w:t>of the ownership interest to be redeemed on the redemption date or a floor amount under the terms of the agreement. The Company has determined that this noncontrolling interest is a redeemable noncontrolling interest and, in accordance with SEC guidance, is classified as mezzanine equity (temporary equity) in the Company’s Consolidated Balance Sheets.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redeemable noncontrolling interest increased by approximately $74.5 million during the year ended December 31, 2020. Adjustment to the redemption value also impacted retained earnings, as reflected in the Company’s Consolidated Statement of Equity, but did not impact net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changes to the balance of the redeemable noncontrolling interest: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color w:val="auto"/>
                <w:w w:val="95"/>
              </w:rPr>
              <w:t>Redeemable Noncontrolling</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3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3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81,831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3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84,542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Redemption value adjustment</w:t>
            </w:r>
          </w:p>
        </w:tc>
        <w:tc>
          <w:tcPr>
            <w:tcW w:w="3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74,513</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9A9A9A"/>
            </w:tcBorders>
          </w:tcPr>
          <w:p>
            <w:pPr>
              <w:spacing w:after="0"/>
              <w:rPr>
                <w:sz w:val="17"/>
                <w:szCs w:val="17"/>
                <w:color w:val="auto"/>
              </w:rPr>
            </w:pPr>
          </w:p>
        </w:tc>
        <w:tc>
          <w:tcPr>
            <w:tcW w:w="35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9" w:name="page110"/>
    <w:bookmarkEnd w:id="109"/>
    <w:p>
      <w:pPr>
        <w:spacing w:after="0"/>
        <w:rPr>
          <w:sz w:val="20"/>
          <w:szCs w:val="20"/>
          <w:color w:val="auto"/>
        </w:rPr>
      </w:pPr>
      <w:r>
        <w:rPr>
          <w:rFonts w:ascii="Arial" w:cs="Arial" w:eastAsia="Arial" w:hAnsi="Arial"/>
          <w:sz w:val="25"/>
          <w:szCs w:val="25"/>
          <w:color w:val="auto"/>
        </w:rPr>
        <w:t>MANAGEMENT’S REPORTS ON INTERNAL CONTROL OVER FINANCIAL REPORTING</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Management of Southwest Gas Holdings, Inc. is responsible for establishing and maintaining adequate internal control over financial reporting, as such term is defined by Rule 13a-15(f) and 15d-15(f) under the Securities Exchange Act of 1934.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Based upon management’s evaluation under such framework, management concluded that the internal control over financial reporting was effective as of December 31, 2020. The effectiveness of internal control over financial reporting as of December 31, 2020 has been audited by PricewaterhouseCoopers, LLP, an independent registered public accounting firm, as stated in their report which is included herein.</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2020. This annual report does not include a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10" w:name="page111"/>
    <w:bookmarkEnd w:id="110"/>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Southwest Gas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Southwest Gas Holdings, Inc. and its subsidiaries (the “Company”) as of December 31, 2020 and 2019, and the related consolidated statements of income, of comprehensive income, of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5 to the consolidated financial statements, the Company’s net regulatory liabilities were $406 million as of December 31, 2020. The Company is subject to the regulation of the Arizona Corporation Commission, the Public Utilities Commission of Nevada, the California Public Utilities Commission and the Federal Energy Regulatory Commission. Accounting treatment for rate-regulated entities allows for deferral of costs as regulatory assets, costs that otherwise would be expensed, if it is probable that future recovery from customers will occur. As disclosed, management reviews the regulatory assets to assess their recoverability. If rate recovery is no longer probable, due to competition or the actions of regulators, write-off of the related regulatory asset as a current period expense would be recognized. Regulatory liabilities are recorded if it is probable that revenues will be reduced for amounts that will be refunded to customers through the ratemaking process.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Company’s accounting for regulatory assets and liabilities is a critical audit matter are the significant judgment by management in the ongoing evaluation of regulatory assets and liabilities and in applying guidance contained in regulatory proceedings and other relevant evidence including the timing of recognition of regulatory assets and liabilities; this in turn led to significant auditor judgment, subjectivity and effort in performing audit procedures and evaluating audit evidence relating to management’s judgments about the probability of recovery of regulatory assets and refund of regulatory liabilities.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the probability of recovery of regulatory assets, refund of regulatory liabilities, and disclosure impacts. These procedures also included, among others, obtaining the Company’s correspondence with regulators, evaluating the reasonableness of management’s assessment regarding the probability of recovery of regulatory assets and refund of regulatory liabilities based on the status of regulatory proceedings and evaluating the related accounting and disclosure implications.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or its predecessor’s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2" w:name="page113"/>
    <w:bookmarkEnd w:id="112"/>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Southwest Gas Corporation and its subsidiaries (the “Company”) as of December 31, 2020 and 2019, and the related consolidated statements of income, of comprehensive income, of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5 to the consolidated financial statements, the Company’s net regulatory liabilities were $406 million as of December 31, 2020. The Company is subject to the regulation of the Arizona Corporation Commission, the Public Utilities Commission of Nevada, the California Public Utilities Commission and the Federal Energy Regulatory Commission. Accounting treatment for rate-regulated entities allows for deferral of costs as regulatory assets, costs that otherwise would be expensed, if it is probable that future recovery from customers will occur. As disclosed, management reviews the regulatory assets to assess their recoverability. If rate recovery is no longer probable, due to competition or the actions of regulators, write-off of the related regulatory asset as a current period expense would be recognized. Regulatory liabilities are recorded if it is probable that revenues will be reduced for amounts that will be refunded to customers through the ratemaking process.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Company’s accounting for regulatory assets and liabilities is a critical audit matter are the significant judgment by management in the ongoing evaluation of regulatory assets and liabilities and in applying guidance contained in regulatory proceedings and other relevant evidence including the timing of recognition of regulatory assets and liabilities; this in turn led to significant auditor judgment, subjectivity and effort in performing audit procedures and evaluating audit evidence relating to management’s judgments about the probability of recovery of regulatory assets and refund of regulatory liabilities.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13" w:name="page114"/>
    <w:bookmarkEnd w:id="113"/>
    <w:p>
      <w:pPr>
        <w:jc w:val="both"/>
        <w:spacing w:after="0" w:line="259" w:lineRule="auto"/>
        <w:rPr>
          <w:sz w:val="20"/>
          <w:szCs w:val="20"/>
          <w:color w:val="auto"/>
        </w:rPr>
      </w:pPr>
      <w:r>
        <w:rPr>
          <w:rFonts w:ascii="Arial" w:cs="Arial" w:eastAsia="Arial" w:hAnsi="Arial"/>
          <w:sz w:val="18"/>
          <w:szCs w:val="18"/>
          <w:color w:val="auto"/>
        </w:rPr>
        <w:t>management’s assessment of regulatory proceedings, including the probability of recovery of regulatory assets, refund of regulatory liabilities, and disclosure impacts. These procedures also included, among others, obtaining the Company’s correspondence with regulators, evaluating the reasonableness of management’s assessment regarding the probability of recovery of regulatory assets and refund of regulatory liabilities based on the status of regulatory proceedings and evaluating the related accounting and disclosure implications.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15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r>
      <w:tr>
        <w:trPr>
          <w:trHeight w:val="18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SUBSIDIARY NAME</w:t>
            </w:r>
          </w:p>
        </w:tc>
        <w:tc>
          <w:tcPr>
            <w:tcW w:w="4780" w:type="dxa"/>
            <w:vAlign w:val="bottom"/>
          </w:tcPr>
          <w:p>
            <w:pPr>
              <w:jc w:val="center"/>
              <w:spacing w:after="0"/>
              <w:rPr>
                <w:sz w:val="20"/>
                <w:szCs w:val="20"/>
                <w:color w:val="auto"/>
              </w:rPr>
            </w:pPr>
            <w:r>
              <w:rPr>
                <w:rFonts w:ascii="Arial" w:cs="Arial" w:eastAsia="Arial" w:hAnsi="Arial"/>
                <w:sz w:val="14"/>
                <w:szCs w:val="14"/>
                <w:color w:val="auto"/>
                <w:w w:val="98"/>
              </w:rPr>
              <w:t>OR ORGANIZATION TYPE</w:t>
            </w:r>
          </w:p>
        </w:tc>
      </w:tr>
      <w:tr>
        <w:trPr>
          <w:trHeight w:val="26"/>
        </w:trPr>
        <w:tc>
          <w:tcPr>
            <w:tcW w:w="39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Southwest Gas Holdings, Inc.</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Southwest Gas Utility Group, Inc.</w:t>
            </w:r>
          </w:p>
        </w:tc>
        <w:tc>
          <w:tcPr>
            <w:tcW w:w="478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Southwest Gas Corporation</w:t>
            </w:r>
          </w:p>
        </w:tc>
        <w:tc>
          <w:tcPr>
            <w:tcW w:w="478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Utility Financial Corp.</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The Southwest Companies</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5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Southwest Gas Transmission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Limited partnership between</w:t>
            </w:r>
          </w:p>
        </w:tc>
      </w:tr>
      <w:tr>
        <w:trPr>
          <w:trHeight w:val="216"/>
        </w:trPr>
        <w:tc>
          <w:tcPr>
            <w:tcW w:w="3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Southwest Gas Corporation</w:t>
            </w:r>
          </w:p>
        </w:tc>
      </w:tr>
      <w:tr>
        <w:trPr>
          <w:trHeight w:val="230"/>
        </w:trPr>
        <w:tc>
          <w:tcPr>
            <w:tcW w:w="39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and Utility Financial Corp.</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Paiute Pipeline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Carson Water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Centuri Group,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Centuri U.S. Division,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Centuri Canada Division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NPL Canada Ltd.</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W.S. Nicholls Construction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NPL Construction Co.</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Canyon Pipeline Construction,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New England Utility Constructors, Inc.</w:t>
            </w: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National Powerline LLC</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Linetec Services, LLC</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141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333-231297, 333-251074) and Form S-8 (Nos. 333-215145-01, 333-155581-01, 333-200835-01, 333-168731-01, 333-215150-01, 333-185354-01, 333-222048) of Southwest Gas Holdings, Inc. of our report dated February 25, 2021 relating to the financial statements and the effectiveness of internal control over financial reporting, which appears in the 2020 Annual Report to Stockholders, which is incorporated by reference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333-251074-01) of Southwest Gas Corporation of our report dated February 25, 2021 relating to the financial statements, which appears in the 2020 Annual Report to Stockholders, which is incorporated by reference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66" w:lineRule="exact"/>
        <w:rPr>
          <w:sz w:val="20"/>
          <w:szCs w:val="20"/>
          <w:color w:val="auto"/>
        </w:rPr>
      </w:pPr>
    </w:p>
    <w:p>
      <w:pPr>
        <w:ind w:left="680" w:hanging="654"/>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2021</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66" w:lineRule="exact"/>
        <w:rPr>
          <w:sz w:val="20"/>
          <w:szCs w:val="20"/>
          <w:color w:val="auto"/>
        </w:rPr>
      </w:pPr>
    </w:p>
    <w:p>
      <w:pPr>
        <w:ind w:left="680" w:hanging="65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2021</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110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66" w:lineRule="exact"/>
        <w:rPr>
          <w:sz w:val="20"/>
          <w:szCs w:val="20"/>
          <w:color w:val="auto"/>
        </w:rPr>
      </w:pPr>
    </w:p>
    <w:p>
      <w:pPr>
        <w:ind w:left="680" w:hanging="654"/>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2021</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66" w:lineRule="exact"/>
        <w:rPr>
          <w:sz w:val="20"/>
          <w:szCs w:val="20"/>
          <w:color w:val="auto"/>
        </w:rPr>
      </w:pPr>
    </w:p>
    <w:p>
      <w:pPr>
        <w:ind w:left="680" w:hanging="654"/>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2021</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2020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25, 2021</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John P. Hester</w:t>
      </w:r>
    </w:p>
    <w:p>
      <w:pPr>
        <w:ind w:left="7620"/>
        <w:spacing w:after="0" w:line="203" w:lineRule="auto"/>
        <w:rPr>
          <w:sz w:val="20"/>
          <w:szCs w:val="20"/>
          <w:color w:val="auto"/>
        </w:rPr>
      </w:pPr>
      <w:r>
        <w:rPr>
          <w:rFonts w:ascii="Arial" w:cs="Arial" w:eastAsia="Arial" w:hAnsi="Arial"/>
          <w:sz w:val="18"/>
          <w:szCs w:val="18"/>
          <w:color w:val="auto"/>
        </w:rPr>
        <w:t>President and Chief Executive Officer</w:t>
      </w:r>
    </w:p>
    <w:p>
      <w:pPr>
        <w:ind w:left="7620"/>
        <w:spacing w:after="0"/>
        <w:rPr>
          <w:sz w:val="20"/>
          <w:szCs w:val="20"/>
          <w:color w:val="auto"/>
        </w:rPr>
      </w:pPr>
      <w:r>
        <w:rPr>
          <w:rFonts w:ascii="Arial" w:cs="Arial" w:eastAsia="Arial" w:hAnsi="Arial"/>
          <w:sz w:val="18"/>
          <w:szCs w:val="18"/>
          <w:color w:val="auto"/>
        </w:rPr>
        <w:t>Southwest Gas Holdings,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2020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25, 2021</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14605</wp:posOffset>
            </wp:positionV>
            <wp:extent cx="2306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2306320" cy="8890"/>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8"/>
          <w:szCs w:val="18"/>
          <w:color w:val="auto"/>
        </w:rPr>
        <w:t>Gregory J. Peterson</w:t>
      </w:r>
    </w:p>
    <w:p>
      <w:pPr>
        <w:ind w:left="760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10-K for the period ended December 31, 2020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25, 2021</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P. Hester</w:t>
      </w:r>
    </w:p>
    <w:p>
      <w:pPr>
        <w:ind w:left="7660"/>
        <w:spacing w:after="0" w:line="203" w:lineRule="auto"/>
        <w:rPr>
          <w:sz w:val="20"/>
          <w:szCs w:val="20"/>
          <w:color w:val="auto"/>
        </w:rPr>
      </w:pPr>
      <w:r>
        <w:rPr>
          <w:rFonts w:ascii="Arial" w:cs="Arial" w:eastAsia="Arial" w:hAnsi="Arial"/>
          <w:sz w:val="18"/>
          <w:szCs w:val="18"/>
          <w:color w:val="auto"/>
        </w:rPr>
        <w:t>President and Chief Executive Officer</w:t>
      </w:r>
    </w:p>
    <w:p>
      <w:pPr>
        <w:ind w:left="7660"/>
        <w:spacing w:after="0"/>
        <w:rPr>
          <w:sz w:val="20"/>
          <w:szCs w:val="20"/>
          <w:color w:val="auto"/>
        </w:rPr>
      </w:pPr>
      <w:r>
        <w:rPr>
          <w:rFonts w:ascii="Arial" w:cs="Arial" w:eastAsia="Arial" w:hAnsi="Arial"/>
          <w:sz w:val="18"/>
          <w:szCs w:val="18"/>
          <w:color w:val="auto"/>
        </w:rPr>
        <w:t>Southwest Gas Corporation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10-K for the period ended December 31, 2020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25, 2021</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Gregory J. Peterson</w:t>
      </w:r>
    </w:p>
    <w:p>
      <w:pPr>
        <w:ind w:left="766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60"/>
        <w:spacing w:after="0"/>
        <w:rPr>
          <w:sz w:val="20"/>
          <w:szCs w:val="20"/>
          <w:color w:val="auto"/>
        </w:rPr>
      </w:pPr>
      <w:r>
        <w:rPr>
          <w:rFonts w:ascii="Arial" w:cs="Arial" w:eastAsia="Arial" w:hAnsi="Arial"/>
          <w:sz w:val="18"/>
          <w:szCs w:val="18"/>
          <w:color w:val="auto"/>
        </w:rPr>
        <w:t>Southwest Gas Corporation</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Letter"/>
      <w:start w:val="5"/>
    </w:lvl>
  </w:abstractNum>
  <w:abstractNum w:abstractNumId="8">
    <w:nsid w:val="B03E0C6"/>
    <w:multiLevelType w:val="hybridMultilevel"/>
    <w:lvl w:ilvl="0">
      <w:lvlJc w:val="left"/>
      <w:lvlText w:val="(%1)"/>
      <w:numFmt w:val="lowerLetter"/>
      <w:start w:val="10"/>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lowerLetter"/>
      <w:start w:val="1"/>
    </w:lvl>
    <w:lvl w:ilvl="1">
      <w:lvlJc w:val="left"/>
      <w:lvlText w:val="(%2)"/>
      <w:numFmt w:val="decimal"/>
      <w:start w:val="1"/>
    </w:lvl>
  </w:abstractNum>
  <w:abstractNum w:abstractNumId="13">
    <w:nsid w:val="836C40E"/>
    <w:multiLevelType w:val="hybridMultilevel"/>
    <w:lvl w:ilvl="0">
      <w:lvlJc w:val="left"/>
      <w:lvlText w:val="%1"/>
      <w:numFmt w:val="lowerLetter"/>
      <w:start w:val="1"/>
    </w:lvl>
    <w:lvl w:ilvl="1">
      <w:lvlJc w:val="left"/>
      <w:lvlText w:val="(%2)"/>
      <w:numFmt w:val="decimal"/>
      <w:start w:val="2"/>
    </w:lvl>
  </w:abstractNum>
  <w:abstractNum w:abstractNumId="14">
    <w:nsid w:val="2901D82"/>
    <w:multiLevelType w:val="hybridMultilevel"/>
    <w:lvl w:ilvl="0">
      <w:lvlJc w:val="left"/>
      <w:lvlText w:val="(%1)"/>
      <w:numFmt w:val="lowerLetter"/>
      <w:start w:val="2"/>
    </w:lvl>
    <w:lvl w:ilvl="1">
      <w:lvlJc w:val="left"/>
      <w:lvlText w:val="%2"/>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0"/>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6"/>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lvl w:ilvl="1">
      <w:lvlJc w:val="left"/>
      <w:lvlText w:val="▪"/>
      <w:numFmt w:val="bullet"/>
      <w:start w:val="1"/>
    </w:lvl>
  </w:abstractNum>
  <w:abstractNum w:abstractNumId="32">
    <w:nsid w:val="5C482A97"/>
    <w:multiLevelType w:val="hybridMultilevel"/>
    <w:lvl w:ilvl="0">
      <w:lvlJc w:val="left"/>
      <w:lvlText w:val="(%1)"/>
      <w:numFmt w:val="decimal"/>
      <w:start w:val="3"/>
    </w:lvl>
  </w:abstractNum>
  <w:abstractNum w:abstractNumId="33">
    <w:nsid w:val="2463B9EA"/>
    <w:multiLevelType w:val="hybridMultilevel"/>
    <w:lvl w:ilvl="0">
      <w:lvlJc w:val="left"/>
      <w:lvlText w:val="(%1)"/>
      <w:numFmt w:val="decimal"/>
      <w:start w:val="4"/>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91" Type="http://schemas.openxmlformats.org/officeDocument/2006/relationships/image" Target="media/image39.png"/><Relationship Id="rId92"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26"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29" Type="http://schemas.openxmlformats.org/officeDocument/2006/relationships/image" Target="media/image68.png"/><Relationship Id="rId130" Type="http://schemas.openxmlformats.org/officeDocument/2006/relationships/image" Target="media/image69.png"/><Relationship Id="rId131"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42" Type="http://schemas.openxmlformats.org/officeDocument/2006/relationships/hyperlink" Target="http://www.sec.gov/Archives/edgar/data/1692115/000119312519250669/d745199dex21.htm" TargetMode="External"/><Relationship Id="rId43" Type="http://schemas.openxmlformats.org/officeDocument/2006/relationships/hyperlink" Target="http://www.sec.gov/Archives/edgar/data/1692115/000119312519250669/d745199dex31.htm" TargetMode="External"/><Relationship Id="rId44" Type="http://schemas.openxmlformats.org/officeDocument/2006/relationships/hyperlink" Target="http://www.sec.gov/Archives/edgar/data/1692115/000119312519250669/d745199dex32.htm" TargetMode="External"/><Relationship Id="rId45" Type="http://schemas.openxmlformats.org/officeDocument/2006/relationships/hyperlink" Target="http://www.sec.gov/Archives/edgar/data/92416/0000892569-94-000102.txt" TargetMode="External"/><Relationship Id="rId46" Type="http://schemas.openxmlformats.org/officeDocument/2006/relationships/hyperlink" Target="http://www.sec.gov/Archives/edgar/data/92416/0000092416-96-000040.txt" TargetMode="External"/><Relationship Id="rId47" Type="http://schemas.openxmlformats.org/officeDocument/2006/relationships/hyperlink" Target="http://www.sec.gov/Archives/edgar/data/92416/0000092416-96-000059.txt" TargetMode="External"/><Relationship Id="rId48" Type="http://schemas.openxmlformats.org/officeDocument/2006/relationships/hyperlink" Target="http://www.sec.gov/Archives/edgar/data/92416/000009241608000067/exhibit1001.htm" TargetMode="External"/><Relationship Id="rId49" Type="http://schemas.openxmlformats.org/officeDocument/2006/relationships/hyperlink" Target="http://www.sec.gov/Archives/edgar/data/92416/000009241608000067/exhibit1002.htm" TargetMode="External"/><Relationship Id="rId50" Type="http://schemas.openxmlformats.org/officeDocument/2006/relationships/hyperlink" Target="http://www.sec.gov/Archives/edgar/data/92416/000119312510042973/dex427.htm" TargetMode="External"/><Relationship Id="rId51" Type="http://schemas.openxmlformats.org/officeDocument/2006/relationships/hyperlink" Target="http://www.sec.gov/Archives/edgar/data/92416/000119312510268436/dex41.htm" TargetMode="External"/><Relationship Id="rId52" Type="http://schemas.openxmlformats.org/officeDocument/2006/relationships/hyperlink" Target="http://www.sec.gov/Archives/edgar/data/92416/000009241614000008/exhibit4-1.htm" TargetMode="External"/><Relationship Id="rId53" Type="http://schemas.openxmlformats.org/officeDocument/2006/relationships/hyperlink" Target="http://www.sec.gov/Archives/edgar/data/92416/000119312516762846/d256766dex402.htm" TargetMode="External"/><Relationship Id="rId54" Type="http://schemas.openxmlformats.org/officeDocument/2006/relationships/hyperlink" Target="http://www.sec.gov/Archives/edgar/data/92416/000119312512129184/d321987dex41.htm" TargetMode="External"/><Relationship Id="rId55" Type="http://schemas.openxmlformats.org/officeDocument/2006/relationships/hyperlink" Target="http://www.sec.gov/Archives/edgar/data/92416/000119312513391564/d607288dex41.htm" TargetMode="External"/><Relationship Id="rId58" Type="http://schemas.openxmlformats.org/officeDocument/2006/relationships/hyperlink" Target="http://www.sec.gov/Archives/edgar/data/1692115/000119312520308447/d29781d424b5.htm" TargetMode="External"/><Relationship Id="rId59" Type="http://schemas.openxmlformats.org/officeDocument/2006/relationships/hyperlink" Target="http://www.sec.gov/ix?doc=/Archives/edgar/data/1692115/000119312520308471/d92220d8k.htm" TargetMode="External"/><Relationship Id="rId60" Type="http://schemas.openxmlformats.org/officeDocument/2006/relationships/hyperlink" Target="http://www.sec.gov/Archives/edgar/data/92416/000119312516720575/d265946d424b5.htm" TargetMode="External"/><Relationship Id="rId61" Type="http://schemas.openxmlformats.org/officeDocument/2006/relationships/hyperlink" Target="http://www.sec.gov/Archives/edgar/data/92416/000119312518084096/d482364dex41.htm" TargetMode="External"/><Relationship Id="rId62" Type="http://schemas.openxmlformats.org/officeDocument/2006/relationships/hyperlink" Target="http://www.sec.gov/Archives/edgar/data/92416/000119312518084096/d482364dex42.htm" TargetMode="External"/><Relationship Id="rId63" Type="http://schemas.openxmlformats.org/officeDocument/2006/relationships/hyperlink" Target="http://www.sec.gov/Archives/edgar/data/92416/000119312519162792/d756014dex41.htm" TargetMode="External"/><Relationship Id="rId64" Type="http://schemas.openxmlformats.org/officeDocument/2006/relationships/hyperlink" Target="http://www.sec.gov/Archives/edgar/data/92416/000119312519162792/d756014dex42.htm" TargetMode="External"/><Relationship Id="rId65" Type="http://schemas.openxmlformats.org/officeDocument/2006/relationships/hyperlink" Target="http://www.sec.gov/Archives/edgar/data/92416/000119312520160698/d939354dex41.htm" TargetMode="External"/><Relationship Id="rId66" Type="http://schemas.openxmlformats.org/officeDocument/2006/relationships/hyperlink" Target="http://www.sec.gov/Archives/edgar/data/92416/000119312520160698/d939354dex42.htm" TargetMode="External"/><Relationship Id="rId67" Type="http://schemas.openxmlformats.org/officeDocument/2006/relationships/hyperlink" Target="http://www.sec.gov/Archives/edgar/data/92416/000169211520000016/swx123119ex424.htm" TargetMode="External"/><Relationship Id="rId68" Type="http://schemas.openxmlformats.org/officeDocument/2006/relationships/hyperlink" Target="http://www.sec.gov/Archives/edgar/data/92416/000169211520000064/swxexhibit100393020.htm" TargetMode="External"/><Relationship Id="rId69" Type="http://schemas.openxmlformats.org/officeDocument/2006/relationships/hyperlink" Target="http://www.sec.gov/Archives/edgar/data/92416/000169211520000064/swxexhibit100493020.htm" TargetMode="External"/><Relationship Id="rId70" Type="http://schemas.openxmlformats.org/officeDocument/2006/relationships/hyperlink" Target="http://www.sec.gov/Archives/edgar/data/92416/000169211519000013/swx123118ex1005.htm" TargetMode="External"/><Relationship Id="rId71" Type="http://schemas.openxmlformats.org/officeDocument/2006/relationships/hyperlink" Target="http://www.sec.gov/Archives/edgar/data/92416/000169211520000064/swxexhibit100193020.htm" TargetMode="External"/><Relationship Id="rId74" Type="http://schemas.openxmlformats.org/officeDocument/2006/relationships/hyperlink" Target="http://www.sec.gov/Archives/edgar/data/92416/000169211520000064/swxexhibit100293020.htm" TargetMode="External"/><Relationship Id="rId75" Type="http://schemas.openxmlformats.org/officeDocument/2006/relationships/hyperlink" Target="http://www.sec.gov/Archives/edgar/data/92416/000009241603000120/exhibit10.htm" TargetMode="External"/><Relationship Id="rId76" Type="http://schemas.openxmlformats.org/officeDocument/2006/relationships/hyperlink" Target="http://www.sec.gov/Archives/edgar/data/92416/000009241605000077/exhibit10-2.htm" TargetMode="External"/><Relationship Id="rId77" Type="http://schemas.openxmlformats.org/officeDocument/2006/relationships/hyperlink" Target="http://www.sec.gov/Archives/edgar/data/92416/000009241608000067/exhibit1003.htm" TargetMode="External"/><Relationship Id="rId78" Type="http://schemas.openxmlformats.org/officeDocument/2006/relationships/hyperlink" Target="http://www.sec.gov/Archives/edgar/data/92416/000119312510042973/dex1021.htm" TargetMode="External"/><Relationship Id="rId79" Type="http://schemas.openxmlformats.org/officeDocument/2006/relationships/hyperlink" Target="http://www.sec.gov/Archives/edgar/data/92416/000119312520107089/d902383dex102.htm" TargetMode="External"/><Relationship Id="rId80" Type="http://schemas.openxmlformats.org/officeDocument/2006/relationships/hyperlink" Target="http://www.sec.gov/Archives/edgar/data/92416/000169211519000013/swx123118ex1014.htm" TargetMode="External"/><Relationship Id="rId81" Type="http://schemas.openxmlformats.org/officeDocument/2006/relationships/hyperlink" Target="http://www.sec.gov/Archives/edgar/data/92416/000119312517062419/d324082dex1019.htm" TargetMode="External"/><Relationship Id="rId82" Type="http://schemas.openxmlformats.org/officeDocument/2006/relationships/hyperlink" Target="http://www.sec.gov/Archives/edgar/data/92416/000119312517062419/d324082dex1020.htm" TargetMode="External"/><Relationship Id="rId83" Type="http://schemas.openxmlformats.org/officeDocument/2006/relationships/hyperlink" Target="http://www.sec.gov/Archives/edgar/data/92416/000119312520107089/d902383dex101.htm" TargetMode="External"/><Relationship Id="rId84" Type="http://schemas.openxmlformats.org/officeDocument/2006/relationships/hyperlink" Target="http://www.sec.gov/Archives/edgar/data/92416/000119312517251363/d401099dex1001.htm" TargetMode="External"/><Relationship Id="rId85" Type="http://schemas.openxmlformats.org/officeDocument/2006/relationships/hyperlink" Target="http://www.sec.gov/Archives/edgar/data/92416/000119312517251363/d401099dex1002.htm" TargetMode="External"/><Relationship Id="rId86" Type="http://schemas.openxmlformats.org/officeDocument/2006/relationships/hyperlink" Target="http://www.sec.gov/Archives/edgar/data/92416/000119312517251363/d401099dex1003.htm" TargetMode="External"/><Relationship Id="rId87" Type="http://schemas.openxmlformats.org/officeDocument/2006/relationships/hyperlink" Target="http://www.sec.gov/Archives/edgar/data/92416/000119312518155358/d553725dex1001.htm" TargetMode="External"/><Relationship Id="rId88" Type="http://schemas.openxmlformats.org/officeDocument/2006/relationships/hyperlink" Target="http://www.sec.gov/Archives/edgar/data/1692115/000119312517097720/d322298ddefc14a.htm#toc322298_57" TargetMode="External"/><Relationship Id="rId89" Type="http://schemas.openxmlformats.org/officeDocument/2006/relationships/hyperlink" Target="http://www.sec.gov/Archives/edgar/data/92416/000119312518063850/d513923dex1024.htm" TargetMode="External"/><Relationship Id="rId90" Type="http://schemas.openxmlformats.org/officeDocument/2006/relationships/hyperlink" Target="http://www.sec.gov/Archives/edgar/data/92416/000119312518063850/d513923dex1025.htm" TargetMode="External"/><Relationship Id="rId93" Type="http://schemas.openxmlformats.org/officeDocument/2006/relationships/hyperlink" Target="http://www.sec.gov/Archives/edgar/data/92416/000119312518155358/d553725dex1002.htm" TargetMode="External"/><Relationship Id="rId94" Type="http://schemas.openxmlformats.org/officeDocument/2006/relationships/hyperlink" Target="http://www.sec.gov/Archives/edgar/data/92416/000169211519000013/swx123118ex1028.htm" TargetMode="External"/><Relationship Id="rId95" Type="http://schemas.openxmlformats.org/officeDocument/2006/relationships/hyperlink" Target="http://www.sec.gov/Archives/edgar/data/92416/000169211519000013/swx123118ex1029.htm" TargetMode="External"/><Relationship Id="rId96" Type="http://schemas.openxmlformats.org/officeDocument/2006/relationships/hyperlink" Target="http://www.sec.gov/Archives/edgar/data/92416/000169211519000013/swx123118ex1030.htm" TargetMode="External"/><Relationship Id="rId97" Type="http://schemas.openxmlformats.org/officeDocument/2006/relationships/hyperlink" Target="http://www.sec.gov/Archives/edgar/data/92416/000169211519000045/swxexhibit1001.htm" TargetMode="External"/><Relationship Id="rId98" Type="http://schemas.openxmlformats.org/officeDocument/2006/relationships/hyperlink" Target="http://www.sec.gov/Archives/edgar/data/92416/000169211519000045/swxexhibit1002.htm" TargetMode="External"/><Relationship Id="rId99" Type="http://schemas.openxmlformats.org/officeDocument/2006/relationships/hyperlink" Target="http://www.sec.gov/Archives/edgar/data/92416/000169211519000045/swxexhibit1003.htm" TargetMode="External"/><Relationship Id="rId100" Type="http://schemas.openxmlformats.org/officeDocument/2006/relationships/hyperlink" Target="http://www.sec.gov/Archives/edgar/data/92416/000169211520000032/swxexhibit100133120.htm" TargetMode="External"/><Relationship Id="rId101" Type="http://schemas.openxmlformats.org/officeDocument/2006/relationships/hyperlink" Target="http://www.sec.gov/Archives/edgar/data/92416/000009241616000112/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2021-02-25T16:29:24Z</dcterms:created>
  <dcterms:modified xsi:type="dcterms:W3CDTF">2021-02-25T16:29:24Z</dcterms:modified>
</cp:coreProperties>
</file>