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88"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period ended December 31,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2"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20"/>
              <w:spacing w:after="0"/>
              <w:rPr>
                <w:sz w:val="20"/>
                <w:szCs w:val="20"/>
                <w:color w:val="auto"/>
              </w:rPr>
            </w:pPr>
            <w:r>
              <w:rPr>
                <w:rFonts w:ascii="Arial" w:cs="Arial" w:eastAsia="Arial" w:hAnsi="Arial"/>
                <w:sz w:val="14"/>
                <w:szCs w:val="14"/>
                <w:i w:val="1"/>
                <w:iCs w:val="1"/>
                <w:color w:val="auto"/>
              </w:rPr>
              <w:t>Commission</w:t>
            </w:r>
          </w:p>
        </w:tc>
        <w:tc>
          <w:tcPr>
            <w:tcW w:w="5220" w:type="dxa"/>
            <w:vAlign w:val="bottom"/>
            <w:gridSpan w:val="3"/>
          </w:tcPr>
          <w:p>
            <w:pPr>
              <w:ind w:left="1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2480" w:type="dxa"/>
            <w:vAlign w:val="bottom"/>
          </w:tcPr>
          <w:p>
            <w:pPr>
              <w:jc w:val="center"/>
              <w:ind w:left="644"/>
              <w:spacing w:after="0"/>
              <w:rPr>
                <w:sz w:val="20"/>
                <w:szCs w:val="20"/>
                <w:color w:val="auto"/>
              </w:rPr>
            </w:pPr>
            <w:r>
              <w:rPr>
                <w:rFonts w:ascii="Arial" w:cs="Arial" w:eastAsia="Arial" w:hAnsi="Arial"/>
                <w:sz w:val="14"/>
                <w:szCs w:val="14"/>
                <w:i w:val="1"/>
                <w:iCs w:val="1"/>
                <w:color w:val="auto"/>
                <w:w w:val="91"/>
              </w:rPr>
              <w:t>State of</w:t>
            </w:r>
          </w:p>
        </w:tc>
        <w:tc>
          <w:tcPr>
            <w:tcW w:w="2420" w:type="dxa"/>
            <w:vAlign w:val="bottom"/>
          </w:tcPr>
          <w:p>
            <w:pPr>
              <w:jc w:val="center"/>
              <w:ind w:left="64"/>
              <w:spacing w:after="0"/>
              <w:rPr>
                <w:sz w:val="20"/>
                <w:szCs w:val="20"/>
                <w:color w:val="auto"/>
              </w:rPr>
            </w:pPr>
            <w:r>
              <w:rPr>
                <w:rFonts w:ascii="Arial" w:cs="Arial" w:eastAsia="Arial" w:hAnsi="Arial"/>
                <w:sz w:val="14"/>
                <w:szCs w:val="14"/>
                <w:i w:val="1"/>
                <w:iCs w:val="1"/>
                <w:color w:val="auto"/>
                <w:w w:val="91"/>
              </w:rPr>
              <w:t>I.R.S.</w:t>
            </w:r>
          </w:p>
        </w:tc>
      </w:tr>
      <w:tr>
        <w:trPr>
          <w:trHeight w:val="188"/>
        </w:trPr>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File Number</w:t>
            </w:r>
          </w:p>
        </w:tc>
        <w:tc>
          <w:tcPr>
            <w:tcW w:w="3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20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center"/>
              <w:ind w:left="624"/>
              <w:spacing w:after="0"/>
              <w:rPr>
                <w:sz w:val="20"/>
                <w:szCs w:val="20"/>
                <w:color w:val="auto"/>
              </w:rPr>
            </w:pPr>
            <w:r>
              <w:rPr>
                <w:rFonts w:ascii="Arial" w:cs="Arial" w:eastAsia="Arial" w:hAnsi="Arial"/>
                <w:sz w:val="14"/>
                <w:szCs w:val="14"/>
                <w:i w:val="1"/>
                <w:iCs w:val="1"/>
                <w:color w:val="auto"/>
              </w:rPr>
              <w:t>Incorporation</w:t>
            </w:r>
          </w:p>
        </w:tc>
        <w:tc>
          <w:tcPr>
            <w:tcW w:w="242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9"/>
        </w:trPr>
        <w:tc>
          <w:tcPr>
            <w:tcW w:w="1120" w:type="dxa"/>
            <w:vAlign w:val="bottom"/>
          </w:tcPr>
          <w:p>
            <w:pPr>
              <w:jc w:val="right"/>
              <w:ind w:right="144"/>
              <w:spacing w:after="0"/>
              <w:rPr>
                <w:sz w:val="20"/>
                <w:szCs w:val="20"/>
                <w:color w:val="auto"/>
              </w:rPr>
            </w:pPr>
            <w:r>
              <w:rPr>
                <w:rFonts w:ascii="Arial" w:cs="Arial" w:eastAsia="Arial" w:hAnsi="Arial"/>
                <w:sz w:val="16"/>
                <w:szCs w:val="16"/>
                <w:color w:val="auto"/>
              </w:rPr>
              <w:t>001-37976</w:t>
            </w:r>
          </w:p>
        </w:tc>
        <w:tc>
          <w:tcPr>
            <w:tcW w:w="2300" w:type="dxa"/>
            <w:vAlign w:val="bottom"/>
          </w:tcPr>
          <w:p>
            <w:pPr>
              <w:ind w:left="180"/>
              <w:spacing w:after="0"/>
              <w:rPr>
                <w:sz w:val="20"/>
                <w:szCs w:val="20"/>
                <w:color w:val="auto"/>
              </w:rPr>
            </w:pPr>
            <w:r>
              <w:rPr>
                <w:rFonts w:ascii="Arial" w:cs="Arial" w:eastAsia="Arial" w:hAnsi="Arial"/>
                <w:sz w:val="16"/>
                <w:szCs w:val="16"/>
                <w:color w:val="auto"/>
              </w:rPr>
              <w:t>Southwest Gas Holdings, Inc.</w:t>
            </w: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jc w:val="center"/>
              <w:ind w:left="624"/>
              <w:spacing w:after="0"/>
              <w:rPr>
                <w:sz w:val="20"/>
                <w:szCs w:val="20"/>
                <w:color w:val="auto"/>
              </w:rPr>
            </w:pPr>
            <w:r>
              <w:rPr>
                <w:rFonts w:ascii="Arial" w:cs="Arial" w:eastAsia="Arial" w:hAnsi="Arial"/>
                <w:sz w:val="16"/>
                <w:szCs w:val="16"/>
                <w:color w:val="auto"/>
                <w:w w:val="91"/>
              </w:rPr>
              <w:t>Delaware</w:t>
            </w:r>
          </w:p>
        </w:tc>
        <w:tc>
          <w:tcPr>
            <w:tcW w:w="2420" w:type="dxa"/>
            <w:vAlign w:val="bottom"/>
          </w:tcPr>
          <w:p>
            <w:pPr>
              <w:jc w:val="center"/>
              <w:ind w:left="84"/>
              <w:spacing w:after="0"/>
              <w:rPr>
                <w:sz w:val="20"/>
                <w:szCs w:val="20"/>
                <w:color w:val="auto"/>
              </w:rPr>
            </w:pPr>
            <w:r>
              <w:rPr>
                <w:rFonts w:ascii="Arial" w:cs="Arial" w:eastAsia="Arial" w:hAnsi="Arial"/>
                <w:sz w:val="16"/>
                <w:szCs w:val="16"/>
                <w:color w:val="auto"/>
                <w:w w:val="91"/>
              </w:rPr>
              <w:t>81-3881866</w:t>
            </w:r>
          </w:p>
        </w:tc>
      </w:tr>
      <w:tr>
        <w:trPr>
          <w:trHeight w:val="216"/>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6"/>
                <w:szCs w:val="16"/>
                <w:color w:val="auto"/>
              </w:rPr>
              <w:t>8360 S. Durango Dr.</w:t>
            </w: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6"/>
                <w:szCs w:val="16"/>
                <w:color w:val="auto"/>
              </w:rPr>
              <w:t>Post Office Box 98510</w:t>
            </w: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6"/>
                <w:szCs w:val="16"/>
                <w:color w:val="auto"/>
              </w:rPr>
              <w:t>Las Vegas,</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Nevada</w:t>
            </w:r>
          </w:p>
        </w:tc>
        <w:tc>
          <w:tcPr>
            <w:tcW w:w="2000" w:type="dxa"/>
            <w:vAlign w:val="bottom"/>
          </w:tcPr>
          <w:p>
            <w:pPr>
              <w:ind w:left="20"/>
              <w:spacing w:after="0"/>
              <w:rPr>
                <w:sz w:val="20"/>
                <w:szCs w:val="20"/>
                <w:color w:val="auto"/>
              </w:rPr>
            </w:pPr>
            <w:r>
              <w:rPr>
                <w:rFonts w:ascii="Arial" w:cs="Arial" w:eastAsia="Arial" w:hAnsi="Arial"/>
                <w:sz w:val="16"/>
                <w:szCs w:val="16"/>
                <w:color w:val="auto"/>
              </w:rPr>
              <w:t>89193-8510</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2000" w:type="dxa"/>
            <w:vAlign w:val="bottom"/>
          </w:tcPr>
          <w:p>
            <w:pPr>
              <w:ind w:left="20"/>
              <w:spacing w:after="0"/>
              <w:rPr>
                <w:sz w:val="20"/>
                <w:szCs w:val="20"/>
                <w:color w:val="auto"/>
              </w:rPr>
            </w:pPr>
            <w:r>
              <w:rPr>
                <w:rFonts w:ascii="Arial" w:cs="Arial" w:eastAsia="Arial" w:hAnsi="Arial"/>
                <w:sz w:val="16"/>
                <w:szCs w:val="16"/>
                <w:color w:val="auto"/>
              </w:rPr>
              <w:t>876-7237</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14"/>
        </w:trPr>
        <w:tc>
          <w:tcPr>
            <w:tcW w:w="11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r>
      <w:tr>
        <w:trPr>
          <w:trHeight w:val="204"/>
        </w:trPr>
        <w:tc>
          <w:tcPr>
            <w:tcW w:w="1120" w:type="dxa"/>
            <w:vAlign w:val="bottom"/>
          </w:tcPr>
          <w:p>
            <w:pPr>
              <w:jc w:val="right"/>
              <w:ind w:right="264"/>
              <w:spacing w:after="0"/>
              <w:rPr>
                <w:sz w:val="20"/>
                <w:szCs w:val="20"/>
                <w:color w:val="auto"/>
              </w:rPr>
            </w:pPr>
            <w:r>
              <w:rPr>
                <w:rFonts w:ascii="Arial" w:cs="Arial" w:eastAsia="Arial" w:hAnsi="Arial"/>
                <w:sz w:val="16"/>
                <w:szCs w:val="16"/>
                <w:color w:val="auto"/>
              </w:rPr>
              <w:t>1-7850</w:t>
            </w:r>
          </w:p>
        </w:tc>
        <w:tc>
          <w:tcPr>
            <w:tcW w:w="2300" w:type="dxa"/>
            <w:vAlign w:val="bottom"/>
          </w:tcPr>
          <w:p>
            <w:pPr>
              <w:ind w:left="180"/>
              <w:spacing w:after="0"/>
              <w:rPr>
                <w:sz w:val="20"/>
                <w:szCs w:val="20"/>
                <w:color w:val="auto"/>
              </w:rPr>
            </w:pPr>
            <w:r>
              <w:rPr>
                <w:rFonts w:ascii="Arial" w:cs="Arial" w:eastAsia="Arial" w:hAnsi="Arial"/>
                <w:sz w:val="16"/>
                <w:szCs w:val="16"/>
                <w:color w:val="auto"/>
              </w:rPr>
              <w:t>Southwest Gas Corporation</w:t>
            </w:r>
          </w:p>
        </w:tc>
        <w:tc>
          <w:tcPr>
            <w:tcW w:w="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80" w:type="dxa"/>
            <w:vAlign w:val="bottom"/>
          </w:tcPr>
          <w:p>
            <w:pPr>
              <w:jc w:val="center"/>
              <w:ind w:left="624"/>
              <w:spacing w:after="0"/>
              <w:rPr>
                <w:sz w:val="20"/>
                <w:szCs w:val="20"/>
                <w:color w:val="auto"/>
              </w:rPr>
            </w:pPr>
            <w:r>
              <w:rPr>
                <w:rFonts w:ascii="Arial" w:cs="Arial" w:eastAsia="Arial" w:hAnsi="Arial"/>
                <w:sz w:val="16"/>
                <w:szCs w:val="16"/>
                <w:color w:val="auto"/>
                <w:w w:val="97"/>
              </w:rPr>
              <w:t>California</w:t>
            </w:r>
          </w:p>
        </w:tc>
        <w:tc>
          <w:tcPr>
            <w:tcW w:w="2420" w:type="dxa"/>
            <w:vAlign w:val="bottom"/>
          </w:tcPr>
          <w:p>
            <w:pPr>
              <w:jc w:val="center"/>
              <w:ind w:left="84"/>
              <w:spacing w:after="0"/>
              <w:rPr>
                <w:sz w:val="20"/>
                <w:szCs w:val="20"/>
                <w:color w:val="auto"/>
              </w:rPr>
            </w:pPr>
            <w:r>
              <w:rPr>
                <w:rFonts w:ascii="Arial" w:cs="Arial" w:eastAsia="Arial" w:hAnsi="Arial"/>
                <w:sz w:val="16"/>
                <w:szCs w:val="16"/>
                <w:color w:val="auto"/>
                <w:w w:val="91"/>
              </w:rPr>
              <w:t>88-0085720</w:t>
            </w:r>
          </w:p>
        </w:tc>
      </w:tr>
      <w:tr>
        <w:trPr>
          <w:trHeight w:val="216"/>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6"/>
                <w:szCs w:val="16"/>
                <w:color w:val="auto"/>
              </w:rPr>
              <w:t>8360 S. Durango Dr.</w:t>
            </w: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6"/>
                <w:szCs w:val="16"/>
                <w:color w:val="auto"/>
              </w:rPr>
              <w:t>Post Office Box 98510</w:t>
            </w: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6"/>
                <w:szCs w:val="16"/>
                <w:color w:val="auto"/>
              </w:rPr>
              <w:t>Las Vegas,</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Nevada</w:t>
            </w:r>
          </w:p>
        </w:tc>
        <w:tc>
          <w:tcPr>
            <w:tcW w:w="2000" w:type="dxa"/>
            <w:vAlign w:val="bottom"/>
          </w:tcPr>
          <w:p>
            <w:pPr>
              <w:ind w:left="20"/>
              <w:spacing w:after="0"/>
              <w:rPr>
                <w:sz w:val="20"/>
                <w:szCs w:val="20"/>
                <w:color w:val="auto"/>
              </w:rPr>
            </w:pPr>
            <w:r>
              <w:rPr>
                <w:rFonts w:ascii="Arial" w:cs="Arial" w:eastAsia="Arial" w:hAnsi="Arial"/>
                <w:sz w:val="16"/>
                <w:szCs w:val="16"/>
                <w:color w:val="auto"/>
              </w:rPr>
              <w:t>89193-8510</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2000" w:type="dxa"/>
            <w:vAlign w:val="bottom"/>
          </w:tcPr>
          <w:p>
            <w:pPr>
              <w:ind w:left="20"/>
              <w:spacing w:after="0"/>
              <w:rPr>
                <w:sz w:val="20"/>
                <w:szCs w:val="20"/>
                <w:color w:val="auto"/>
              </w:rPr>
            </w:pPr>
            <w:r>
              <w:rPr>
                <w:rFonts w:ascii="Arial" w:cs="Arial" w:eastAsia="Arial" w:hAnsi="Arial"/>
                <w:sz w:val="16"/>
                <w:szCs w:val="16"/>
                <w:color w:val="auto"/>
              </w:rPr>
              <w:t>876-7237</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87"/>
              </w:rPr>
              <w:t>Title of each class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940" w:type="dxa"/>
            <w:vAlign w:val="bottom"/>
          </w:tcPr>
          <w:p>
            <w:pPr>
              <w:jc w:val="center"/>
              <w:ind w:left="99"/>
              <w:spacing w:after="0"/>
              <w:rPr>
                <w:sz w:val="20"/>
                <w:szCs w:val="20"/>
                <w:color w:val="auto"/>
              </w:rPr>
            </w:pPr>
            <w:r>
              <w:rPr>
                <w:rFonts w:ascii="Arial" w:cs="Arial" w:eastAsia="Arial" w:hAnsi="Arial"/>
                <w:sz w:val="16"/>
                <w:szCs w:val="16"/>
                <w:color w:val="auto"/>
                <w:w w:val="92"/>
              </w:rPr>
              <w:t>Southwest Gas Holdings, Inc. Common Stock, $1 par value</w:t>
            </w:r>
          </w:p>
        </w:tc>
        <w:tc>
          <w:tcPr>
            <w:tcW w:w="208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4200" w:type="dxa"/>
            <w:vAlign w:val="bottom"/>
          </w:tcPr>
          <w:p>
            <w:pPr>
              <w:jc w:val="center"/>
              <w:ind w:right="139"/>
              <w:spacing w:after="0"/>
              <w:rPr>
                <w:sz w:val="20"/>
                <w:szCs w:val="20"/>
                <w:color w:val="auto"/>
              </w:rPr>
            </w:pPr>
            <w:r>
              <w:rPr>
                <w:rFonts w:ascii="Arial" w:cs="Arial" w:eastAsia="Arial" w:hAnsi="Arial"/>
                <w:sz w:val="16"/>
                <w:szCs w:val="16"/>
                <w:color w:val="auto"/>
                <w:w w:val="91"/>
              </w:rPr>
              <w:t>New York Stock Exchange</w:t>
            </w:r>
          </w:p>
        </w:tc>
      </w:tr>
    </w:tbl>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64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5"/>
              </w:rPr>
              <w:t xml:space="preserve">No </w:t>
            </w:r>
            <w:r>
              <w:rPr>
                <w:rFonts w:ascii="MS PGothic" w:cs="MS PGothic" w:eastAsia="MS PGothic" w:hAnsi="MS PGothic"/>
                <w:sz w:val="18"/>
                <w:szCs w:val="18"/>
                <w:color w:val="auto"/>
                <w:highlight w:val="black"/>
                <w:w w:val="85"/>
              </w:rPr>
              <w:t>☐</w:t>
            </w:r>
          </w:p>
        </w:tc>
        <w:tc>
          <w:tcPr>
            <w:tcW w:w="0" w:type="dxa"/>
            <w:vAlign w:val="bottom"/>
          </w:tcPr>
          <w:p>
            <w:pPr>
              <w:spacing w:after="0"/>
              <w:rPr>
                <w:sz w:val="1"/>
                <w:szCs w:val="1"/>
                <w:color w:val="auto"/>
              </w:rPr>
            </w:pPr>
          </w:p>
        </w:tc>
      </w:tr>
      <w:tr>
        <w:trPr>
          <w:trHeight w:val="262"/>
        </w:trPr>
        <w:tc>
          <w:tcPr>
            <w:tcW w:w="6740" w:type="dxa"/>
            <w:vAlign w:val="bottom"/>
          </w:tcPr>
          <w:p>
            <w:pPr>
              <w:ind w:left="60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Arial" w:cs="Arial" w:eastAsia="Arial" w:hAnsi="Arial"/>
                <w:sz w:val="18"/>
                <w:szCs w:val="18"/>
                <w:color w:val="auto"/>
              </w:rPr>
              <w:t>Southwest Gas Corporation</w:t>
            </w:r>
          </w:p>
        </w:tc>
        <w:tc>
          <w:tcPr>
            <w:tcW w:w="64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5"/>
              </w:rPr>
              <w:t xml:space="preserve">No </w:t>
            </w:r>
            <w:r>
              <w:rPr>
                <w:rFonts w:ascii="MS PGothic" w:cs="MS PGothic" w:eastAsia="MS PGothic" w:hAnsi="MS PGothic"/>
                <w:sz w:val="18"/>
                <w:szCs w:val="18"/>
                <w:color w:val="auto"/>
                <w:highlight w:val="black"/>
                <w:w w:val="85"/>
              </w:rPr>
              <w:t>☒</w:t>
            </w:r>
          </w:p>
        </w:tc>
        <w:tc>
          <w:tcPr>
            <w:tcW w:w="0" w:type="dxa"/>
            <w:vAlign w:val="bottom"/>
          </w:tcPr>
          <w:p>
            <w:pPr>
              <w:spacing w:after="0"/>
              <w:rPr>
                <w:sz w:val="1"/>
                <w:szCs w:val="1"/>
                <w:color w:val="auto"/>
              </w:rPr>
            </w:pPr>
          </w:p>
        </w:tc>
      </w:tr>
      <w:tr>
        <w:trPr>
          <w:trHeight w:val="283"/>
        </w:trPr>
        <w:tc>
          <w:tcPr>
            <w:tcW w:w="6740" w:type="dxa"/>
            <w:vAlign w:val="bottom"/>
          </w:tcPr>
          <w:p>
            <w:pPr>
              <w:ind w:left="60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line="207" w:lineRule="exact"/>
        <w:tabs>
          <w:tab w:leader="none" w:pos="8880" w:val="left"/>
          <w:tab w:leader="none" w:pos="9580" w:val="left"/>
        </w:tabs>
        <w:rPr>
          <w:sz w:val="20"/>
          <w:szCs w:val="20"/>
          <w:color w:val="auto"/>
        </w:rPr>
      </w:pPr>
      <w:r>
        <w:rPr>
          <w:rFonts w:ascii="Arial" w:cs="Arial" w:eastAsia="Arial" w:hAnsi="Arial"/>
          <w:sz w:val="17"/>
          <w:szCs w:val="17"/>
          <w:color w:val="auto"/>
        </w:rPr>
        <w:t>Indicate by check mark if each registrant is not required to file reports pursuant to Section 13 or Section 15(d) of the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w w:val="99"/>
              </w:rPr>
              <w:t>Southwest Gas Holdings, Inc.:</w:t>
            </w:r>
          </w:p>
        </w:tc>
        <w:tc>
          <w:tcPr>
            <w:tcW w:w="30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3"/>
        </w:trPr>
        <w:tc>
          <w:tcPr>
            <w:tcW w:w="24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24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244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59"/>
        </w:trPr>
        <w:tc>
          <w:tcPr>
            <w:tcW w:w="24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Southwest Gas Corporation:</w:t>
            </w:r>
          </w:p>
        </w:tc>
        <w:tc>
          <w:tcPr>
            <w:tcW w:w="3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0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7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market value of the voting and non-voting common stock held by nonaffiliates of the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$5,834,690,207 as of June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shares outstanding of Southwest Gas Holdings, Inc.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 Par Value, 67,146,347 shares as of February 15, 2023</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February 15, 2023.</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(I)(1)(a) and (b) OF FORM 10-K AND IS THEREFORE FILING THIS REPORT WITH THE REDUCED DISCLOSURE FORMAT AS PERMITTED BY GENERAL INSTRUCTION I(2).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Description</w:t>
            </w:r>
          </w:p>
        </w:tc>
        <w:tc>
          <w:tcPr>
            <w:tcW w:w="5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Part Into Which Incorporated</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900" w:type="dxa"/>
            <w:vAlign w:val="bottom"/>
          </w:tcPr>
          <w:p>
            <w:pPr>
              <w:jc w:val="center"/>
              <w:ind w:right="295"/>
              <w:spacing w:after="0"/>
              <w:rPr>
                <w:sz w:val="20"/>
                <w:szCs w:val="20"/>
                <w:color w:val="auto"/>
              </w:rPr>
            </w:pPr>
            <w:r>
              <w:rPr>
                <w:rFonts w:ascii="Arial" w:cs="Arial" w:eastAsia="Arial" w:hAnsi="Arial"/>
                <w:sz w:val="18"/>
                <w:szCs w:val="18"/>
                <w:color w:val="auto"/>
                <w:w w:val="90"/>
              </w:rPr>
              <w:t>Annual Report to Stockholders for the Year Ended</w:t>
            </w: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Parts I, II, and IV</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900" w:type="dxa"/>
            <w:vAlign w:val="bottom"/>
          </w:tcPr>
          <w:p>
            <w:pPr>
              <w:jc w:val="center"/>
              <w:ind w:right="255"/>
              <w:spacing w:after="0" w:line="189" w:lineRule="exact"/>
              <w:rPr>
                <w:sz w:val="20"/>
                <w:szCs w:val="20"/>
                <w:color w:val="auto"/>
              </w:rPr>
            </w:pPr>
            <w:r>
              <w:rPr>
                <w:rFonts w:ascii="Arial" w:cs="Arial" w:eastAsia="Arial" w:hAnsi="Arial"/>
                <w:sz w:val="18"/>
                <w:szCs w:val="18"/>
                <w:color w:val="auto"/>
                <w:w w:val="88"/>
              </w:rPr>
              <w:t>December 31, 2022</w:t>
            </w:r>
          </w:p>
        </w:tc>
        <w:tc>
          <w:tcPr>
            <w:tcW w:w="53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7"/>
              </w:rPr>
              <w:t>Part III</w:t>
            </w:r>
          </w:p>
        </w:tc>
        <w:tc>
          <w:tcPr>
            <w:tcW w:w="0" w:type="dxa"/>
            <w:vAlign w:val="bottom"/>
          </w:tcPr>
          <w:p>
            <w:pPr>
              <w:spacing w:after="0"/>
              <w:rPr>
                <w:sz w:val="1"/>
                <w:szCs w:val="1"/>
                <w:color w:val="auto"/>
              </w:rPr>
            </w:pPr>
          </w:p>
        </w:tc>
      </w:tr>
      <w:tr>
        <w:trPr>
          <w:trHeight w:val="230"/>
        </w:trPr>
        <w:tc>
          <w:tcPr>
            <w:tcW w:w="5900" w:type="dxa"/>
            <w:vAlign w:val="bottom"/>
          </w:tcPr>
          <w:p>
            <w:pPr>
              <w:jc w:val="center"/>
              <w:ind w:right="255"/>
              <w:spacing w:after="0"/>
              <w:rPr>
                <w:sz w:val="20"/>
                <w:szCs w:val="20"/>
                <w:color w:val="auto"/>
              </w:rPr>
            </w:pPr>
            <w:r>
              <w:rPr>
                <w:rFonts w:ascii="Arial" w:cs="Arial" w:eastAsia="Arial" w:hAnsi="Arial"/>
                <w:sz w:val="18"/>
                <w:szCs w:val="18"/>
                <w:color w:val="auto"/>
                <w:w w:val="89"/>
              </w:rPr>
              <w:t>2023 Proxy Statement</w:t>
            </w:r>
          </w:p>
        </w:tc>
        <w:tc>
          <w:tcPr>
            <w:tcW w:w="5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59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40" w:type="dxa"/>
            <w:vAlign w:val="bottom"/>
            <w:gridSpan w:val="1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80" w:type="dxa"/>
            <w:vAlign w:val="bottom"/>
            <w:gridSpan w:val="7"/>
          </w:tcPr>
          <w:p>
            <w:pPr>
              <w:spacing w:after="0"/>
              <w:rPr>
                <w:sz w:val="20"/>
                <w:szCs w:val="20"/>
                <w:color w:val="auto"/>
              </w:rPr>
            </w:pPr>
            <w:r>
              <w:rPr>
                <w:rFonts w:ascii="Arial" w:cs="Arial" w:eastAsia="Arial" w:hAnsi="Arial"/>
                <w:sz w:val="18"/>
                <w:szCs w:val="18"/>
                <w:b w:val="1"/>
                <w:bCs w:val="1"/>
                <w:color w:val="0000FF"/>
              </w:rPr>
              <w:t>FILING FORMAT</w:t>
            </w:r>
          </w:p>
        </w:tc>
        <w:tc>
          <w:tcPr>
            <w:tcW w:w="9540" w:type="dxa"/>
            <w:vAlign w:val="bottom"/>
            <w:gridSpan w:val="37"/>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0000FF"/>
                <w:w w:val="98"/>
              </w:rPr>
              <w:t>PART I</w:t>
            </w:r>
          </w:p>
        </w:tc>
        <w:tc>
          <w:tcPr>
            <w:tcW w:w="76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gridSpan w:val="5"/>
          </w:tcPr>
          <w:p>
            <w:pPr>
              <w:spacing w:after="0"/>
              <w:rPr>
                <w:sz w:val="22"/>
                <w:szCs w:val="22"/>
                <w:color w:val="auto"/>
              </w:rPr>
            </w:pP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BUSINESS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gridSpan w:val="37"/>
          </w:tcPr>
          <w:p>
            <w:pPr>
              <w:spacing w:after="0"/>
              <w:rPr>
                <w:sz w:val="20"/>
                <w:szCs w:val="20"/>
                <w:color w:val="auto"/>
              </w:rPr>
            </w:pPr>
            <w:r>
              <w:rPr>
                <w:rFonts w:ascii="Arial" w:cs="Arial" w:eastAsia="Arial" w:hAnsi="Arial"/>
                <w:sz w:val="18"/>
                <w:szCs w:val="18"/>
                <w:color w:val="3051F2"/>
              </w:rPr>
              <w:t>NATURAL GAS DISTRIBUTION</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20" w:type="dxa"/>
            <w:vAlign w:val="bottom"/>
            <w:gridSpan w:val="2"/>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8"/>
          </w:tcPr>
          <w:p>
            <w:pPr>
              <w:spacing w:after="0"/>
              <w:rPr>
                <w:sz w:val="20"/>
                <w:szCs w:val="20"/>
                <w:color w:val="auto"/>
              </w:rPr>
            </w:pPr>
            <w:r>
              <w:rPr>
                <w:rFonts w:ascii="Arial" w:cs="Arial" w:eastAsia="Arial" w:hAnsi="Arial"/>
                <w:sz w:val="18"/>
                <w:szCs w:val="18"/>
                <w:color w:val="0000FF"/>
                <w:w w:val="90"/>
              </w:rPr>
              <w:t>General Description</w:t>
            </w:r>
          </w:p>
        </w:tc>
        <w:tc>
          <w:tcPr>
            <w:tcW w:w="880" w:type="dxa"/>
            <w:vAlign w:val="bottom"/>
            <w:gridSpan w:val="9"/>
          </w:tcPr>
          <w:p>
            <w:pPr>
              <w:spacing w:after="0"/>
              <w:rPr>
                <w:sz w:val="18"/>
                <w:szCs w:val="18"/>
                <w:color w:val="auto"/>
              </w:rPr>
            </w:pPr>
          </w:p>
        </w:tc>
        <w:tc>
          <w:tcPr>
            <w:tcW w:w="7000" w:type="dxa"/>
            <w:vAlign w:val="bottom"/>
            <w:gridSpan w:val="18"/>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9"/>
          </w:tcPr>
          <w:p>
            <w:pPr>
              <w:spacing w:after="0"/>
              <w:rPr>
                <w:sz w:val="20"/>
                <w:szCs w:val="20"/>
                <w:color w:val="auto"/>
              </w:rPr>
            </w:pPr>
            <w:r>
              <w:rPr>
                <w:rFonts w:ascii="Arial" w:cs="Arial" w:eastAsia="Arial" w:hAnsi="Arial"/>
                <w:sz w:val="18"/>
                <w:szCs w:val="18"/>
                <w:color w:val="0000FF"/>
                <w:w w:val="87"/>
              </w:rPr>
              <w:t>Rates and Regulation</w:t>
            </w:r>
          </w:p>
        </w:tc>
        <w:tc>
          <w:tcPr>
            <w:tcW w:w="7800" w:type="dxa"/>
            <w:vAlign w:val="bottom"/>
            <w:gridSpan w:val="26"/>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FF"/>
                <w:w w:val="91"/>
              </w:rPr>
              <w:t>Competition</w:t>
            </w:r>
          </w:p>
        </w:tc>
        <w:tc>
          <w:tcPr>
            <w:tcW w:w="640" w:type="dxa"/>
            <w:vAlign w:val="bottom"/>
            <w:gridSpan w:val="6"/>
          </w:tcPr>
          <w:p>
            <w:pPr>
              <w:spacing w:after="0"/>
              <w:rPr>
                <w:sz w:val="18"/>
                <w:szCs w:val="18"/>
                <w:color w:val="auto"/>
              </w:rPr>
            </w:pPr>
          </w:p>
        </w:tc>
        <w:tc>
          <w:tcPr>
            <w:tcW w:w="7800" w:type="dxa"/>
            <w:vAlign w:val="bottom"/>
            <w:gridSpan w:val="26"/>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40" w:type="dxa"/>
            <w:vAlign w:val="bottom"/>
            <w:gridSpan w:val="35"/>
          </w:tcPr>
          <w:p>
            <w:pPr>
              <w:spacing w:after="0"/>
              <w:rPr>
                <w:sz w:val="20"/>
                <w:szCs w:val="20"/>
                <w:color w:val="auto"/>
              </w:rPr>
            </w:pPr>
            <w:r>
              <w:rPr>
                <w:rFonts w:ascii="Arial" w:cs="Arial" w:eastAsia="Arial" w:hAnsi="Arial"/>
                <w:sz w:val="18"/>
                <w:szCs w:val="18"/>
                <w:color w:val="0000FF"/>
              </w:rPr>
              <w:t>Environmental Matters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gridSpan w:val="37"/>
          </w:tcPr>
          <w:p>
            <w:pPr>
              <w:spacing w:after="0"/>
              <w:rPr>
                <w:sz w:val="20"/>
                <w:szCs w:val="20"/>
                <w:color w:val="auto"/>
              </w:rPr>
            </w:pPr>
            <w:r>
              <w:rPr>
                <w:rFonts w:ascii="Arial" w:cs="Arial" w:eastAsia="Arial" w:hAnsi="Arial"/>
                <w:sz w:val="18"/>
                <w:szCs w:val="18"/>
                <w:color w:val="0000FF"/>
              </w:rPr>
              <w:t>UTILITY INFRASTRUCTURE SERVICES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3"/>
          </w:tcPr>
          <w:p>
            <w:pPr>
              <w:spacing w:after="0"/>
              <w:rPr>
                <w:sz w:val="20"/>
                <w:szCs w:val="20"/>
                <w:color w:val="auto"/>
              </w:rPr>
            </w:pPr>
            <w:r>
              <w:rPr>
                <w:rFonts w:ascii="Arial" w:cs="Arial" w:eastAsia="Arial" w:hAnsi="Arial"/>
                <w:sz w:val="18"/>
                <w:szCs w:val="18"/>
                <w:color w:val="0000FF"/>
              </w:rPr>
              <w:t>PIPELINE AND STORAGE</w:t>
            </w:r>
          </w:p>
        </w:tc>
        <w:tc>
          <w:tcPr>
            <w:tcW w:w="6320" w:type="dxa"/>
            <w:vAlign w:val="bottom"/>
            <w:gridSpan w:val="14"/>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15"/>
          </w:tcPr>
          <w:p>
            <w:pPr>
              <w:spacing w:after="0"/>
              <w:rPr>
                <w:sz w:val="20"/>
                <w:szCs w:val="20"/>
                <w:color w:val="auto"/>
              </w:rPr>
            </w:pPr>
            <w:r>
              <w:rPr>
                <w:rFonts w:ascii="Arial" w:cs="Arial" w:eastAsia="Arial" w:hAnsi="Arial"/>
                <w:sz w:val="18"/>
                <w:szCs w:val="18"/>
                <w:color w:val="0E32E1"/>
              </w:rPr>
              <w:t>HUMAN CAPITAL</w:t>
            </w:r>
          </w:p>
        </w:tc>
        <w:tc>
          <w:tcPr>
            <w:tcW w:w="7460" w:type="dxa"/>
            <w:vAlign w:val="bottom"/>
            <w:gridSpan w:val="2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880" w:type="dxa"/>
            <w:vAlign w:val="bottom"/>
            <w:gridSpan w:val="3"/>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RISK FACTORS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9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b w:val="1"/>
                <w:bCs w:val="1"/>
                <w:color w:val="0000FF"/>
                <w:w w:val="98"/>
              </w:rPr>
              <w:t>UNRESOLVED STAFF COMMENTS</w:t>
            </w:r>
          </w:p>
        </w:tc>
        <w:tc>
          <w:tcPr>
            <w:tcW w:w="670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11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6"/>
              </w:rPr>
              <w:t>PROPERTIES</w:t>
            </w:r>
          </w:p>
        </w:tc>
        <w:tc>
          <w:tcPr>
            <w:tcW w:w="8520" w:type="dxa"/>
            <w:vAlign w:val="bottom"/>
            <w:gridSpan w:val="3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2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99"/>
              </w:rPr>
              <w:t>LEGAL PROCEEDINGS</w:t>
            </w:r>
          </w:p>
        </w:tc>
        <w:tc>
          <w:tcPr>
            <w:tcW w:w="7660" w:type="dxa"/>
            <w:vAlign w:val="bottom"/>
            <w:gridSpan w:val="2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25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MINE SAFETY DISCLOSURES</w:t>
            </w:r>
          </w:p>
        </w:tc>
        <w:tc>
          <w:tcPr>
            <w:tcW w:w="7100" w:type="dxa"/>
            <w:vAlign w:val="bottom"/>
            <w:gridSpan w:val="2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4A.</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EXECUTIVE OFFICERS OF THE REGISTRANT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700" w:type="dxa"/>
            <w:vAlign w:val="bottom"/>
            <w:gridSpan w:val="4"/>
          </w:tcPr>
          <w:p>
            <w:pPr>
              <w:spacing w:after="0"/>
              <w:rPr>
                <w:sz w:val="18"/>
                <w:szCs w:val="18"/>
                <w:color w:val="auto"/>
              </w:rPr>
            </w:pP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MARKET FOR REGISTRANT’S COMMON EQUITY, RELATED STOCKHOLDER MATTERS</w:t>
            </w:r>
          </w:p>
        </w:tc>
        <w:tc>
          <w:tcPr>
            <w:tcW w:w="180" w:type="dxa"/>
            <w:vAlign w:val="bottom"/>
            <w:tcBorders>
              <w:top w:val="single" w:sz="8" w:color="0000FF"/>
            </w:tcBorders>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29"/>
          </w:tcPr>
          <w:p>
            <w:pPr>
              <w:spacing w:after="0" w:line="142" w:lineRule="exact"/>
              <w:rPr>
                <w:sz w:val="20"/>
                <w:szCs w:val="20"/>
                <w:color w:val="auto"/>
              </w:rPr>
            </w:pPr>
            <w:r>
              <w:rPr>
                <w:rFonts w:ascii="Arial" w:cs="Arial" w:eastAsia="Arial" w:hAnsi="Arial"/>
                <w:sz w:val="16"/>
                <w:szCs w:val="16"/>
                <w:b w:val="1"/>
                <w:bCs w:val="1"/>
                <w:color w:val="0000FF"/>
              </w:rPr>
              <w:t>AND ISSUER PURCHASES OF EQUITY SECURITIES</w:t>
            </w:r>
          </w:p>
        </w:tc>
        <w:tc>
          <w:tcPr>
            <w:tcW w:w="2720" w:type="dxa"/>
            <w:vAlign w:val="bottom"/>
            <w:tcBorders>
              <w:top w:val="single" w:sz="8" w:color="0000FF"/>
            </w:tcBorders>
            <w:gridSpan w:val="7"/>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top w:val="single" w:sz="8" w:color="0000FF"/>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auto"/>
              </w:rPr>
              <w:t>[RESERVED]</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14"/>
          </w:tcPr>
          <w:p>
            <w:pPr>
              <w:spacing w:after="0" w:line="142" w:lineRule="exact"/>
              <w:rPr>
                <w:sz w:val="20"/>
                <w:szCs w:val="20"/>
                <w:color w:val="auto"/>
              </w:rPr>
            </w:pPr>
            <w:r>
              <w:rPr>
                <w:rFonts w:ascii="Arial" w:cs="Arial" w:eastAsia="Arial" w:hAnsi="Arial"/>
                <w:sz w:val="16"/>
                <w:szCs w:val="16"/>
                <w:b w:val="1"/>
                <w:bCs w:val="1"/>
                <w:color w:val="0000FF"/>
              </w:rPr>
              <w:t>OF OPERATIONS</w:t>
            </w:r>
          </w:p>
        </w:tc>
        <w:tc>
          <w:tcPr>
            <w:tcW w:w="5780" w:type="dxa"/>
            <w:vAlign w:val="bottom"/>
            <w:tcBorders>
              <w:top w:val="single" w:sz="8" w:color="0000FF"/>
            </w:tcBorders>
            <w:gridSpan w:val="23"/>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646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320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48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b w:val="1"/>
                <w:bCs w:val="1"/>
                <w:color w:val="0000FF"/>
                <w:w w:val="99"/>
              </w:rPr>
              <w:t>FINANCIAL STATEMENTS AND SUPPLEMENTARY DATA</w:t>
            </w:r>
          </w:p>
        </w:tc>
        <w:tc>
          <w:tcPr>
            <w:tcW w:w="4780" w:type="dxa"/>
            <w:vAlign w:val="bottom"/>
            <w:gridSpan w:val="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CHANGES IN AND DISAGREEMENTS WITH ACCOUNTANTS ON ACCOUNTING AND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19"/>
          </w:tcPr>
          <w:p>
            <w:pPr>
              <w:spacing w:after="0" w:line="142" w:lineRule="exact"/>
              <w:rPr>
                <w:sz w:val="20"/>
                <w:szCs w:val="20"/>
                <w:color w:val="auto"/>
              </w:rPr>
            </w:pPr>
            <w:r>
              <w:rPr>
                <w:rFonts w:ascii="Arial" w:cs="Arial" w:eastAsia="Arial" w:hAnsi="Arial"/>
                <w:sz w:val="16"/>
                <w:szCs w:val="16"/>
                <w:b w:val="1"/>
                <w:bCs w:val="1"/>
                <w:color w:val="0000FF"/>
              </w:rPr>
              <w:t>FINANCIAL DISCLOSURE</w:t>
            </w:r>
          </w:p>
        </w:tc>
        <w:tc>
          <w:tcPr>
            <w:tcW w:w="4640" w:type="dxa"/>
            <w:vAlign w:val="bottom"/>
            <w:tcBorders>
              <w:top w:val="single" w:sz="8" w:color="0000FF"/>
            </w:tcBorders>
            <w:gridSpan w:val="14"/>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CONTROLS AND PROCEDURES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20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b w:val="1"/>
                <w:bCs w:val="1"/>
                <w:color w:val="0000FF"/>
              </w:rPr>
              <w:t>OTHER INFORMATION</w:t>
            </w:r>
          </w:p>
        </w:tc>
        <w:tc>
          <w:tcPr>
            <w:tcW w:w="700" w:type="dxa"/>
            <w:vAlign w:val="bottom"/>
            <w:tcBorders>
              <w:top w:val="single" w:sz="8" w:color="0000FF"/>
            </w:tcBorders>
            <w:gridSpan w:val="6"/>
          </w:tcPr>
          <w:p>
            <w:pPr>
              <w:spacing w:after="0"/>
              <w:rPr>
                <w:sz w:val="18"/>
                <w:szCs w:val="18"/>
                <w:color w:val="auto"/>
              </w:rPr>
            </w:pPr>
          </w:p>
        </w:tc>
        <w:tc>
          <w:tcPr>
            <w:tcW w:w="6940" w:type="dxa"/>
            <w:vAlign w:val="bottom"/>
            <w:gridSpan w:val="17"/>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9C.</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620" w:type="dxa"/>
            <w:vAlign w:val="bottom"/>
            <w:gridSpan w:val="2"/>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12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614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b w:val="1"/>
                <w:bCs w:val="1"/>
                <w:color w:val="0000FF"/>
                <w:w w:val="99"/>
              </w:rPr>
              <w:t>DIRECTORS, EXECUTIVE OFFICERS AND CORPORATE GOVERNANCE</w:t>
            </w:r>
          </w:p>
        </w:tc>
        <w:tc>
          <w:tcPr>
            <w:tcW w:w="352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EXECUTIVE COMPENSATION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SECURITY OWNERSHIP OF CERTAIN BENEFICIAL OWNERS AND MANAGEMENT AND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520" w:type="dxa"/>
            <w:vAlign w:val="bottom"/>
            <w:tcBorders>
              <w:top w:val="single" w:sz="8" w:color="0000FF"/>
            </w:tcBorders>
            <w:gridSpan w:val="35"/>
          </w:tcPr>
          <w:p>
            <w:pPr>
              <w:spacing w:after="0" w:line="142" w:lineRule="exact"/>
              <w:rPr>
                <w:sz w:val="20"/>
                <w:szCs w:val="20"/>
                <w:color w:val="auto"/>
              </w:rPr>
            </w:pPr>
            <w:r>
              <w:rPr>
                <w:rFonts w:ascii="Arial" w:cs="Arial" w:eastAsia="Arial" w:hAnsi="Arial"/>
                <w:sz w:val="16"/>
                <w:szCs w:val="16"/>
                <w:b w:val="1"/>
                <w:bCs w:val="1"/>
                <w:color w:val="0000FF"/>
              </w:rPr>
              <w:t>RELATED STOCKHOLDER MATTERS</w:t>
            </w:r>
          </w:p>
        </w:tc>
        <w:tc>
          <w:tcPr>
            <w:tcW w:w="2140" w:type="dxa"/>
            <w:vAlign w:val="bottom"/>
            <w:gridSpan w:val="3"/>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gridSpan w:val="6"/>
          </w:tcPr>
          <w:p>
            <w:pPr>
              <w:spacing w:after="0" w:line="203" w:lineRule="exact"/>
              <w:rPr>
                <w:sz w:val="20"/>
                <w:szCs w:val="20"/>
                <w:color w:val="auto"/>
              </w:rPr>
            </w:pPr>
            <w:r>
              <w:rPr>
                <w:rFonts w:ascii="Arial" w:cs="Arial" w:eastAsia="Arial" w:hAnsi="Arial"/>
                <w:sz w:val="18"/>
                <w:szCs w:val="18"/>
                <w:b w:val="1"/>
                <w:bCs w:val="1"/>
                <w:color w:val="auto"/>
              </w:rPr>
              <w:t>Item 13.</w:t>
            </w:r>
          </w:p>
        </w:tc>
        <w:tc>
          <w:tcPr>
            <w:tcW w:w="9660" w:type="dxa"/>
            <w:vAlign w:val="bottom"/>
            <w:gridSpan w:val="38"/>
          </w:tcPr>
          <w:p>
            <w:pPr>
              <w:spacing w:after="0" w:line="203" w:lineRule="exact"/>
              <w:rPr>
                <w:sz w:val="20"/>
                <w:szCs w:val="20"/>
                <w:color w:val="auto"/>
              </w:rPr>
            </w:pPr>
            <w:r>
              <w:rPr>
                <w:rFonts w:ascii="Arial" w:cs="Arial" w:eastAsia="Arial" w:hAnsi="Arial"/>
                <w:sz w:val="18"/>
                <w:szCs w:val="18"/>
                <w:b w:val="1"/>
                <w:bCs w:val="1"/>
                <w:color w:val="0000FF"/>
              </w:rPr>
              <w:t>CERTAIN RELATIONSHIPS AND RELATED TRANSACTIONS, AND DIRECTOR</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14"/>
          </w:tcPr>
          <w:p>
            <w:pPr>
              <w:spacing w:after="0" w:line="142" w:lineRule="exact"/>
              <w:rPr>
                <w:sz w:val="20"/>
                <w:szCs w:val="20"/>
                <w:color w:val="auto"/>
              </w:rPr>
            </w:pPr>
            <w:r>
              <w:rPr>
                <w:rFonts w:ascii="Arial" w:cs="Arial" w:eastAsia="Arial" w:hAnsi="Arial"/>
                <w:sz w:val="16"/>
                <w:szCs w:val="16"/>
                <w:b w:val="1"/>
                <w:bCs w:val="1"/>
                <w:color w:val="0000FF"/>
              </w:rPr>
              <w:t>INDEPENDENCE</w:t>
            </w:r>
          </w:p>
        </w:tc>
        <w:tc>
          <w:tcPr>
            <w:tcW w:w="4620" w:type="dxa"/>
            <w:vAlign w:val="bottom"/>
            <w:tcBorders>
              <w:top w:val="single" w:sz="8" w:color="0000FF"/>
            </w:tcBorders>
            <w:gridSpan w:val="18"/>
          </w:tcPr>
          <w:p>
            <w:pPr>
              <w:spacing w:after="0"/>
              <w:rPr>
                <w:sz w:val="14"/>
                <w:szCs w:val="14"/>
                <w:color w:val="auto"/>
              </w:rPr>
            </w:pPr>
          </w:p>
        </w:tc>
        <w:tc>
          <w:tcPr>
            <w:tcW w:w="3040" w:type="dxa"/>
            <w:vAlign w:val="bottom"/>
            <w:gridSpan w:val="6"/>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9660" w:type="dxa"/>
            <w:vAlign w:val="bottom"/>
            <w:gridSpan w:val="38"/>
          </w:tcPr>
          <w:p>
            <w:pPr>
              <w:spacing w:after="0"/>
              <w:rPr>
                <w:sz w:val="20"/>
                <w:szCs w:val="20"/>
                <w:color w:val="auto"/>
              </w:rPr>
            </w:pPr>
            <w:r>
              <w:rPr>
                <w:rFonts w:ascii="Arial" w:cs="Arial" w:eastAsia="Arial" w:hAnsi="Arial"/>
                <w:sz w:val="18"/>
                <w:szCs w:val="18"/>
                <w:b w:val="1"/>
                <w:bCs w:val="1"/>
                <w:color w:val="0000FF"/>
              </w:rPr>
              <w:t>PRINCIPAL ACCOUNTING FEES AND SERVICES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640" w:type="dxa"/>
            <w:vAlign w:val="bottom"/>
            <w:gridSpan w:val="3"/>
          </w:tcPr>
          <w:p>
            <w:pPr>
              <w:spacing w:after="0"/>
              <w:rPr>
                <w:sz w:val="18"/>
                <w:szCs w:val="18"/>
                <w:color w:val="auto"/>
              </w:rPr>
            </w:pPr>
          </w:p>
        </w:tc>
        <w:tc>
          <w:tcPr>
            <w:tcW w:w="426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b w:val="1"/>
                <w:bCs w:val="1"/>
                <w:color w:val="0000FF"/>
              </w:rPr>
              <w:t>EXHIBITS, FINANCIAL STATEMENT SCHEDULES</w:t>
            </w:r>
          </w:p>
        </w:tc>
        <w:tc>
          <w:tcPr>
            <w:tcW w:w="540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2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99"/>
              </w:rPr>
              <w:t>FORM 10–K SUMMARY</w:t>
            </w:r>
          </w:p>
        </w:tc>
        <w:tc>
          <w:tcPr>
            <w:tcW w:w="7660" w:type="dxa"/>
            <w:vAlign w:val="bottom"/>
            <w:gridSpan w:val="2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20" w:type="dxa"/>
            <w:vAlign w:val="bottom"/>
            <w:gridSpan w:val="44"/>
          </w:tcPr>
          <w:p>
            <w:pPr>
              <w:spacing w:after="0"/>
              <w:rPr>
                <w:sz w:val="20"/>
                <w:szCs w:val="20"/>
                <w:color w:val="auto"/>
              </w:rPr>
            </w:pPr>
            <w:r>
              <w:rPr>
                <w:rFonts w:ascii="Arial" w:cs="Arial" w:eastAsia="Arial" w:hAnsi="Arial"/>
                <w:sz w:val="18"/>
                <w:szCs w:val="18"/>
                <w:b w:val="1"/>
                <w:bCs w:val="1"/>
                <w:color w:val="0000FF"/>
              </w:rPr>
              <w:t>LIST OF EXHIBITS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0000FF"/>
              </w:rPr>
              <w:t>SIGNATURES</w:t>
            </w: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Southwest Gas Holdings, Inc., a Delaware corporation, is a holding company headquartered in Las Vegas, Nevada, which either on its own or together with its subsidiaries is referred to herein as the “Company.” Through its wholly owned subsidiaries, Southwest Gas Corporation (“Southwest” or the “natural gas distribution” segment), Centuri Group, Inc. (“Centuri” or the “utility infrastructure services” segment), and prior to the closing of the MountainWest Sale (as defined below) on February 14, 2023, MountainWest Pipelines Holding Company (“MountainWest,” or the “pipeline and storage” segment), the Company operated three business segments: natural gas distribution operations, utility infrastructure services, and pipeline and storage. Following the sale of MountainWest, the Company operates two business segments. Southwest Gas Holdings, Inc. is incorporated in Delaware and Southwest Gas Corporation is incorporated in California.</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2022, the Company announced that its Board of Directors (the “Board”) unanimously determined to take strategic actions to simplify the Company’s portfolio of businesses. These actions included entering into a definitive agreement to sell all of the equity interests in MountainWest in an all-cash transaction to Williams Partners Operating LLC (“Williams”) for $1.5 billion in total enterprise value, subject to certain adjustments (collectively, the “MountainWest Sale”). Additionally, the Company determined it will pursue a spin-off of Centuri (“Centuri Spin-Off”) to form a new independent publicly traded utility infrastructure services company. The Centuri Spin-Off together with the MountainWest Sale reflect the “Separation Transactions.” As indicated above, the MountainWest Sale closed on February 14, 2023. As such, limited information with respect to MountainWest is included in this Annual Report on Form 10-K. The Centuri Spin-Off is expected to be completed in the fourth quarter of 2023 or the first quarter of 2024 and to be tax free to the Company and its stockholders for U.S. federal income tax purposes. The Centuri Spin-Off will be subject to, among other things, finalization of the transaction structure, final approval by the Board, approval by the Arizona Corporation Commission (the “ACC”), the receipt of a favorable Internal Revenue Service private letter ruling relating to the tax-free nature of the transaction, and the effectiveness of a registration statement that will be filed with the U.S. Securities and Exchange Commission (the “SEC”).</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and its subsidiaries provide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MountainWest, which was part of our operations in 2022, but sold in February 2023, owns and operates over 2,000 miles of highly contracted regulated interstate natural gas pipelines and storage facilities in the Rocky Mountain region, providing service in Utah, Wyoming, and Colorado, with non-regulated businesses primarily providing analytical and measurement services, and natural gas gathering. MountainWest’s primary operations are regulated by the Federal Energy Regulatory Commission (the “FERC”), including regulated plant, tariff rates, and services performed. MountainWest’s revenues are primarily derived from reservation charges for firm transportation and storage services as provided for in their FERC-approved tariffs. The profitability of MountainWest’s primary pipeline businesses is dependent on its ability, through the rates it is permitted to charge, to recover costs and earn a reasonable return on its capital investments. Variability in earnings results from changes in operating and maintenance expenditures, as well as changes in rates and the demand for services, which are dependent on weather, changes in commodity prices, and the economy. This variability is separate from that which relates to strategic events, such as post-2021 acquisition integration costs or losses/impairment upon being reclassified as held for sale during the fourth quarter of 2022.</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is a strategic utility infrastructure services company dedicated to partnering with North America’s electric and gas providers to build and maintain the energy network that powers millions of homes across the United States (“U.S.”) and</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color w:val="auto"/>
        </w:rPr>
        <w:t>Canada. Centuri’s skilled workforce delivers a comprehensive and integrated array of solutions through its primary operating companies: NPL Construction Co. (“NPL”), NPL Canada Ltd. (“NPL Canada”), New England Utility Constructors, Inc. (“Neuco”), Linetec Services, LLC (“Linetec”), and Riggs Distler</w:t>
      </w:r>
    </w:p>
    <w:p>
      <w:pPr>
        <w:jc w:val="both"/>
        <w:ind w:firstLine="8"/>
        <w:spacing w:after="0" w:line="270" w:lineRule="auto"/>
        <w:tabs>
          <w:tab w:leader="none" w:pos="192"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Company, Inc. (“Riggs Distler”). Centuri has strategically expanded its geographic reach and service offerings through organic and inorganic growth to better meet diverse customer needs across both electric and gas infrastructure, including growing customer attention to achieving environmental objectives. Utility infrastructure services activity is seasonal in most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 The availability of customer-provided materials, input costs, nature of specific customer contracts, and timing of incorporation of costs in change orders, if at all, can materially impact results.</w:t>
      </w:r>
    </w:p>
    <w:p>
      <w:pPr>
        <w:spacing w:after="0" w:line="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Financial information concerning the Company’s business segments is included in </w:t>
      </w:r>
      <w:r>
        <w:rPr>
          <w:rFonts w:ascii="Arial" w:cs="Arial" w:eastAsia="Arial" w:hAnsi="Arial"/>
          <w:sz w:val="18"/>
          <w:szCs w:val="18"/>
          <w:b w:val="1"/>
          <w:bCs w:val="1"/>
          <w:color w:val="auto"/>
        </w:rPr>
        <w:t>Note 13 - Segment Information</w:t>
      </w:r>
      <w:r>
        <w:rPr>
          <w:rFonts w:ascii="Arial" w:cs="Arial" w:eastAsia="Arial" w:hAnsi="Arial"/>
          <w:sz w:val="18"/>
          <w:szCs w:val="18"/>
          <w:color w:val="auto"/>
        </w:rPr>
        <w:t xml:space="preserve"> of the notes to consolidated financial statements, which is included in the 2022 Annual Report to Stockholders and incorporated herein by reference.</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Gas Holdings maintains a website (www.swgasholdings.com) for the benefit of stockholders,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SEC’s website at www.sec.gov and the www.swgasholdings.com website as soon as reasonably practicable after such material is electronically filed with, or furnished to, the SEC. All Company SEC filings are also available on the www.swgasholdings.com website. Nothing included on our website shall be deemed to be a part of the annual report on Form 10-K. The Corporate Governance Guidelines, Code of Business Conduct and Ethics, and charters of the Nominating and Corporate Governance, Audit, and Compensation Committees of the Board of Directors of the Company are also available on the www.swgasholdings.com website. Print versions of these documents are available to stockholders upon request directed to the Corporate Secretary, Southwest Gas Holdings, Inc., 8360 S. Durango Drive, Las Vegas, NV 89113.</w:t>
      </w:r>
    </w:p>
    <w:p>
      <w:pPr>
        <w:spacing w:after="0" w:line="200" w:lineRule="exact"/>
        <w:rPr>
          <w:sz w:val="20"/>
          <w:szCs w:val="20"/>
          <w:color w:val="auto"/>
        </w:rPr>
      </w:pP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NATURAL GAS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subject to regulation by the ACC, the Public Utilities Commission of Nevada (the “PUCN”), and the California Public Utilities Commission (the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FERC. Centuri, by contrast, is not rate regulated by the state utilities commissions or by the FERC in any of its operating areas.</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Southwest purchased and distributed or transported natural gas to 2,197,000 residential, commercial, and industrial customers in geographically diverse portions of Arizona, Nevada, and California. Southwest added 41,000 new customers during 2022.</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lists the percentage of operating margin (operating revenues less net cost of gas) by major customer class for the years indicated: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3"/>
          </w:tcPr>
          <w:p>
            <w:pPr>
              <w:ind w:left="1540"/>
              <w:spacing w:after="0"/>
              <w:rPr>
                <w:sz w:val="20"/>
                <w:szCs w:val="20"/>
                <w:color w:val="auto"/>
              </w:rPr>
            </w:pPr>
            <w:r>
              <w:rPr>
                <w:rFonts w:ascii="Arial" w:cs="Arial" w:eastAsia="Arial" w:hAnsi="Arial"/>
                <w:sz w:val="14"/>
                <w:szCs w:val="14"/>
                <w:b w:val="1"/>
                <w:bCs w:val="1"/>
                <w:color w:val="auto"/>
              </w:rPr>
              <w:t>Distribution</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2440" w:type="dxa"/>
            <w:vAlign w:val="bottom"/>
            <w:tcBorders>
              <w:top w:val="single" w:sz="8" w:color="auto"/>
            </w:tcBorders>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2"/>
              </w:rPr>
              <w:t>Residential and</w:t>
            </w:r>
          </w:p>
        </w:tc>
        <w:tc>
          <w:tcPr>
            <w:tcW w:w="1420" w:type="dxa"/>
            <w:vAlign w:val="bottom"/>
            <w:tcBorders>
              <w:top w:val="single" w:sz="8" w:color="auto"/>
            </w:tcBorders>
          </w:tcPr>
          <w:p>
            <w:pPr>
              <w:jc w:val="center"/>
              <w:ind w:right="377"/>
              <w:spacing w:after="0" w:line="133" w:lineRule="exact"/>
              <w:rPr>
                <w:sz w:val="20"/>
                <w:szCs w:val="20"/>
                <w:color w:val="auto"/>
              </w:rPr>
            </w:pPr>
            <w:r>
              <w:rPr>
                <w:rFonts w:ascii="Arial" w:cs="Arial" w:eastAsia="Arial" w:hAnsi="Arial"/>
                <w:sz w:val="14"/>
                <w:szCs w:val="14"/>
                <w:b w:val="1"/>
                <w:bCs w:val="1"/>
                <w:color w:val="auto"/>
                <w:w w:val="92"/>
              </w:rPr>
              <w:t>Other Sales</w:t>
            </w:r>
          </w:p>
        </w:tc>
        <w:tc>
          <w:tcPr>
            <w:tcW w:w="100" w:type="dxa"/>
            <w:vAlign w:val="bottom"/>
          </w:tcPr>
          <w:p>
            <w:pPr>
              <w:spacing w:after="0"/>
              <w:rPr>
                <w:sz w:val="11"/>
                <w:szCs w:val="11"/>
                <w:color w:val="auto"/>
              </w:rPr>
            </w:pPr>
          </w:p>
        </w:tc>
        <w:tc>
          <w:tcPr>
            <w:tcW w:w="18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Transportation</w:t>
            </w:r>
          </w:p>
        </w:tc>
        <w:tc>
          <w:tcPr>
            <w:tcW w:w="0" w:type="dxa"/>
            <w:vAlign w:val="bottom"/>
          </w:tcPr>
          <w:p>
            <w:pPr>
              <w:spacing w:after="0"/>
              <w:rPr>
                <w:sz w:val="1"/>
                <w:szCs w:val="1"/>
                <w:color w:val="auto"/>
              </w:rPr>
            </w:pPr>
          </w:p>
        </w:tc>
      </w:tr>
      <w:tr>
        <w:trPr>
          <w:trHeight w:val="192"/>
        </w:trPr>
        <w:tc>
          <w:tcPr>
            <w:tcW w:w="5340" w:type="dxa"/>
            <w:vAlign w:val="bottom"/>
            <w:gridSpan w:val="2"/>
            <w:vMerge w:val="continue"/>
          </w:tcPr>
          <w:p>
            <w:pPr>
              <w:spacing w:after="0"/>
              <w:rPr>
                <w:sz w:val="16"/>
                <w:szCs w:val="16"/>
                <w:color w:val="auto"/>
              </w:rPr>
            </w:pPr>
          </w:p>
        </w:tc>
        <w:tc>
          <w:tcPr>
            <w:tcW w:w="2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Small Commercial</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Customers</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not dependent on any one or a few customers such that the loss of any one or several would have a significant adverse impact on earnings or cash flows.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Transportation of customer-secured gas to end-users accounted for 42% of total system throughput in 2022, but represents only 11% of operating margin as shown in the table above. Customers who utilized this service transported 93 million dekatherms in 2022, 95 million dekatherms in 2021, and 98 million dekatherms in 2020.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 state service territories, as described below, are structured with seasonal variations. Also, earnings for interim, or any, periods can be significantly affected by the timing of general rate relief.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Great Basin Gas Transmission Company (“Great Basin”), a wholly owned subsidiary, and the rates it charges for transportation of gas directly to certain end-users and to various local distribution companies (“LDCs”). The LDCs transporting on the Great Basin system are: NV Energy (serving Reno and Sparks, Nevada) and Southwest (serving Truckee, South and North Lake Tahoe in California, and various locations throughout northern Nevada).</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Rate schedules in all service areas contain deferred energy or purchased gas adjustment provisions, which allow Southwest to file for rate adjustments as the cost of purchased gas changes. Deferred energy and purchased gas adjustment (collectively “PGA”) rate changes affect cash flows, but have no direct impact on profit margin. Filings to change rates in accordance with PGA clauses are subject to audit by the appropriate state regulatory commission staff.</w:t>
      </w:r>
    </w:p>
    <w:p>
      <w:pPr>
        <w:spacing w:after="0" w:line="3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Information with respect to recent general rate cases, PGA filings, and other regulatory proceedings is included in the Rates and Regulatory Proceedings section of Management’s Discussion and Analysis (“MD&amp;A”), which is incorporated by reference herein and included within the 2022 Annual Report to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recent docketed general rate filings and the status of such filing within each ratemaking area:</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Ratemaking Area</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Type of Filing</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Month Filed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Month Final Rates</w:t>
            </w:r>
          </w:p>
        </w:tc>
        <w:tc>
          <w:tcPr>
            <w:tcW w:w="0" w:type="dxa"/>
            <w:vAlign w:val="bottom"/>
          </w:tcPr>
          <w:p>
            <w:pPr>
              <w:spacing w:after="0"/>
              <w:rPr>
                <w:sz w:val="1"/>
                <w:szCs w:val="1"/>
                <w:color w:val="auto"/>
              </w:rPr>
            </w:pPr>
          </w:p>
        </w:tc>
      </w:tr>
      <w:tr>
        <w:trPr>
          <w:trHeight w:val="192"/>
        </w:trPr>
        <w:tc>
          <w:tcPr>
            <w:tcW w:w="56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General rate case</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2023</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Northern, Southern, and South Lake Tahoe</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2019</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2021</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Northern and Southern</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2021</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2022</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FERC:</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Great Basin</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2019</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2020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Natural Gas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maintains no significant backlog on its orders for gas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Supply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is responsible for acquiring and arranging delivery of natural gas to its system in sufficient quantities to meet its sales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2022, Southwest acquired natural gas from 36 suppliers. Southwest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mitigate customer exposure to short-term market price volatility, during 2022 Southwest sought to fix the price on a portion of its forecasted annual normal-weather volume requirement (up to 25% in the California jurisdiction and to a limited extent, in the Arizona jurisdiction), primarily using firm, fixed-price purchasing arrangements that are secured periodically throughout the year. Southwest’s price volatility mitigation program previously included the use of financial derivatives, in the form of fixed-for-floating-index-price swaps combined with indexed-price physical purchases, to secure a portion of the fixed-price portfolio, most recently, for the Arizona rate jurisdiction. The combination of fixed-price contracts and financial derivatives was designed to increase flexibility for Southwest and increase supplier diversification. The cost of such financial derivatives combined with the associated indexed-price physical purchases has been recoverable from customers through the PGA mechanism. For periods beyond October 2020, Southwest has not and does not plan at this time to make fixed-price term purchases broadly in other than California (as set forth above), nor engage in swap transactions for any of its territories.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2022/2023 heating season, firm fixed-price physical commodity purchases ranged from approximately $4.59 to approximately $9.89 per dekatherm. Southwest makes natural gas purchases, not covered by firm fixed-price contracts, under variable-price contracts with firm quantities or on the spot market. Prices for these contracts are determined at the beginning of</w:t>
      </w:r>
    </w:p>
    <w:p>
      <w:pPr>
        <w:spacing w:after="0" w:line="200" w:lineRule="exact"/>
        <w:rPr>
          <w:sz w:val="20"/>
          <w:szCs w:val="20"/>
          <w:color w:val="auto"/>
        </w:rPr>
      </w:pPr>
    </w:p>
    <w:p>
      <w:pPr>
        <w:spacing w:after="0" w:line="2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each month to reflect that month’s published first-of-month index price or based on a published daily price index. These monthly or daily index prices are not published or known until the purchase period begins.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baseload firm natural gas supply arrangements are structured such that Southwest must nominate a stated volume of natural gas and the supplier must confirm that nomination. Contracts provide for fixed or market-based penalties to be paid by the non-performing party.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has some access to storage services, but overall there are small quantities of storage services available for Southwest’s use. For available storage services, Southwest purchases natural gas for injection during the off-peak period for use in the high demand months; however, since storage is limited, its impact is also limited in regard to Southwest’s annual average price of natural gas. Additionally, Southwest utilizes most available storage services for operational purposes to meet customer demand and not for economic purposes. This also limits the influence the available storage services have on Southwest’s average annual price of natural gas.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currently has no market area storage service availability in its southern Nevada rate jurisdiction; however, in 2022, Southwest began receiving supply area storage services from Spire Storage West that will likely be used for the southern Nevada rate jurisdiction but could also be used to service the northern Nevada or northern California rate jurisdictions, as described below. Southwest generally has limited market area storage services availability for the southern and northern California, northern Nevada, and Arizona rate jurisdictions. The following summarizes Southwest’s access to storage services for those rate jurisdictions.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Southwest has a storage services contract with Southern California Gas Company for use only within Southwest’s southern California rate jurisdiction.</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Southwest contracts for storage services from Great Basin’s above-ground LNG facility. This storage service generally provides vaporization and injection, as well as peaking capability only for the northern Nevada and northern California rate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Arizona rate jurisdiction, Southwest operates a 233,000 dekatherm above-ground LNG facility in southern Arizona. This facility is intended to enhance service reliability and flexibility in natural gas deliveries in the area by providing a local storage option that is operated by Southwest and connected directly to its distribution system.</w:t>
      </w:r>
    </w:p>
    <w:p>
      <w:pPr>
        <w:spacing w:after="0" w:line="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Natural gas supplies for Southwest’s southern system (Arizona, southern Nevada, and southern California properties)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landscape for national natural gas supply is continuously changing, including impacts related to governmental policies. Advanced drilling techniques continue to provide access to abundant and sustainable natural gas supplies. The natural gas market has responded to the abundant supply of natural gas at prices that are competitive with other forms of energy; however, the market price of natural gas has spiked in recent periods as a result of numerous market forces, including historically low storage levels, upstream maintenance events, and cold weather conditions across the central United States in December 2022 and regional pricing dislocation on the west coast in January 2023. In early 2021, winter storms in the central U.S. also led to unprecedented price spikes over a number of days. As a result of this increase in pricing, Southwest has undertaken incremental borrowing in order to fund the higher cost, including recently, when it entered into a $450 million term loan in January 2023 in order to fund increased supply costs. Southwest may be required to incur additional indebtedness in connection with future spikes in natural gas prices as a result of extreme weather events, or otherwise. Forecasts show that an ample and diverse natural gas supply continues to be available to Southwest’s customers at a competitive price when compared to competing energy forms.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Great Basin, and Ruby Pipeline LLC (“Ruby”), costs for which are recovered from Southwest’s customers through the PGA mechanism. Southwest regularly monitors short- and long-term supply and pipeline capacity availability to ensure the reliability of service to its customers. Southwest currently receives firm transportation service, both on a short- and long-term basis, for all its service territories on the pipeline systems noted above. Southwest also contracts for firm natural gas supplies that are delivered to Southwest’s city gates to supplement its firm capacity on the interstate pipelines and to</w:t>
      </w:r>
    </w:p>
    <w:p>
      <w:pPr>
        <w:spacing w:after="0" w:line="200" w:lineRule="exact"/>
        <w:rPr>
          <w:sz w:val="20"/>
          <w:szCs w:val="20"/>
          <w:color w:val="auto"/>
        </w:rPr>
      </w:pPr>
    </w:p>
    <w:p>
      <w:pPr>
        <w:spacing w:after="0" w:line="22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meet projected peak-day demands. Southwest could also utilize its interruptible contracts on the interstate pipelines for the transportation of additional natural gas supplies.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Southwest interfaces directly with the various home builders and commercial property developers in its service territories to ensure that natural gas appliances are considered in new developments and commercial centers. As a result of its efforts, Southwest has continued to experience growth in the new construction market among residential and small commercial customer classes. In 2022, Southwest provided natural gas to a large majority of the new homes constructed during the year in the major metropolitan markets composing our service territories.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and fuel oils. However, high natural gas prices or policies surrounding electrification could impact Southwest’s ability to retain some of these customers. Reducing fossil fuel use has gained momentum in governmental policy overall in recent years. Southwest has taken steps to align with these efforts by supporting energy efficiency in our jurisdictions, being part of greenhouse gas protocols and initiatives in California, partnering on hydrogen blending innovation, and creating new biogas and renewable natural gas (“RNG”) tariff schedules in Arizona, California, and Nevada. See also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below. While certain forms of renewable energy initiatives compete with natural gas, the abundance, low cost, resiliency, and reliability of natural gas, as well as the convenience and comfort it provides to our customers, result in competitive advantages across our portfolio of customers. Overall, management does not anticipate any material adverse impact on operating margin from fuel switching or alternative energy initiatives over the near term.</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provides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and protection of endangered species and archaeological resources, directly impact the complexity and time required to obtain pipeline rights-of-way and construction permits. There have also been a number of federal and state legislative and regulatory initiatives proposed in recent years in an attempt to control or limit the effects of global warming and overall climate change, including greenhouse gas emissions (“GHGs”), such as methane. The adoption of this type of legislation by Congress or similar legislation by state governments mandating a substantial reduction in GHGs, or decarbonization generally, could have significant impacts on the energy industry in the future. Such new legislation or regulations could result in increased compliance costs or additional operating restrictions on our business, affect the demand for natural gas, or impact the prices we charge our customers. At this time, we cannot predict the potential impact of such laws or regulations, if adopted, on our future business, financial condition, or results. However, increased environmental legislation and regulation can also be beneficial to the natural gas industry. Natural gas is more environmentally friendly than many other fuels currently available and its use can help energy users comply with stricter environmental air quality standards. While transportation is typically cited as the leading source of carbon dioxide emissions in the U.S., natural gas for residential consumption/use is cited as accounting for less than 6% of total U.S. GHG emissions.</w:t>
      </w:r>
    </w:p>
    <w:p>
      <w:pPr>
        <w:spacing w:after="0" w:line="200" w:lineRule="exact"/>
        <w:rPr>
          <w:sz w:val="20"/>
          <w:szCs w:val="20"/>
          <w:color w:val="auto"/>
        </w:rPr>
      </w:pPr>
    </w:p>
    <w:p>
      <w:pPr>
        <w:spacing w:after="0" w:line="22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6"/>
          <w:szCs w:val="16"/>
          <w:color w:val="auto"/>
        </w:rPr>
        <w:t>Southwest remains committed to providing customers with safe, reliable, sustainable, and affordable natural gas service and continues to work with policy makers and regulators to support and adopt renewable initiatives and expanded use of RNG and compressed natural gas (“CNG”) as a transportation fuel. Additionally, Southwest is investigating blending hydrogen into its gas supply. Southwest is not only supporting a regional transportation customer in Nevada with its fleet’s RNG and CNG needs, but Southwest also received favorable cost recovery regarding the conversion of part of its own vehicle fleet to CNG, in support of the state’s GHG emission reduction goals. In recent years, regulatory activity in Arizona, California, and Nevada led to provisions allowing for the development of RNG projects. In addition, proposals were previously made in all three states to allow Southwest to purchase RNG as part of its gas supply portfolio; in the California and Nevada jurisdictions, those proposals have been accepted by regulators or legislative bodies.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States Environmental Protection Agency (the “EPA”) and State of California Environmental Protection Agency (the “Cal/EPA”) regulations require the reporting of GHGs from large sources and suppliers in order to facilitate the development of 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California legislation and regulations promulgated by the California Air Resources Board (the “CARB”) require Southwest to comply with the California GHG Emissions Reporting Program and the California Cap and Trade Program, which play an important role in the state’s goal of reducing GHG emissions to 40% below 1990 levels by 2030. Southwest must report annual GHGs each year. The CARB annually allocates to Southwest a certain number of allowances based on Southwest’s reported 2011 GHGs. Of those allocated allowances, Southwest must consign a certain percentage to the CARB for auction. Southwest can use any allocated allowances that remain after consignment, along with allowances it can purchase through CARB auctions or reserve sales, or through over the counter (“OTC”) purchases with other market participants, to meet its compliance obligations.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this program, there are ongoing three-year compliance periods established. The current compliance period ends in 2023. Southwest successfully met its earlier compliance obligations by surrendering a sufficient number of allowances prior to the required date, the most recent of which was November 1, 2021. Southwest will meet the 2023 compliance obligation by surrendering a sufficient number of allowances prior to November 1, 2024, or may surrender carbon offsets to meet a portion of the 2023 compliance obligation. In 2022, Southwest purchased carbon offsets that will partially meet the 2023 compliance obligation. Carbon offsets can only be used to satisfy a portion of the 2023 compliance obligation, and those combined with ongoing allowance purchases will support compliance years through 2023. The CPUC previously issued a decision that provides for the regulatory treatment of the program costs. The decision also implemented the California Climate Credit in October 2018, representing a return of auction proceeds, which is updated annually each April. There is no expected direct impact on earnings.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UTILITY INFRASTRUCTURE SERVICES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Centuri is a strategic utility infrastructure services company dedicated to partnering with North America’s gas and electric providers to build and maintain the energy network that powers millions of homes across the U.S. and Canada. Centuri’s skilled workforce delivers a comprehensive and integrated array of solutions through its operating companies. Centuri derives revenue primarily from installation, replacement, repair, and maintenance of energy networks. The primary focus of Centuri operations is the replacement of natural gas distribution pipelines and electric service lines, as well as new infrastructure installations. Centuri has formalized a service offering for emergency utility system restoration services to bring customers’ above-ground utility infrastructure back online following regional storms and other extreme weather events. Utility infrastructure services work varies from relatively small projects to the installation of infrastructure for entire residential communities or business parks. Centuri seeks to build long-term relationships with customers to meet their needs across geographies and across both gas and electric infrastructure. Utility infrastructure services activity is seasonal in many of Centuri’s operating areas. Peak periods are the summer and fall months in colder climate areas, such as the northeastern and midwestern U.S. and Canada. In warmer climate areas, such as the southwestern and southeastern U.S., utility infrastructure services activity typically continues year round.</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recent years, various factors resulted in an increase in large multi-year utility system replacement programs and expanded protocols. The U.S. Energy Policy Act of 2005 established mandatory electric grid reliability standards and incentivized investments in transmission and distribution systems. The U.S. Department of Transportation’s Pipeline and Hazardous Materials Safety Administration (“PHMSA”) instituted Distribution Integrity Management Programs (“DIMP”) effective February 2010, which required operators of gas distribution pipelines to develop and implement integrity management programs to enhance safety by identifying and reducing pipeline integrity risks. FERC Order No. 1000, issued in July 2011, established transmission planning requirements to encourage development of electric transmission infrastructure projects. In 2020, PHMSA issued its final “Mega Rule,” including requirements for reconfirming transmission pipeline maximum allowable operating pressure and verification of pipeline materials, in addition to expanding assessments and requirements for work in moderate consequence areas, among other things. Then, in March 2022, and August 2022, PHMSA issued rules</w:t>
      </w:r>
    </w:p>
    <w:p>
      <w:pPr>
        <w:spacing w:after="0" w:line="200" w:lineRule="exact"/>
        <w:rPr>
          <w:sz w:val="20"/>
          <w:szCs w:val="20"/>
          <w:color w:val="auto"/>
        </w:rPr>
      </w:pPr>
    </w:p>
    <w:p>
      <w:pPr>
        <w:spacing w:after="0" w:line="2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6"/>
          <w:szCs w:val="16"/>
          <w:color w:val="auto"/>
        </w:rPr>
        <w:t>amending federal pipeline safety regulations applicable to valve installation and minimum rupture detection standards for transmission pipelines, and amendments applicable to transmission pipeline integrity management, effective in October 2022 and May 2023, respectively. Likewise, there has been significant attention placed on electric grid modernization through national infrastructure legislation and related initiatives. The recently passed Inflation Reduction Act includes a number of provisions to accelerate the deployment of clean energy technologies, including incentives for the buildout of necessary infrastructure. The Department of Energy estimates more than 70% of the nation’s grid transmission lines and power transformers are over 25 years old, creating vulnerability exacerbated by seasonal storm and extreme weather events. Centuri’s services also support customers’ environmental goals, such as reducing methane emissions from pipeline leaks through pipe repair and replacement. Centuri is well positioned to support growing customer attention in achieving environmental objectives through infrastructure construction and maintenance. Additionally, Centuri’s acquisition of Riggs Distler in 2021 positions Centuri to benefit from the necessary development of onshore infrastructure to support offshore wind and power development.</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Centuri’s contract terms with utility customers generally specify unit-price or time-and-materials (“T&amp;M”) terms under master service agreements, and occasionally, fixed-price arrangements for bid work. Unit-price contracts establish prices for all of the various services to be performed during the contract period. These contracts often have annual pricing reviews that provide an opportunity for Centuri to reflect anticipated increases in labor costs. Centuri customers supply materials required for building and maintenance services under the majority of Centuri’s contracts, and thus, increased costs of materials generally do not present a direct material risk to Centuri. During 2022, approximately 82% of revenue was earned under unit-price and T&amp;M contracts. Storm restoration services are often contracted under T&amp;M rates and generally involve a higher number of hours worked per day given the emergency response nature of the work performed. Backlog represents the dollar amount of revenue Centuri expects to recognize in the future from contracts awarded and in progress as of the end of the reporting period. Reported backlog differs from the concept of remaining performance obligations as defined by accounting principles generally accepted in the U.S. (“U.S. GAAP”) and is not a measure of contract profitability. As of December 31, 2022, backlog of approximately $441 million existed with respect to outstanding fixed-priced contracts. Centuri maintains an average customer relationship tenure of more than 20 years, supported by its unwavering commitments to safety, quality, community engagement, and workforce development.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within the industry has traditionally been limited to several regional and numerous local competitors in what has been a largely fragmented industry. Some national competitors also exist within the industry. Centuri operates in over 73 primary locations across 45 states and provinces in the U.S. and Canada, with its corporate headquarters located in Phoenix, Arizona. During 2022, Centuri served over 400 customers. Southwest accounted for approximately 5% of total revenue. Two additional customers accounted for approximately 18% of total revenue. No other customers individually accounted for 5% or more of total revenue.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not directly affected by regulations promulgated by the ACC, PUCN, CPUC, or FERC. Centuri is an unregulated subsidiary of the Company. However, because Centuri performs work for Southwest, its associated costs are subject indirectly to “prudency reviews” like any other capital work performed by third parties or directly by Southwest. However, these reviews do not bring Centuri under the regulatory jurisdiction of any of the commissions noted above.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PIPELINE AND STORAGE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above, on February 14, 2023, the Company completed the sale of all of the equity interests in MountainWest. MountainWest’s operations are comprised of over 2,000 miles of highly-contracted FERC-regulated interstate natural gas pipelines providing transportation and underground storage services in Utah, Wyoming, and Colorado. MountainWest includes two wholly owned, FERC-regulated businesses (referred to herein as MountainWest Pipeline and MountainWest Overthrust Pipeline), and another FERC-regulated pipeline held as a 50% interest in White River Hub (“WRH”). WRH is a variable interest entity of which MountainWest is not the primary beneficiary; therefore, WRH is not consolidated with MountainWest and is, instead, accounted for under the equity method of accounting.</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Collectively, MountainWest has fewer than one hundred customers, which include storage customers, marketers, end-users, power generators, or utilities.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two largest customers comprise nearly half of their expected revenues.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MountainWest’s operations are primarily in the midstream, including 56 billion cubic feet (“Bcf”) of storage capacity that has, in the recent past, been at or near full contracting.</w:t>
      </w:r>
    </w:p>
    <w:p>
      <w:pPr>
        <w:spacing w:after="0" w:line="200" w:lineRule="exact"/>
        <w:rPr>
          <w:sz w:val="20"/>
          <w:szCs w:val="20"/>
          <w:color w:val="auto"/>
        </w:rPr>
      </w:pPr>
    </w:p>
    <w:p>
      <w:pPr>
        <w:spacing w:after="0" w:line="2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Throughout our collective operations, employees are critical to our success. Their talent and dedication are what allows us to provide safe and reliable service to customers and explore new opportunities that align with our strategies, while carrying out organizational core values related to safety, quality, and stewardship, among others. The Board oversees matters relating to our vision, values, and culture where employee health and safety; diversity, equity, and inclusion; and human and workplace rights are priorities. The Board receives regular reports from management and subject matter experts in these areas, and in turn provides guidance on current and future initiatives. The Board also assists management in integrating responsibility and sustainability into strategic activities to create long-term customer and shareholder value.</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Company and the Board are committed to a culture of continuous improvement over the safety of our employees and the communities we serve every day. Employees and contract workers receive initial safety orientation training to learn practices, procedures, and policies established by our businesses. New and recurring safety training occurs at regular intervals thereafter. Frontline safety strategies, developed with executive leadership, contribute to the improvement of our safety management systems. Safety metrics also form part of incentive compensation programs for leaders of all the Company’s business segments, reinforcing our top priority to safeguard our communities, our employees, and our assets. At Southwest, such metrics include Damages per 1,000 Tickets and Incident Response Time; at Centuri, they include Total Recordable Incident Rate and Days Away/Restricted/Transferred (“DART”). In each case, the measures are widely used in the respective industries comprising our businesses. All segments maintain additional behavioral-based programs and extensive employee training initiatives to promote safe work.</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December 31, 2022, Southwest had 2,351 regular full-time equivalent employees. Southwest believes that a skilled, highly trained workforce is a key to success in the utility industry, and a driver of Southwest’s safety performance and high customer satisfaction ratings. Southwest believes it has a good relationship with its employees and that compensation, benefits, and working conditions are comparable to those generally found in the utility industry. In recent years, employee engagement surveys have been deployed to gauge the extent to which employees feel connected and valued. Flexible working arrangements are available to employees, which support work-life balance. No Southwest employees are represented by a labor union. A stable workforce has been important to knowledge transfer and succession processes, with the average tenure of Southwest employees being approximately 11 years. Germane to attracting and retaining employees are our compensation and benefits programs, which are regularly reviewed. For employees hired on or before December 31, 2021, Southwest offers an employee pension and employer matching contributions to the employee defined contribution plan. Employees hired on or after January 1, 2022 do not participate in the employee pension plan, but receive non-elective employer contributions and increased employer matching contributions to the employee defined contribution plan. The health and wellness of our workforce are supported by group insurance programs, incentive programs in support of total health, and related employee programs. Southwest also offers a tuition assistance program. Regular succession planning helps ensure that talent is identified, and existing and prospective leaders are developed in order to build their skills and be prepared for future roles.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2022, Centuri had 11,008 regular full-time equivalent employees working in over 45 states and provinces throughout the U.S. and Canada. Employee counts fluctuate between seasonal periods, normally heaviest in the summer and fall. Typical of the segment’s industry, a majority of Centuri employees are represented by unions and covered by collective bargaining agreements. Centuri maintains a market-based total rewards strategy to attract, retain, motivate, and develop employees. Additionally, Centuri has a scholarship program, which awards more than half of the grants to minority students who are dependents of Centuri employees. Similar employee engagement and succession planning protocols to those existing at Southwest are deployed at Centuri.</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MountainWest had 255 full-time employees across Utah, Wyoming, and Colorado. MountainWest is comprised of a highly skilled workforce which provides gas transportation and underground storage services in the midstream space. MountainWest does not have a unionized workforce. The MountainWest workforce transferred with the business as part of the sale to Williams in February 2023. Upon close, the Company is to provide certain services to Williams under a transition services agreement for a brief period, generally not beyond six months.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Collectively, we embrace a culture of diversity, equity, and inclusion to not only protect employees under laws designed to do so regardless of protected status, but to reinforce the value that diversity brings to the workplace. We strive to have a workforce that reflects the communities we serve, and engage experts from time to time to update management on the trends and benefits of diverse backgrounds, cultures, and perspectives. Our belief is that adherence to these principles forms the genesis of a workforce that is both diverse and inclusive. Southwest and Centuri have several programs, including employee resource groups, diversity councils, a diversity ambassadors (champions) network, educational outreach programs, and other initiatives designed to attract and retain a diverse workforce. We commit to creating a safe and respectful workplace by encouraging employees to value diversity through unconscious bias training, and by inviting them to engage in meaningful conversations about diversity, equity, and inclusion topics. Through these and other efforts, we place value in our people and nurture their development, while ensuring that all employees have an equitable opportunity for success.</w:t>
      </w:r>
    </w:p>
    <w:p>
      <w:pPr>
        <w:spacing w:after="0" w:line="200" w:lineRule="exact"/>
        <w:rPr>
          <w:sz w:val="20"/>
          <w:szCs w:val="20"/>
          <w:color w:val="auto"/>
        </w:rPr>
      </w:pP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Described below (and in </w:t>
      </w:r>
      <w:r>
        <w:rPr>
          <w:rFonts w:ascii="Arial" w:cs="Arial" w:eastAsia="Arial" w:hAnsi="Arial"/>
          <w:sz w:val="18"/>
          <w:szCs w:val="18"/>
          <w:b w:val="1"/>
          <w:bCs w:val="1"/>
          <w:i w:val="1"/>
          <w:iCs w:val="1"/>
          <w:color w:val="auto"/>
        </w:rPr>
        <w:t>Item 7A. Quantitative and Qualitative Disclosures about Market Risk</w:t>
      </w:r>
      <w:r>
        <w:rPr>
          <w:rFonts w:ascii="Arial" w:cs="Arial" w:eastAsia="Arial" w:hAnsi="Arial"/>
          <w:sz w:val="18"/>
          <w:szCs w:val="18"/>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any combination of its subsidiaries, including Southwest Gas Corporation and Centuri Group,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Operational Risks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 relies on having access to interstate pipelines’ transportation capacity. If these pipelines and related transportation capacity were not available, it could impact Southwest’s ability to meet customers’ full requirements.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on-system resources, as well as the characteristics of our customer base. Interruptions to or reductions of interstate pipeline service caused by physical constraints, excessive customer usage, or other force majeure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an appropriately qualified employee workforce could adversely affect our collective operations.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implement our business strategy and serve our customers is dependent upon our continuing ability to attract and retain talented professionals and a technically skilled workforce, and impacts our ability to transfer the knowledge and expertise of our workforce to new employees as our aging employees retire. Failure to attract, hire, and adequately train replacement employees, including the transfer of significant internal historical knowledge and expertise to the new employees, or the future availability and cost of contract labor could adversely affect our ability to manage and operate our business.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 success and growth of Centuri. Further, the competitive environment within which Centuri performs work creates pricing pressures, specifically when its unionized business segment is bidding against non-union competitors. This workforce competition, including that which exists for resources across our businesses, could adversely impact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one or more significant customers at Centuri could adversely affect results.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over half of utility infrastructure services revenues were generated from ten customers. This concentration of risk could impact operating results if construction work slowed or halted with one or more of these customers, if competition for work increased, or if existing contracts were not replaced or extended.</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of our costs, such as operating expenses (including labor, fuel, and materials) at Southwest and Centuri, and interest and general and administrative expenses at both segments and the Company could be adversely impacted by periods of heightened inflation, which could have an adverse impact on our results of operations.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Throughout 2022, the consumer price index increased substantially and may continue to remain at elevated levels for an extended period of time. Federal policies and recent global events, such as the volatility in prices of oil and natural gas, and the conflict between Russia and Ukraine, may have exacerbated, and may continue to exacerbate, increases in the consumer price index. In addition, during periods of rising inflation, variable interest rates and the interest rates of any debt securities we, Southwest, or Centuri issue will likely be higher than more recent debt issuances, which will further tend to reduce returns to our stockholders. A sustained or further increase in inflation could have a material adverse impact on our operating expenses incurred in connection with, among others, the cost of natural gas supply, labor, products, and services required for operations, maintenance and capital improvements at Southwest, and fuel, labor, and materials costs at Centuri, as well as general administrative expenses for both segments.</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regard to Southwest, rate schedules in each of its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In order to help cope with the effects of inflation on its operations, Southwest may file requests for rate increases to cover the increased cost of purchased gas or other types of expenditures noted above. However, there can be no assurance that Southwest will be able to obtain adequate and timely rate relief to offset the effects of inflation and any non-recovery of costs or</w:t>
      </w: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regulatory lag will reduce our cash flows and earnings. As a result, during periods in which the inflation rate exceeds the rate increases applicable to purchased gas, or other types of expenditures, we may not adequately mitigate the impact of inflation, which may adversely affect our business, financial condition, results of operations, and cash flows.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inflationary pricing has had and may continue to have a negative effect on the construction costs necessary to complete projects at Centuri, particularly with respect to fuel, labor, and subcontractor costs discussed above. Centuri is experiencing pressures on fuel, materials, and certain labor costs as a result of the inflationary environment and current general labor shortage, which has resulted in increased competition for skilled labor and wage inflation. Centuri has not been able to (except in limited circumstances), and may not be able to, fully adjust its contract pricing to compensate for these cost increases, which has affected, and may continue to affect, Centuri’s profitability and cash flows. Inflationary pressures and related recessionary concerns in light of governmental and central bank efforts to mitigate inflation could also cause uncertainty for Centuri’s customers and affect the level of their project activity, which could also adversely affect Centuri’s profitability and cash flows. Furthermore, inflationary pressures may also influence Southwest’s customers in remitting payments on their utility bills, which may adversely affect Southwest’s cash flows and associated reserves for uncollectible accounts in earnings.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inflation persists, the Board of Governors of the United States Federal Reserve Bank has raised and has indicated that it intends to continue to raise benchmark interest rates into 2023 and 2024, which likely will cause our borrowing costs to increase over time. As a result of the inflationary factors discussed above affecting the Company, Southwest, and Centuri, our business, financial condition, results of operations, cash flows, and liquidity could be adversely affected over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Fixed-price contracts at Centuri are subject to potential losses that could adversely affect results of operations.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enters into a variety of types of contracts customary in the underground utility construction industry. These contracts include unit-priced contracts (including unit-priced contracts with revenue caps), time and material (cost plus) contracts,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nature of our operations presents inherent risks of loss that could adversely affect our results of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natural gas distribution and pipeline and storage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liability insurance that covers Southwest for some, but not all, risks associated with the operation of our natural gas pipelines and facilities, and the utility infrastructure services we provide. In connection with these liability insurance policies, each entity is responsible for an initial deductible or self-insured retention amount per incident, after which the insurance carriers would be responsible for amounts up to the policy limits. Liability insurance policies at Southwest require us to be responsible for the first $1 million (self-insured retention) of each incident plus the first $4 million in total claims above our self-insured retention in the policy year; while Centuri’s self-insured retention amount is $750,000 per occurrence. We cannot predict the likelihood that any future event will occur which will result in a claim exceeding these amounts; however, a large claim for which we were deemed liable would reduce our earnings up to and including these self-insurance maximums.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in our operating areas can adversely affect operations, financial position, and cash flows.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Conversely, Southwest’s revenues are highest during the first and fourth quarters of the year during the winter months as customer consumption increases. While Southwest has decoupling mechanisms in place in all three states in which it operates,</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spacing w:after="0" w:line="290" w:lineRule="auto"/>
        <w:rPr>
          <w:sz w:val="20"/>
          <w:szCs w:val="20"/>
          <w:color w:val="auto"/>
        </w:rPr>
      </w:pPr>
      <w:r>
        <w:rPr>
          <w:rFonts w:ascii="Arial" w:cs="Arial" w:eastAsia="Arial" w:hAnsi="Arial"/>
          <w:sz w:val="16"/>
          <w:szCs w:val="16"/>
          <w:color w:val="auto"/>
        </w:rPr>
        <w:t>warmer than normal weather can reduce the amount of billed revenue, as well as amounts collected or returned related to regulatory tracking mechanisms under various programs, thereby impacting cash flows. Weather extremes such as drought and high temperature variations are common occurrences in the southwest U.S. and could impact our growth and results of operations. Deviations from normal weather conditions, even those occurring outside of our service territories, as well as the seasonal nature of our businesses can create fluctuations in short-term cash requirements of both Southwest and Centuri, and earnings, primarily related to Centuri. For example, the market price of natural gas spiked as a result of cold weather conditions across the central United States in December 2022 and regional pricing dislocation on the west coast in January 2023. As a result of this increase in pricing, Southwest entered into a $450 million term loan in January 2023 in order to fund the incremental cost. Southwest may be required to incur additional indebtedness in connection with future spikes in natural gas prices as a result of extreme weather events.</w:t>
      </w:r>
    </w:p>
    <w:p>
      <w:pPr>
        <w:spacing w:after="0" w:line="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utility provider, midstream service provider, and infrastructure services provider, maintaining business operations is critical for our customers, business partners, suppliers, and our employees. A disruption in service could adversely impact our reputation, ability to provide services for our customers, and the media used to communicate and exchange information both internally and externally.</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process and store sensitive information, including personal identifiable information (“PII”), intellectual property, and business proprietary information as part of normal business operations. A cybersecurity breach of this information could expose us to monetary and other damages from customers, suppliers, business partners, government agencies, and others. The federal and state legislative and regulatory environment surrounding PII, information security, and data privacy is evolving and is likely to become increasingly demanding. For example, California enacted the California Consumer Privacy Act, which became effective on January 1, 2020 and requires covered businesses to, among other things, provide disclosures to California consumers regarding the collection, use, and disclosure of such consumers’ PII and afford such consumers new rights, including the right to opt out of certain sales of PII. Additional states are also considering new laws and regulations that further protect the confidentiality, privacy, and security of personal information. Should the Company experience a breach and/or become subject to additional regulation, it could face substantial compliance costs, reputational damage, and uncertain litigation risks.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Physical damage due to a cybersecurity incident or acts of cyber terrorism could impact utility, transmission, storage, and related services provided to customers and could lead to material liabilities. The Company has taken the initiative in fortifying the core infrastructure that supports the provision of these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the Company’s operations and financial results could be adversely affected to the extent not fully covered by such insurance.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third-party suppliers and subcontractors.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Centuri maintains oversight of those third-party suppliers and subcontractors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 Furthermore, if Centuri’s relationship with its third-party suppliers and subcontractors were to be damaged, it may be difficult to replace them in a cost-effective manner.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Reliance on similar services, and their availability, may also impact the ability of Southwest to execute on its objectives for projects undertaken.</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Challenges relating to current supply chain constraints have negatively impacted Centuri’s work mix and volumes and could adversely impact our results of operations overall.</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Due to increased demand across a range of industries, the global supply market for certain customer-provided components, including, but not limited to, electric transformers and gas risers needed to complete customer projects at Centuri, has experienced isolated performance constraint and disruption in recent periods in support of a few customers. This constrained supply environment has adversely affected, and could further affect, customer-provided component availability, lead times and cost, and could increase the likelihood of unexpected cancellations or delays of supply of key components to customers, thereby leading to delays in Centuri’s ability to timely deliver projects to customers. In an effort to mitigate these risks, Centuri has redirected efforts to projects whereby the customer has provided necessary materials, but delays in materials and redirecting workforces can lead to inefficiencies in absorption of fixed costs, higher labor costs for teams waiting to be deployed, and delays in pivoting to projects where necessary materials are available. Centuri’s efforts to adapt quickly or redeploy to other projects may fail to reduce the impact of these adverse supply chain conditions on Centuri’s business.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these mitigation efforts, the constrained supply conditions may adversely impact Centuri’s revenues and results of operations. The COVID-19 pandemic, labor market, and conflict in Ukraine have also contributed to and exacerbated this strain</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within and outside the U.S., and there can be no assurance that these impacts on the supply chain will not continue, or worsen, in the future, negatively impacting any of our business segments and their results. The current supply chain challenges could also result in increased use of cash, engineering design changes, and delays in the completion of customer or other capital projects, each of which could adversely impact our business and results of operations for Centuri or Southwest. In the event these supply chain challenges persist for the foreseeable future, these conditions could adversely impact our results of operations and financial condition over an extended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labor relations with Centuri’s employees could adversely affect results of operations.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and uncertain work environment and conditions at Centuri.</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altered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Previously Announced Strategic Transactions</w:t>
      </w:r>
    </w:p>
    <w:p>
      <w:pPr>
        <w:spacing w:after="0" w:line="11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may encounter challenges in executing our plan to spin-off Centuri into a standalone, independent public company, or in completing this transaction within the timeframe we anticipate, and we may not realize some or all of the expected benefits of the Separation Transactions.</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2022, we announced the Separation Transactions in order to better position MountainWest, Centuri, and Southwest to deliver long-term growth and create value for customers, investors, and employees. The MountainWest Sale closed on February 14, 2023. The Centuri Spin-Off will be subject to the satisfaction of a number of customary conditions, including, among others, final approvals by the Board, approval by the ACC, receipt of tax rulings in certain jurisdictions and/or tax opinions from external counsel, the filing with the SEC and effectiveness of a Form 10 registration statement and satisfactory completion of financing. The failure to satisfy all of the required conditions for the Centuri Spin-Off could delay the completion of the Centuri Spin-Off for a significant period of time or prevent it from occurring at all. Additionally, the Centuri Spin-Off is complex in nature, and unanticipated developments or changes may affect our ability to complete the Centuri Spin-Off as currently expected, within the anticipated timeframe or at all. These or other developments could cause us not to realize some or all of the expected benefits of the Separation Transactions, or to realize them on a different timeline than expected. If we are unable to complete the Centuri Spin-Off, we will have incurred costs without realizing the anticipated benefits of such transaction. In addition, the terms and conditions of the required regulatory authorizations and consents that are granted, if any, may impose requirements, limitations or costs, or place restrictions on the conduct of Centuri following the spin-off. Although we intend for the Centuri Spin-Off to be tax-free for U.S. federal income tax purposes to both the Company and its stockholders, there can be no assurance that the transaction will qualify as tax-free for U.S. purposes. If the Centuri Spin-Off were ultimately determined to be taxable, we would incur a significant tax liability for which the newly independent Centuri may, depending on the circumstances, be required to indemnify us. In certain circumstances the distributions to the Company’s stockholders also could become taxable. Furthermore, if the Centuri Spin-Off is completed, it cannot be assured that we and Centuri will be successful as separate companies.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Whether or not both Separation Transactions are completed, our business may face material challenges in connection with these transactions, including, without limitation, the diversion of management’s attention from ongoing business concerns and impact on the business of the Company; maintaining employee morale and retaining key management and other employees at Southwest and Centuri; retaining existing or attracting new business and operational relationships, including with customers, suppliers, employees, and other counterparties; and potential negative reactions from the financial markets. Each of Southwest and Centuri will also incur ongoing costs, including costs of operating as separate companies, that the separated businesses will no longer be able to share. Additionally, we cannot predict whether the market value of our common stock and the common stock of Centuri after the Centuri Spin-Off will be, in the aggregate, less than, equal to, or greater than the market value of our common stock prior to the Separation Transactions. If the Centuri Spin-Off is completed, investors holding our common stock may sell the common stock of Centuri if it does not match their investment strategies, which may cause a decline in the market price of such common stock.</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the Centuri Spin-Off is completed, our and Centuri’s operational and financial profiles will change and each will be a less diversified company than Southwest Gas Holdings as it exists today.</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Centuri Spin-Off will result in us and Centuri being less diversified companies with more limited businesses concentrated in their respective industries. As a result, each company may be more vulnerable to changing market conditions, which could have a material adverse effect on its business, financial condition, and results of operations. In addition, the diversification of</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revenues, costs, and cash flows will diminish, such that each company’s results of operations, cash flows, working capital, effective tax rate, and financing requirements may be subject to increased volatility and its ability to fund capital expenditures and investments, pay dividends and service debt may be diminished. It is anticipated that the effective tax rate for each separate company will differ from the Southwest Gas Holdings consolidated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Centuri Spin-Off is completed, there may be changes in our stockholder base, which may cause the price of our common stock to fluctuate</w:t>
      </w:r>
      <w:r>
        <w:rPr>
          <w:rFonts w:ascii="Arial" w:cs="Arial" w:eastAsia="Arial" w:hAnsi="Arial"/>
          <w:sz w:val="16"/>
          <w:szCs w:val="16"/>
          <w:color w:val="auto"/>
        </w:rPr>
        <w:t>.</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Investors holding our common stock may hold our common stock because of a decision to invest in a company that operates in multiple markets with a diversified portfolio. If the Centuri Spin-Off is completed, shares of our common stock will represent an investment in a business concentrated in the natural gas distribution industry, and shares of the common stock of Centuri will represent an investment in the strategic utility infrastructure business. This change may not match some stockholders’ investment strategies, which could cause them to sell their shares of our common stock or the common stock of Centuri, and excessive selling pressure could cause the market price to decrease following the consummation of the Centuri Spin-Off. Additionally, we cannot predict whether the market value of our common stock and the common stock of Centuri after the Centuri Spin-Off will be, in the aggregate, less than, equal to, or greater than the market value of our common stock prior to the Centuri Spin-Off.</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goodwill and other assets have been subject to impairment and may be subject to further impairment in the future.</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a goodwill impairment loss in connection with the MountainWest Sale of $449.6 million, plus an additional loss on sale of $5.8 million for estimated costs to sell. We assess long-lived assets, including intangible assets associated with acquisitions, for impairment whenever events or circumstances indicate that an asset’s carrying amount may not be recoverable. To the extent that circumstances change, there may be additional goodwill impairment and losses on sale that could have a material impact on our results of operations. We cannot predict the amount and timing of any future impairments, if any. Any future impairment of our goodwill or intangible assets could have an adverse effect on results of operations, as well as the trading price of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Economic, and Market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holding company, Southwest Gas Holdings, Inc. depends on operating subsidiaries to meet financial obligations.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Gas Holdings, Inc. has no significant assets other than the stock of operating subsidiaries and is not expected to have significant operations on its own. Southwest Gas Holdings’ ability to pay dividends to stockholders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Corporation and the infrastructure services of Centuri Group, Inc. exists. The ability of Southwest Gas Holdings’ subsidiaries to pay upstream dividends and make other distributions are subject to relevant debt covenant restrictions of subsidiaries and applicable state law.</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Utility infrastructure segment clients’ budgetary constraints, regulatory support or decisions, and financial condition could adversely impact work awarded.</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related client capital constraints. If budgets of Centuri’s clients are reduced, or regulatory support for capital projects and programs is diminished, it could have a material adverse effect on our business, results of operations, and cash flows. Additionally, the impact of new regulatory and compliance requirements could result in productivity inefficiencies and adversely impact Centuri’s results of operations and cash flows, or timing delays in their realization.</w:t>
      </w:r>
    </w:p>
    <w:p>
      <w:pPr>
        <w:spacing w:after="0" w:line="4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Southwest’s liquidity, and in certain circumstances our earnings, may be reduced from historical amounts or expectations during periods in which natural gas prices are rising significantly or are more volatile.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schedules in each of Southwest’s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Southwest has used short-term borrowings in the past to temporarily finance increases in purchased gas costs, and we expect to do so during 2023, if the need again arises.</w:t>
      </w:r>
    </w:p>
    <w:p>
      <w:pPr>
        <w:spacing w:after="0" w:line="200" w:lineRule="exact"/>
        <w:rPr>
          <w:sz w:val="20"/>
          <w:szCs w:val="20"/>
          <w:color w:val="auto"/>
        </w:rPr>
      </w:pP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Southwest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Southwest’s earnings may be materially impacted due to volatility in the cash surrender value of our company-owned life insurance policies during periods in which stock market changes are significant.</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has life insurance policies on members of management and other key employees to indemnify ourselves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provides pension and postretirement benefits to eligible employees. The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economic conditions may affect Southwest’s ability to finance capital expenditures.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Southwest’s business is capital intensive. 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 Furthermore, declines in our stock price resulting from economic downturns or otherwise could impact our ability to finance our operations as planned. Historically, we have frequently used our at-the-market equity offering program (“ATM Program”) to fund certain liquidity requirements. During 2022, we did not use our ATM program at the same levels that we have in prior years. As a result, we have been required to find alternative sources of capital primarily through the issuance of additional debt at the Company and Southwest. We do not expect our ATM program to be sufficient to meet all of our capital needs in 2023. As a result, we will continue to explore alternative financing sources, which may not be available to us on attractive terms or at all. Future issuances of securities could be more expensive than ATM issuances and may dilute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increases in market interest rates may have an adverse effect on the market price of our common stock.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of the factors that investors may consider in deciding whether to buy or sell our common stock is our dividend yield, which is our dividend rate as a percentage of the share price of our common stock, relative to market interest rates. If market interest rates continue to increase, prospective investors may desire a higher dividend yield on our common stock or may seek securities paying higher dividends or interest. As a result, interest rate fluctuations and capital market conditions may affect the market price of our common stock and such effects could be significant. For instance, if interest rates rise without an increase in our dividend rate, the market price of our common stock could decrease because potential investors may require a higher dividend yield on our common stock as market rates on interest-bearing securities, such as bonds, rise.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Legislative, and Legal Risks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is currently subject to, and may in the future be subject to, litigation or threatened litigation, which may result in liability exposure that could have a material adverse effect on its business and results of operations.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currently subject to, and may be subject in the future, to litigation or threatened litigation, including claims brought by stockholders and otherwise in the ordinary course of business. In particular, we are subject to ongoing stockholder litigation</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6"/>
          <w:szCs w:val="16"/>
          <w:color w:val="auto"/>
        </w:rPr>
        <w:t xml:space="preserve">and are subject to a risk of additional stockholder litigation in the future.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and potential further claims against us may result in significant additional defense costs and potentially significant judgments against us, some of which may not be, or cannot be, insured against. Additionally, whether or not any dispute actually proceeds to litigation, we may be required to pay damages or expenses, which may be significant, or involve our agreement with terms that restrict the operation of our business. Resolution of these types of matters against us may result in our having to pay significant fines, judgments, or settlements, which, if in excess of insured levels, could adversely impact our earnings and cash flows, thereby having an adverse effect on our financial condition, results of operations, cash flows and our ability to pay dividends on, and the per share trading price of, our common stock. As a consequence, liability exposure could materially and adversely affect our business and results of operations to the extent it is not fully mitigated by such insurance coverage. For more information about our ongoing legal proceedings, see </w:t>
      </w:r>
      <w:r>
        <w:rPr>
          <w:rFonts w:ascii="Arial" w:cs="Arial" w:eastAsia="Arial" w:hAnsi="Arial"/>
          <w:sz w:val="16"/>
          <w:szCs w:val="16"/>
          <w:b w:val="1"/>
          <w:bCs w:val="1"/>
          <w:color w:val="auto"/>
        </w:rPr>
        <w:t>Note 10 - Commitments and Contingencies</w:t>
      </w:r>
      <w:r>
        <w:rPr>
          <w:rFonts w:ascii="Arial" w:cs="Arial" w:eastAsia="Arial" w:hAnsi="Arial"/>
          <w:sz w:val="16"/>
          <w:szCs w:val="16"/>
          <w:color w:val="auto"/>
        </w:rPr>
        <w:t xml:space="preserve"> included in the consolidated financial statements of the 2022 Annual Report to Stockholders.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 and regulatory actions can reduce Southwest’s earnings or cash flows.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PUCN, and FERC relating to allowed rates of return, rate structure,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general, 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our regulated operations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records regulatory assets in the consolidated financial statements to reflect the ratemaking and regulatory decision-making authority of the regulators, or expected ratemaking treatment to be upheld,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may not be able to rely on rate decoupling to maintain stable financial position, results of operations, and cash flows.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has worked with regulatory commissions in designing rate structures that strive to provide affordable and reliable service to our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is subject to regulatory discretion, and if unfavorably modified or discontinued, could adversely impact Southwest’s financial position and results of operations.</w:t>
      </w:r>
    </w:p>
    <w:p>
      <w:pPr>
        <w:spacing w:after="0" w:line="200" w:lineRule="exact"/>
        <w:rPr>
          <w:sz w:val="20"/>
          <w:szCs w:val="20"/>
          <w:color w:val="auto"/>
        </w:rPr>
      </w:pP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8"/>
          <w:szCs w:val="18"/>
          <w:b w:val="1"/>
          <w:bCs w:val="1"/>
          <w:color w:val="auto"/>
        </w:rPr>
        <w:t>Southwest may be subject to increased costs related to the operation of natural gas pipelines under recent regulations concerning natural gas pipeline safety, which could have an adverse effect on our results of operations, financial condition, and/or cash flows.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committed to consistently monitoring and maintaining our distribution and transmission systems and storage operations to ensure that natural gas is acquired, stored, and/or delivered safely, reliably, and efficiently. Due to the combustible nature of our (or our customers’)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If these costs are not recoverable in our customer rates, or if there are delays in recoverability due to regulatory lag, they could have a negative impact on our operating costs and financial results, including against our expectations.</w:t>
      </w:r>
    </w:p>
    <w:p>
      <w:pPr>
        <w:spacing w:after="0" w:line="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Our delivery and related systems require numerous permits and other approvals from various federal, state, and local governmental agencies, and others to operate its business,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Southwest’s existing and planned development projects require multiple permits and approvals.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 make completion more costly, including the inability to obtain approval, public opposition to the project,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If there is a delay in obtaining any required approvals, or if we fail to obtain or maintain any required approvals, easements or rights of way, or to comply with any applicable laws or regulations, we may not be able to construct or operate our facilities, may not be able to adequately service existing customers or support customer growth, or such conditions could cause us to incur additional costs. These circumstances could negatively impact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Risks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may be adversely impacted by an economic downturn.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However, current global economic events such as the war in Ukraine, rising inflation, and increasing interest rates may cause the global economy to enter a period of economic slowdown or recession. We cannot predict the timing, strength, or duration of any future economic slowdown or recession. If the economy or the markets in which we operate decline from present levels, it may have an adverse effect on our business, financial condition, and results of operations.</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reduction in Southwest Gas Holdings, Inc. and Southwest’s credit ratings could materially and adversely affect our business, financial condition, and results of operations.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in the discretion of the applicable ratings agencies. Numerous factors, including many which are not within our control, are considered by the ratings agencies in connection with assigning credit ratings.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downgrade could increase our future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successfully integrate business acquisitions into our business and realize the anticipated benefits of the acquisitions.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acquisitions are expected to result in various benefits, including, among other things, being accretive to earnings in future periods. The achievement of the anticipated benefits of such acquisitions is subject to a number of uncertainties, including whether the businesses are integrated efficiently and effectively. Failure to achieve the anticipated benefits of acquisitions could result in increased costs, decreases in the amount of expected revenues generated, and the potential diversion of management’s time and energy, all of which could have an adverse effect on the consolidated financial position, results of</w:t>
      </w: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operations, cash flows, credit ratings, or market price of our common stock. Acquisitions may also cause us to issue equity securities which would dilute our existing stockholders’ percentage of ownership.</w:t>
      </w:r>
    </w:p>
    <w:p>
      <w:pPr>
        <w:spacing w:after="0" w:line="58"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Natural disasters, public health crises and epidemic or pandemic related illness (including COVID-19), war, or terrorist activities and other extreme events could adversely affect the Companies’ business, results of operations, financial condition, liquidity and/or cash flows.</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Local or national natural disasters, pandemic illness (including COVID-19), actual or threatened acts of war or terrorist activities, including the political and economic disruption and uncertainty related to Russia's military invasion of Ukraine, catastrophic failure of pipeline systems and other extreme events are a threat to our assets and operations. Our service territories may face a heightened risk due to exposure to acts of terrorism that could target or impact our natural gas distribution, transmission, and storage facilities and disrupt our operations and ability to meet customer requirements. In addition, the threat of terrorist activities could lead to increased economic instability and volatility in the price of natural gas that could affect our operations. Natural disasters, political unrest or actual or threatened terrorist activities may also disrupt capital markets and our ability to raise capital or may impact our suppliers or our customers directly. A local disaster or pandemic illness (including COVID-19) could result in part of our workforce being unable to operate or maintain our infrastructure or perform other tasks necessary to conduct our business. In addition, these risks could result in loss of human life, significant damage to property, environmental damage, impairment of our operations and substantial loss to the Company. Our regulators may not allow us to recover from our customers part or all of the increased cost related to the foregoing events, which could negatively affect our financial condition, results of operations, and cash flows.</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slow or inadequate response to events that could cause business interruption may have an adverse impact on operations and earnings. We may be unable to obtain sufficient insurance to cover all risks associated with local and national disasters, pandemic illness, terrorist activities, catastrophic failure of the pipeline system and other events, which could increase the risk that an event adversely affects our financial condition, results of operations and cash flows.</w:t>
      </w:r>
    </w:p>
    <w:p>
      <w:pPr>
        <w:spacing w:after="0" w:line="7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plant investment of Southwest consists primarily of transmission and distribution mains, compressor stations, peak shaving/storage facilities, service lines, meters, and regulators, which comprise the pipeline systems and facilities located in and around the communities served. Southwest also includes other properties such as land, buildings, furnishings, work equipment, vehicles, and software systems in utility plant. The northern Nevada and northern California properties of Southwest are referred to as the northern system; the Arizona, southern Nevada, and southern California properties are referred to as the southern system. Total gas plant at December 31, 2022 was $9.7 billion at Southwest, including construction work in progress. It is the opinion of management that the properties of Southwest are suitable and adequate for its purposes.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right-of-way grants, Southwest generally has had continuous and uninterrupted possession and use of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Southwest, through two subsidiaries, operates two primary pipeline transmission systems:</w:t>
      </w:r>
    </w:p>
    <w:p>
      <w:pPr>
        <w:spacing w:after="0" w:line="23" w:lineRule="exact"/>
        <w:rPr>
          <w:sz w:val="20"/>
          <w:szCs w:val="20"/>
          <w:color w:val="auto"/>
        </w:rPr>
      </w:pPr>
    </w:p>
    <w:p>
      <w:pPr>
        <w:ind w:left="66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system (including an LNG storage facility) owned by Great Basin extending from the Idaho-Nevada border to the Reno, Sparks, and Carson City areas and communities in the Lake Tahoe area in both California and Nevada and other communities in northern and western Nevada;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system extending from the Colorado River at the southern tip of Nevada to the Las Vegas distribution area.</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Elko and Spring Creek. Service areas in southern Nevada include the Las Vegas valley (including Henderson and Boulder City), Laughlin, and Mesquite. Service areas</w:t>
      </w: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in southern California include Barstow, Big Bear, Needles, and Victorville. Service areas in northern California include the Lake Tahoe area and Truckee.</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MountainWest, which was part of our operations and properties in 2022, but sold in February 2023, provides over 2,000 miles of interstate natural gas pipelines and storage facilities in Utah, Wyoming, and Colorado. Plant investment primarily consists of transmission mains, storage facilities, and gas gathering and processing property. Substantially all property is constructed across property owned by others under right-of-way grants, similar to Southwest, with regular renewal, and no serious difficulty is currently expected in obtaining future renewals. MountainWest’s system is located in the Rocky Mountains near large reserves of natural gas in six major producing areas, including the Greater Green River, Uinta, and Piceance basins. MountainWest transports gas from these areas to other major pipeline systems for delivery to markets in the west and midwest including the Dominion Energy local distribution system serving natural gas utility customers in Utah, southwest Wyoming, and southern Idaho. MountainWest owns and operates the Clay Basin storage facility located on the Wyoming-Utah border, an underground storage reservoir in the Rocky Mountain Region. Through wholly-owned subsidiaries, MountainWest owns and operates MountainWest Overthrust Pipeline, LLC in southwestern Wyoming. MountainWest also operates and owns 50% of the White River Hub, LLC providing transportation and hub services through interconnections with six interstate pipeline systems and a major processing plant near Meeker, Colorado.</w:t>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on properties of Centuri can be found in this Form 10-K under Utility Infrastructure Services under Part I, which by this reference is incorporated herein.</w:t>
      </w:r>
    </w:p>
    <w:p>
      <w:pPr>
        <w:spacing w:after="0" w:line="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liability insurance for various risks associated with the operation of its natural gas pipelines and facilities. In August 2021, a natural gas pipe operated by Southwest was involved in an explosion that injured four individuals and damaged property. The explosion was caused by a leak in the pipe, and is under investigation. Individuals that were injured have each brought legal claims against Southwest and other parties. As of December 31, 2022, Southwest’s earnings exposure was deemed to be limited to its maximum self-insured retention level of $5 million. Based on our insurance policies, amounts incurred above the self-insured retention amounts that are indemnifiable by insurance companies are recorded on the balance sheet, but do not impact our earnings. An estimate of actual losses greater than that which has been recognized in these financial statements cannot be estimated as of the date these financial statements are issued.</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addition, the Company and Southwest are named as a defendant in various other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 See </w:t>
      </w:r>
      <w:r>
        <w:rPr>
          <w:rFonts w:ascii="Arial" w:cs="Arial" w:eastAsia="Arial" w:hAnsi="Arial"/>
          <w:sz w:val="17"/>
          <w:szCs w:val="17"/>
          <w:b w:val="1"/>
          <w:bCs w:val="1"/>
          <w:color w:val="auto"/>
        </w:rPr>
        <w:t>Note 10 - Commitments and Contingencies</w:t>
      </w:r>
      <w:r>
        <w:rPr>
          <w:rFonts w:ascii="Arial" w:cs="Arial" w:eastAsia="Arial" w:hAnsi="Arial"/>
          <w:sz w:val="17"/>
          <w:szCs w:val="17"/>
          <w:color w:val="auto"/>
        </w:rPr>
        <w:t xml:space="preserve"> for a discussion on ongoing litigation, including litigation filed by certain stockholders and by funds managed by Carl Icahn.</w:t>
      </w:r>
    </w:p>
    <w:p>
      <w:pPr>
        <w:spacing w:after="0" w:line="10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listing of the executive officers of the Company are set forth under </w:t>
      </w:r>
      <w:r>
        <w:rPr>
          <w:rFonts w:ascii="Arial" w:cs="Arial" w:eastAsia="Arial" w:hAnsi="Arial"/>
          <w:sz w:val="18"/>
          <w:szCs w:val="18"/>
          <w:b w:val="1"/>
          <w:bCs w:val="1"/>
          <w:color w:val="auto"/>
        </w:rPr>
        <w:t>Part III Item 10. DIRECTORS, EXECUTIVE OFFICERS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GOVERNANCE</w:t>
      </w:r>
      <w:r>
        <w:rPr>
          <w:rFonts w:ascii="Arial" w:cs="Arial" w:eastAsia="Arial" w:hAnsi="Arial"/>
          <w:sz w:val="18"/>
          <w:szCs w:val="18"/>
          <w:color w:val="auto"/>
        </w:rPr>
        <w:t>, which by this reference is incorporated herein.</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1260" w:right="6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15, 2023, there were 10,711 holders of record of common stock, and the market price of the common stock was $64.98. The dividends on, and information relating to, the Company’s common stock required by this item are included in the 2022 Annual Report to Stockholders filed as an exhibit hereto and incorporated herein by reference.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Dividends are payable on the Company’s common stock at the discretion of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The quarterly dividend was $0.62 in 2022, and in February 2023, the Board determined to retain the quarterly dividend at $0.62 per share effective with the June 2023 payment. Although no assurances can be provided on our future dividend payments, the Board currently intends to reevaluate the dividend upon the completion of the Centuri spin-off, and it is anticipated that we will pay a dividend consistent with industry peers.</w:t>
      </w:r>
    </w:p>
    <w:p>
      <w:pPr>
        <w:spacing w:after="0" w:line="1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is included in the 2022 Annual Report to Stockholders and is incorporated herein by reference.</w:t>
      </w:r>
    </w:p>
    <w:p>
      <w:pPr>
        <w:spacing w:after="0" w:line="15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various forms of market risk, including commodity price risk, rate design risk, interest rate risk, and foreign currency exchange rate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exposure to these risks.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managing its natural gas supply portfolios, Southwest has historically entered short duration (generally one year or less) fixed-price contracts for its California rate jurisdictions, as well as variable-price contracts (firm and spot) for all its rate jurisdictions. Southwest has experienced price volatility over the past several years and such volatility is expected to continue into 2023 and beyond.</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has historically utilized a Volatility Mitigation Program attempting to further reduce price volatility for its California rate jurisdiction customers. During 2022, Southwest continued to fix the price on a portion of its California natural gas portfolios using fixed-price contracts. For periods beyond October 2020, Southwest does not currently plan to make fixed-price term or swap purchases broadly for the Arizona or Nevada jurisdictions; however, it will continue to make fixed-price purchases for the California jurisdictions.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Southwest’s natural gas purchasing practices are subject to prudence reviews by the various regulatory bodies in each jurisdiction. PGA changes affect cash flows and potentially short-term borrowing requirements, but do not directly impact profit margin.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Design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based on monthly margin levels. In Nevada and Arizona, a decoupled rate structure applies to most customer classes based on monthly margin per customer benchmarks. All such mechanisms provide stability in annual operating margin by insulating us from variations in customer usage associated with abnormal weather conditions (including margin protection during warm weather and limits on margin during cold weather). Southwest is not assured that decoupled rate structures will continue to be supported in future rate cases.</w:t>
      </w:r>
    </w:p>
    <w:p>
      <w:pPr>
        <w:spacing w:after="0" w:line="200" w:lineRule="exact"/>
        <w:rPr>
          <w:sz w:val="20"/>
          <w:szCs w:val="20"/>
          <w:color w:val="auto"/>
        </w:rPr>
      </w:pP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Similarly, Southwest has in place ongoing infrastructure replacement protocol for certain pipe replacement activity. These programs are designed to mitigate the financial attrition associated with pipe replacement activity between rate cases by providing for the recovery of and return on expenditures. The programs have included the replacement of Early Vintage Plastic Pipe, Vintage Steel Pipe, and Customer-Owned Yard Lines, in addition to the conversion of master-metered mobile home parks to individually metered mobile homes. Southwest is not assured that currently approved programs will continue to be supported in future regulatory proceedings.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Great Basin’s regulated rate design, similar to that which was in place for MountainWest in 2022, is under the jurisdiction of the FERC, and provides for a substantial portion of its rate structures based on fixed reservations and storage charges and it is not assured that currently approved structures will continue to be approved by the FERC in future filings or proceedings.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interest rates could adversely affect earnings or cash flows. The primary interest rate risks for the Company are the risk of increasing interest rates on variable-rate obligations and the risk of increasing interest rates between the time of an anticipated debt offering and the time of actual issuance. Interest rate risk sensitivity analysis is used to measure this risk by computing estimated changes in cash flows as a result of assumed changes in market interest rates. In Nevada, fluctuations in interest rates on $150 million of variable-rate tax-exempt Industrial Development Revenue Bonds (“IDRBs”) are tracked and recovered from customers through a variable interest expense recovery mechanism, which mitigates risk to earnings and cash flows from interest rate fluctuations on these IDRBs. The following table represents the variable rate debt as of December 31, 2022 and 2021 and interest rate sensitivity analysis for a hypothetical 1% change in interest rates, assuming a constant outstanding balance in such debt over the next twelve months: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Increase/Decrease</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Increase/Decrease</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in Interest</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1"/>
              </w:rPr>
              <w:t>in Interest</w:t>
            </w:r>
          </w:p>
        </w:tc>
        <w:tc>
          <w:tcPr>
            <w:tcW w:w="0" w:type="dxa"/>
            <w:vAlign w:val="bottom"/>
          </w:tcPr>
          <w:p>
            <w:pPr>
              <w:spacing w:after="0"/>
              <w:rPr>
                <w:sz w:val="1"/>
                <w:szCs w:val="1"/>
                <w:color w:val="auto"/>
              </w:rPr>
            </w:pPr>
          </w:p>
        </w:tc>
      </w:tr>
      <w:tr>
        <w:trPr>
          <w:trHeight w:val="162"/>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(Millions of dollars)</w:t>
            </w:r>
          </w:p>
        </w:tc>
        <w:tc>
          <w:tcPr>
            <w:tcW w:w="360" w:type="dxa"/>
            <w:vAlign w:val="bottom"/>
          </w:tcPr>
          <w:p>
            <w:pPr>
              <w:spacing w:after="0"/>
              <w:rPr>
                <w:sz w:val="14"/>
                <w:szCs w:val="14"/>
                <w:color w:val="auto"/>
              </w:rPr>
            </w:pPr>
          </w:p>
        </w:tc>
        <w:tc>
          <w:tcPr>
            <w:tcW w:w="14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2022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Expense from 1%</w:t>
            </w:r>
          </w:p>
        </w:tc>
        <w:tc>
          <w:tcPr>
            <w:tcW w:w="360" w:type="dxa"/>
            <w:vAlign w:val="bottom"/>
          </w:tcPr>
          <w:p>
            <w:pPr>
              <w:spacing w:after="0"/>
              <w:rPr>
                <w:sz w:val="14"/>
                <w:szCs w:val="14"/>
                <w:color w:val="auto"/>
              </w:rPr>
            </w:pPr>
          </w:p>
        </w:tc>
        <w:tc>
          <w:tcPr>
            <w:tcW w:w="13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2021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5"/>
              <w:spacing w:after="0" w:line="162" w:lineRule="exact"/>
              <w:rPr>
                <w:sz w:val="20"/>
                <w:szCs w:val="20"/>
                <w:color w:val="auto"/>
              </w:rPr>
            </w:pPr>
            <w:r>
              <w:rPr>
                <w:rFonts w:ascii="Arial" w:cs="Arial" w:eastAsia="Arial" w:hAnsi="Arial"/>
                <w:sz w:val="16"/>
                <w:szCs w:val="16"/>
                <w:b w:val="1"/>
                <w:bCs w:val="1"/>
                <w:color w:val="auto"/>
                <w:w w:val="92"/>
              </w:rPr>
              <w:t>Expense from 1%</w:t>
            </w:r>
          </w:p>
        </w:tc>
        <w:tc>
          <w:tcPr>
            <w:tcW w:w="0" w:type="dxa"/>
            <w:vAlign w:val="bottom"/>
          </w:tcPr>
          <w:p>
            <w:pPr>
              <w:spacing w:after="0"/>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Rate Change</w:t>
            </w:r>
          </w:p>
        </w:tc>
        <w:tc>
          <w:tcPr>
            <w:tcW w:w="3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Rate Change</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color w:val="auto"/>
              </w:rPr>
              <w:t>Variable Rate Debt:</w:t>
            </w:r>
          </w:p>
        </w:tc>
        <w:tc>
          <w:tcPr>
            <w:tcW w:w="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Southwest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Arial" w:cs="Arial" w:eastAsia="Arial" w:hAnsi="Arial"/>
                <w:sz w:val="18"/>
                <w:szCs w:val="18"/>
                <w:color w:val="auto"/>
              </w:rPr>
              <w:t>Centuri</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Arial" w:cs="Arial" w:eastAsia="Arial" w:hAnsi="Arial"/>
                <w:sz w:val="18"/>
                <w:szCs w:val="18"/>
                <w:color w:val="auto"/>
              </w:rPr>
              <w:t>Total Southwest Gas Holdings,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Excludes the IDRBs noted above.</w:t>
      </w:r>
    </w:p>
    <w:p>
      <w:pPr>
        <w:spacing w:after="0" w:line="2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sensitivity analysis at a different date may provide a higher or lower result, including relative to the amount of debt then outstanding. For instance, after the most recent balance sheet date of December 31, 2022, Corporate debt was substantially reduced in conjunction with the sale of MountainWest to Williams, when closing proceeds of $1.075 billion were used to substantially pay down amounts due under a 364-day Term Loan Facility, thereby reducing the amount due to $72 million compared to $1.15 billion included in the Corporate balance in the table above as of the end of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owns infrastructure services businesses that operate in Canada. Due to these operations, the Company is exposed to market risk associated with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2022, translation adjustments due to fluctuations in exchange rates were not significant. We do not have significant exposure to other foreign currency exchange rate fluctuations.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risk information is included in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of this report.</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of Southwest Gas Holdings and Subsidiaries, and of Southwest, including the notes thereto, together with the reports of PricewaterhouseCoopers LLP, are included in the 2022 Annual Report to Stockholders and are incorporated herein by reference.</w:t>
      </w:r>
    </w:p>
    <w:p>
      <w:pPr>
        <w:spacing w:after="0" w:line="7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2022,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2022,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reports of management of Southwest Gas Holdings, Inc. and Southwest Gas Corporation required to be included herein are incorporated by reference to the information reported in the 2022 Annual Report to Stockholders under the caption “Management’s Reports on Internal Control Over Financial Reporting.”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 of the independent registered public accounting firm required to be included herein by Southwest Gas Holdings, Inc. is incorporated by reference to the information reported in the 2022 Annual Report to Stockholders under the caption “Report of Independent Registered Public Accounting Firm.”</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Southwest Gas Corporation’s registered public accounting firm regarding internal control over financial reporting pursuant to rules of the SEC that permit Southwest Gas Corporation to provide only management’s report in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fourth quarter of 2022 that have materially affected, or are likely to materially affect, the Company’s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Southwest’s internal control over financial reporting (as defined in Rules 13a-15(f) and 15d-15(f) of the Exchange Act) during the fourth quarter of 2022 that have materially affected, or are likely to materially affect Southwest’s internal control over financial reporting.</w:t>
      </w:r>
    </w:p>
    <w:p>
      <w:pPr>
        <w:spacing w:after="0" w:line="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firstLine="8"/>
        <w:spacing w:after="0" w:line="308" w:lineRule="auto"/>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Identification of Directors. </w:t>
      </w:r>
      <w:r>
        <w:rPr>
          <w:rFonts w:ascii="Arial" w:cs="Arial" w:eastAsia="Arial" w:hAnsi="Arial"/>
          <w:sz w:val="17"/>
          <w:szCs w:val="17"/>
          <w:color w:val="auto"/>
        </w:rPr>
        <w:t>Information with respect to Directors will be set forth under the heading “Election of Directors” in the definitive 2023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which will be filed with the SEC within 120 days after December 31, 2022 and by this reference is incorporated herein.</w:t>
      </w:r>
    </w:p>
    <w:p>
      <w:pPr>
        <w:spacing w:after="0" w:line="38" w:lineRule="exact"/>
        <w:rPr>
          <w:rFonts w:ascii="Arial" w:cs="Arial" w:eastAsia="Arial" w:hAnsi="Arial"/>
          <w:sz w:val="17"/>
          <w:szCs w:val="17"/>
          <w:color w:val="auto"/>
        </w:rPr>
      </w:pPr>
    </w:p>
    <w:p>
      <w:pPr>
        <w:jc w:val="both"/>
        <w:ind w:firstLine="8"/>
        <w:spacing w:after="0" w:line="263"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Information About Our Executive Officers. </w:t>
      </w:r>
      <w:r>
        <w:rPr>
          <w:rFonts w:ascii="Arial" w:cs="Arial" w:eastAsia="Arial" w:hAnsi="Arial"/>
          <w:sz w:val="18"/>
          <w:szCs w:val="18"/>
          <w:color w:val="auto"/>
        </w:rPr>
        <w:t>Information with respect to Executive Officers will be set forth under the heading “Governance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Company-Executive Officers” in the definitive 2023 Proxy Statement, which will be filed with the SEC within 120 days after December 31, 2022 and by this reference is incorporated herein.</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Certain Significant Employees. </w:t>
      </w: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Family Relationships. </w:t>
      </w:r>
      <w:r>
        <w:rPr>
          <w:rFonts w:ascii="Arial" w:cs="Arial" w:eastAsia="Arial" w:hAnsi="Arial"/>
          <w:sz w:val="18"/>
          <w:szCs w:val="18"/>
          <w:color w:val="auto"/>
        </w:rPr>
        <w:t>No Directors or Executive Officers are related either by blood, marriage, or adoption.</w:t>
      </w:r>
    </w:p>
    <w:p>
      <w:pPr>
        <w:spacing w:after="0" w:line="117" w:lineRule="exact"/>
        <w:rPr>
          <w:rFonts w:ascii="Arial" w:cs="Arial" w:eastAsia="Arial" w:hAnsi="Arial"/>
          <w:sz w:val="18"/>
          <w:szCs w:val="18"/>
          <w:color w:val="auto"/>
        </w:rPr>
      </w:pPr>
    </w:p>
    <w:p>
      <w:pPr>
        <w:jc w:val="both"/>
        <w:ind w:firstLine="8"/>
        <w:spacing w:after="0" w:line="279" w:lineRule="auto"/>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Business Experience</w:t>
      </w:r>
      <w:r>
        <w:rPr>
          <w:rFonts w:ascii="Arial" w:cs="Arial" w:eastAsia="Arial" w:hAnsi="Arial"/>
          <w:sz w:val="17"/>
          <w:szCs w:val="17"/>
          <w:color w:val="auto"/>
        </w:rPr>
        <w:t>. Information with respect to Directors will be set forth under the heading “Proposal 1 - Election of Directors” in the definitive 2023</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 which will be filed with the SEC within 120 days after December 31, 2022 and by this reference is incorporated herein. Information with respect to Executive Officers will be set forth under the heading “Governance of the Company - Executive Officers” in the definitive 2023 Proxy Statement, which will be filed with the SEC within 120 days after December 31, 2022 and by this reference is incorporated herein.</w:t>
      </w:r>
    </w:p>
    <w:p>
      <w:pPr>
        <w:spacing w:after="0" w:line="63" w:lineRule="exact"/>
        <w:rPr>
          <w:rFonts w:ascii="Arial" w:cs="Arial" w:eastAsia="Arial" w:hAnsi="Arial"/>
          <w:sz w:val="17"/>
          <w:szCs w:val="17"/>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Involvement in Certain Legal Proceedings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Promoters and Control Persons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jc w:val="both"/>
        <w:ind w:firstLine="8"/>
        <w:spacing w:after="0" w:line="263"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Information with respect to the designated financial experts of the Board of Directors’ audit committee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under the heading “Governance of the Company - Committees of the Board” in the definitive 2023 Proxy Statement, which will be filed with the SEC within 120 days after December 31, 2022 and by this reference is incorporated herein.</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i)</w:t>
      </w:r>
      <w:r>
        <w:rPr>
          <w:rFonts w:ascii="Arial" w:cs="Arial" w:eastAsia="Arial" w:hAnsi="Arial"/>
          <w:sz w:val="18"/>
          <w:szCs w:val="18"/>
          <w:i w:val="1"/>
          <w:iCs w:val="1"/>
          <w:color w:val="auto"/>
        </w:rPr>
        <w:t xml:space="preserve"> Identification of the Audit Committee</w:t>
      </w:r>
      <w:r>
        <w:rPr>
          <w:rFonts w:ascii="Arial" w:cs="Arial" w:eastAsia="Arial" w:hAnsi="Arial"/>
          <w:sz w:val="18"/>
          <w:szCs w:val="18"/>
          <w:color w:val="auto"/>
        </w:rPr>
        <w:t>. Information with respect to the composition of the Board of Directors’ audit committee will be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“Governance of the Company - Committees of the Board” in the definitive 2023 Proxy Statement, which will be filed with the SEC within 120 days after December 31, 2022 and by this reference is incorporated herein.</w:t>
      </w:r>
    </w:p>
    <w:p>
      <w:pPr>
        <w:spacing w:after="0" w:line="76"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Director Nomination Procedures for Security Holders. </w:t>
      </w:r>
      <w:r>
        <w:rPr>
          <w:rFonts w:ascii="Arial" w:cs="Arial" w:eastAsia="Arial" w:hAnsi="Arial"/>
          <w:sz w:val="18"/>
          <w:szCs w:val="18"/>
          <w:color w:val="auto"/>
        </w:rPr>
        <w:t>None.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Code of Business Conduct and Ethics. </w:t>
      </w:r>
      <w:r>
        <w:rPr>
          <w:rFonts w:ascii="Arial" w:cs="Arial" w:eastAsia="Arial" w:hAnsi="Arial"/>
          <w:sz w:val="17"/>
          <w:szCs w:val="17"/>
          <w:color w:val="auto"/>
        </w:rPr>
        <w:t>We have adopted a code of business conduct and ethics for employees, including the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chief financial officer, chief accounting officer, and non-employee directors. The Company’s Code of Business Conduct and Ethics can be viewed on our website (http://investors.swgasholdings.com/static-files/de8de4ce-63aa-4ca1-85d9-1ee73acddfd0).</w:t>
      </w:r>
    </w:p>
    <w:p>
      <w:pPr>
        <w:spacing w:after="0" w:line="9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with respect to Item 11 will be set forth in the definitive 2023 Proxy Statement, which will be filed with the SEC within 120 days after December 31, 2022 and by this reference is incorporated herein.</w:t>
      </w:r>
    </w:p>
    <w:p>
      <w:pPr>
        <w:spacing w:after="0" w:line="62" w:lineRule="exact"/>
        <w:rPr>
          <w:sz w:val="20"/>
          <w:szCs w:val="20"/>
          <w:color w:val="auto"/>
        </w:rPr>
      </w:pPr>
    </w:p>
    <w:p>
      <w:pPr>
        <w:jc w:val="both"/>
        <w:ind w:firstLine="8"/>
        <w:spacing w:after="0" w:line="263" w:lineRule="auto"/>
        <w:tabs>
          <w:tab w:leader="none" w:pos="29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Interlocks and Insider Participation. </w:t>
      </w:r>
      <w:r>
        <w:rPr>
          <w:rFonts w:ascii="Arial" w:cs="Arial" w:eastAsia="Arial" w:hAnsi="Arial"/>
          <w:sz w:val="18"/>
          <w:szCs w:val="18"/>
          <w:color w:val="auto"/>
        </w:rPr>
        <w:t>Information with respect to Compensation Committee interlocks and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is set forth under the heading “Governance of the Company” in the definitive 2023 Proxy Statement, which will be filed with the SEC within 120 days after December 31, 2022 and by this reference is incorporated herein.</w:t>
      </w:r>
    </w:p>
    <w:p>
      <w:pPr>
        <w:spacing w:after="0" w:line="75" w:lineRule="exact"/>
        <w:rPr>
          <w:rFonts w:ascii="Arial" w:cs="Arial" w:eastAsia="Arial" w:hAnsi="Arial"/>
          <w:sz w:val="18"/>
          <w:szCs w:val="18"/>
          <w:color w:val="auto"/>
        </w:rPr>
      </w:pPr>
    </w:p>
    <w:p>
      <w:pPr>
        <w:jc w:val="both"/>
        <w:ind w:firstLine="8"/>
        <w:spacing w:after="0" w:line="263" w:lineRule="auto"/>
        <w:tabs>
          <w:tab w:leader="none" w:pos="28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Report. </w:t>
      </w:r>
      <w:r>
        <w:rPr>
          <w:rFonts w:ascii="Arial" w:cs="Arial" w:eastAsia="Arial" w:hAnsi="Arial"/>
          <w:sz w:val="18"/>
          <w:szCs w:val="18"/>
          <w:color w:val="auto"/>
        </w:rPr>
        <w:t>Information with respect to the Compensation Committee Report is set forth under the heading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 in the definitive 2023 Proxy Statement, which will be filed with the SEC within 120 days after December 31, 2022 and by this reference is incorporated herein.</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6" w:name="page27"/>
    <w:bookmarkEnd w:id="26"/>
    <w:p>
      <w:pPr>
        <w:ind w:left="1260" w:right="10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08" w:lineRule="exact"/>
        <w:rPr>
          <w:sz w:val="20"/>
          <w:szCs w:val="20"/>
          <w:color w:val="auto"/>
        </w:rPr>
      </w:pPr>
    </w:p>
    <w:p>
      <w:pPr>
        <w:jc w:val="both"/>
        <w:ind w:firstLine="8"/>
        <w:spacing w:after="0" w:line="286" w:lineRule="auto"/>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Security Ownership of Certain Beneficial Owners. </w:t>
      </w:r>
      <w:r>
        <w:rPr>
          <w:rFonts w:ascii="Arial" w:cs="Arial" w:eastAsia="Arial" w:hAnsi="Arial"/>
          <w:sz w:val="17"/>
          <w:szCs w:val="17"/>
          <w:color w:val="auto"/>
        </w:rPr>
        <w:t>Information with respect to security ownership of certain beneficial owners is set forth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heading “Securities Ownership by Directors, Director Nominees, Executive Officers, and Certain Beneficial Owners” in the definitive 2023 Proxy Statement, which will be filed with the SEC within 120 days after December 31, 2022 and by this reference is incorporated herein.</w:t>
      </w:r>
    </w:p>
    <w:p>
      <w:pPr>
        <w:spacing w:after="0" w:line="57" w:lineRule="exact"/>
        <w:rPr>
          <w:rFonts w:ascii="Arial" w:cs="Arial" w:eastAsia="Arial" w:hAnsi="Arial"/>
          <w:sz w:val="17"/>
          <w:szCs w:val="17"/>
          <w:color w:val="auto"/>
        </w:rPr>
      </w:pPr>
    </w:p>
    <w:p>
      <w:pPr>
        <w:jc w:val="both"/>
        <w:ind w:firstLine="8"/>
        <w:spacing w:after="0" w:line="263" w:lineRule="auto"/>
        <w:tabs>
          <w:tab w:leader="none" w:pos="2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Management. </w:t>
      </w:r>
      <w:r>
        <w:rPr>
          <w:rFonts w:ascii="Arial" w:cs="Arial" w:eastAsia="Arial" w:hAnsi="Arial"/>
          <w:sz w:val="18"/>
          <w:szCs w:val="18"/>
          <w:color w:val="auto"/>
        </w:rPr>
        <w:t>Information with respect to security ownership of management is set forth under the heading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by Directors, Director Nominees, Executive Officers, and Certain Beneficial Owners” in the definitive 2023 Proxy Statement, which will be filed with the SEC within 120 days after December 31, 2022 and by this reference is incorporated herein.</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Control. </w:t>
      </w: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securities authorized for issuance under the Company’s equity compensation plans at December 31,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94"/>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Weighted-average</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left="348"/>
              <w:spacing w:after="0" w:line="143" w:lineRule="exact"/>
              <w:rPr>
                <w:sz w:val="20"/>
                <w:szCs w:val="20"/>
                <w:color w:val="auto"/>
              </w:rPr>
            </w:pPr>
            <w:r>
              <w:rPr>
                <w:rFonts w:ascii="Arial" w:cs="Arial" w:eastAsia="Arial" w:hAnsi="Arial"/>
                <w:sz w:val="14"/>
                <w:szCs w:val="14"/>
                <w:color w:val="auto"/>
                <w:w w:val="91"/>
              </w:rPr>
              <w:t>securities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3" w:lineRule="exact"/>
              <w:rPr>
                <w:sz w:val="20"/>
                <w:szCs w:val="20"/>
                <w:color w:val="auto"/>
              </w:rPr>
            </w:pPr>
            <w:r>
              <w:rPr>
                <w:rFonts w:ascii="Arial" w:cs="Arial" w:eastAsia="Arial" w:hAnsi="Arial"/>
                <w:sz w:val="14"/>
                <w:szCs w:val="14"/>
                <w:color w:val="auto"/>
                <w:w w:val="93"/>
              </w:rPr>
              <w:t>grant</w:t>
            </w:r>
          </w:p>
        </w:tc>
        <w:tc>
          <w:tcPr>
            <w:tcW w:w="2000" w:type="dxa"/>
            <w:vAlign w:val="bottom"/>
          </w:tcPr>
          <w:p>
            <w:pPr>
              <w:jc w:val="center"/>
              <w:spacing w:after="0" w:line="143"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0"/>
              </w:rPr>
              <w:t>to be issued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date fair</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3"/>
              </w:rPr>
              <w:t>for future issuance</w:t>
            </w:r>
          </w:p>
        </w:tc>
        <w:tc>
          <w:tcPr>
            <w:tcW w:w="0" w:type="dxa"/>
            <w:vAlign w:val="bottom"/>
          </w:tcPr>
          <w:p>
            <w:pPr>
              <w:spacing w:after="0"/>
              <w:rPr>
                <w:sz w:val="1"/>
                <w:szCs w:val="1"/>
                <w:color w:val="auto"/>
              </w:rPr>
            </w:pPr>
          </w:p>
        </w:tc>
      </w:tr>
      <w:tr>
        <w:trPr>
          <w:trHeight w:val="140"/>
        </w:trPr>
        <w:tc>
          <w:tcPr>
            <w:tcW w:w="5440" w:type="dxa"/>
            <w:vAlign w:val="bottom"/>
            <w:vMerge w:val="restart"/>
          </w:tcPr>
          <w:p>
            <w:pPr>
              <w:ind w:left="20"/>
              <w:spacing w:after="0"/>
              <w:rPr>
                <w:sz w:val="20"/>
                <w:szCs w:val="20"/>
                <w:color w:val="auto"/>
              </w:rPr>
            </w:pPr>
            <w:r>
              <w:rPr>
                <w:rFonts w:ascii="Arial" w:cs="Arial" w:eastAsia="Arial" w:hAnsi="Arial"/>
                <w:sz w:val="16"/>
                <w:szCs w:val="16"/>
                <w:color w:val="auto"/>
              </w:rPr>
              <w:t>Plan category</w:t>
            </w:r>
          </w:p>
        </w:tc>
        <w:tc>
          <w:tcPr>
            <w:tcW w:w="120" w:type="dxa"/>
            <w:vAlign w:val="bottom"/>
            <w:vMerge w:val="restart"/>
          </w:tcPr>
          <w:p>
            <w:pPr>
              <w:spacing w:after="0"/>
              <w:rPr>
                <w:sz w:val="12"/>
                <w:szCs w:val="12"/>
                <w:color w:val="auto"/>
              </w:rPr>
            </w:pPr>
          </w:p>
        </w:tc>
        <w:tc>
          <w:tcPr>
            <w:tcW w:w="1520" w:type="dxa"/>
            <w:vAlign w:val="bottom"/>
          </w:tcPr>
          <w:p>
            <w:pPr>
              <w:ind w:left="840"/>
              <w:spacing w:after="0" w:line="141" w:lineRule="exact"/>
              <w:rPr>
                <w:sz w:val="20"/>
                <w:szCs w:val="20"/>
                <w:color w:val="auto"/>
              </w:rPr>
            </w:pPr>
            <w:r>
              <w:rPr>
                <w:rFonts w:ascii="Arial" w:cs="Arial" w:eastAsia="Arial" w:hAnsi="Arial"/>
                <w:sz w:val="14"/>
                <w:szCs w:val="14"/>
                <w:color w:val="auto"/>
              </w:rPr>
              <w:t>upon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1" w:lineRule="exact"/>
              <w:rPr>
                <w:sz w:val="20"/>
                <w:szCs w:val="20"/>
                <w:color w:val="auto"/>
              </w:rPr>
            </w:pPr>
            <w:r>
              <w:rPr>
                <w:rFonts w:ascii="Arial" w:cs="Arial" w:eastAsia="Arial" w:hAnsi="Arial"/>
                <w:sz w:val="14"/>
                <w:szCs w:val="14"/>
                <w:color w:val="auto"/>
                <w:w w:val="89"/>
              </w:rPr>
              <w:t>value</w:t>
            </w:r>
          </w:p>
        </w:tc>
        <w:tc>
          <w:tcPr>
            <w:tcW w:w="2000" w:type="dxa"/>
            <w:vAlign w:val="bottom"/>
          </w:tcPr>
          <w:p>
            <w:pPr>
              <w:jc w:val="center"/>
              <w:spacing w:after="0" w:line="141"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99"/>
        </w:trPr>
        <w:tc>
          <w:tcPr>
            <w:tcW w:w="54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4"/>
              </w:rPr>
              <w:t>vesting of award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3"/>
              </w:rPr>
              <w:t>of award</w:t>
            </w:r>
          </w:p>
        </w:tc>
        <w:tc>
          <w:tcPr>
            <w:tcW w:w="100" w:type="dxa"/>
            <w:vAlign w:val="bottom"/>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reflected in column a)</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(Thousands of shares)</w:t>
            </w:r>
          </w:p>
        </w:tc>
        <w:tc>
          <w:tcPr>
            <w:tcW w:w="1520" w:type="dxa"/>
            <w:vAlign w:val="bottom"/>
          </w:tcPr>
          <w:p>
            <w:pPr>
              <w:jc w:val="center"/>
              <w:ind w:left="328"/>
              <w:spacing w:after="0"/>
              <w:rPr>
                <w:sz w:val="20"/>
                <w:szCs w:val="20"/>
                <w:color w:val="auto"/>
              </w:rPr>
            </w:pPr>
            <w:r>
              <w:rPr>
                <w:rFonts w:ascii="Arial" w:cs="Arial" w:eastAsia="Arial" w:hAnsi="Arial"/>
                <w:sz w:val="14"/>
                <w:szCs w:val="14"/>
                <w:color w:val="auto"/>
                <w:w w:val="93"/>
              </w:rPr>
              <w:t>(a)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(b)</w:t>
            </w:r>
          </w:p>
        </w:tc>
        <w:tc>
          <w:tcPr>
            <w:tcW w:w="200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33"/>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Equity compensation plans approved by security holders (1)</w:t>
            </w:r>
          </w:p>
        </w:tc>
        <w:tc>
          <w:tcPr>
            <w:tcW w:w="15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5560" w:type="dxa"/>
            <w:vAlign w:val="bottom"/>
            <w:gridSpan w:val="2"/>
          </w:tcPr>
          <w:p>
            <w:pPr>
              <w:ind w:left="360"/>
              <w:spacing w:after="0"/>
              <w:rPr>
                <w:sz w:val="20"/>
                <w:szCs w:val="20"/>
                <w:color w:val="auto"/>
              </w:rPr>
            </w:pPr>
            <w:r>
              <w:rPr>
                <w:rFonts w:ascii="Arial" w:cs="Arial" w:eastAsia="Arial" w:hAnsi="Arial"/>
                <w:sz w:val="16"/>
                <w:szCs w:val="16"/>
                <w:color w:val="auto"/>
              </w:rPr>
              <w:t>Equity compensation plans not approved by security holders</w:t>
            </w:r>
          </w:p>
        </w:tc>
        <w:tc>
          <w:tcPr>
            <w:tcW w:w="15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5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180" w:right="20" w:hanging="10"/>
        <w:spacing w:after="0" w:line="269"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securities to be issued upon vesting of awards includes 283,000 performance shares, which was derived by assuming that target performance will be achieved during the relevant performance period. The number of securities remaining available for future issuance includes shares relating to the Omnibus Incentive Plan and Management Incentive Plan. Actual securities issued will be net of tax.</w:t>
      </w:r>
    </w:p>
    <w:p>
      <w:pPr>
        <w:spacing w:after="0" w:line="6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Additional information regarding the equity compensation plans is included in </w:t>
      </w:r>
      <w:r>
        <w:rPr>
          <w:rFonts w:ascii="Arial" w:cs="Arial" w:eastAsia="Arial" w:hAnsi="Arial"/>
          <w:sz w:val="18"/>
          <w:szCs w:val="18"/>
          <w:b w:val="1"/>
          <w:bCs w:val="1"/>
          <w:color w:val="auto"/>
        </w:rPr>
        <w:t>Note 9 - Share-Based Compensation</w:t>
      </w:r>
      <w:r>
        <w:rPr>
          <w:rFonts w:ascii="Arial" w:cs="Arial" w:eastAsia="Arial" w:hAnsi="Arial"/>
          <w:sz w:val="18"/>
          <w:szCs w:val="18"/>
          <w:color w:val="auto"/>
        </w:rPr>
        <w:t xml:space="preserve"> of the notes to consolidated financial statements in the 2022 Annual Report to Stockholders.</w:t>
      </w:r>
    </w:p>
    <w:p>
      <w:pPr>
        <w:spacing w:after="0" w:line="9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Item 13 will be set forth in the definitive 2023 Proxy Statement, which will be filed with the SEC within 120 days after December 31, 2022 and by this reference is incorporated herein.</w:t>
      </w:r>
    </w:p>
    <w:p>
      <w:pPr>
        <w:spacing w:after="0" w:line="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Item 14 will be set forth in the definitive 2023 Proxy Statement, which will be filed with the SEC within 120 days after December 31, 2022 and by this reference is incorporated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left="52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on Form 10-K:</w:t>
      </w:r>
    </w:p>
    <w:p>
      <w:pPr>
        <w:spacing w:after="0" w:line="117" w:lineRule="exact"/>
        <w:rPr>
          <w:rFonts w:ascii="Arial" w:cs="Arial" w:eastAsia="Arial" w:hAnsi="Arial"/>
          <w:sz w:val="18"/>
          <w:szCs w:val="18"/>
          <w:color w:val="auto"/>
        </w:rPr>
      </w:pPr>
    </w:p>
    <w:p>
      <w:pPr>
        <w:jc w:val="both"/>
        <w:ind w:left="180" w:hanging="10"/>
        <w:spacing w:after="0" w:line="263" w:lineRule="auto"/>
        <w:tabs>
          <w:tab w:leader="none" w:pos="4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Southwest (including the Reports of Independent Registered Public Accounting Firm) required to be reported herein are incorporated by reference to the information reported in the 2022 Annual Report to Stockholders under the following captions: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Comprehensive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Equity</w:t>
            </w: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Comprehensive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Equity</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Management’s Reports on Internal Control Over Financial Reporting</w:t>
            </w:r>
          </w:p>
        </w:tc>
        <w:tc>
          <w:tcPr>
            <w:tcW w:w="2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6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94" w:lineRule="exact"/>
        <w:rPr>
          <w:sz w:val="20"/>
          <w:szCs w:val="20"/>
          <w:color w:val="auto"/>
        </w:rPr>
      </w:pPr>
    </w:p>
    <w:p>
      <w:pPr>
        <w:ind w:left="420" w:hanging="250"/>
        <w:spacing w:after="0"/>
        <w:tabs>
          <w:tab w:leader="none" w:pos="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schedules have been omitted because the required information is either inapplicable or included in the notes to consolidated financial statements.</w:t>
      </w:r>
    </w:p>
    <w:p>
      <w:pPr>
        <w:spacing w:after="0" w:line="136" w:lineRule="exact"/>
        <w:rPr>
          <w:rFonts w:ascii="Arial" w:cs="Arial" w:eastAsia="Arial" w:hAnsi="Arial"/>
          <w:sz w:val="16"/>
          <w:szCs w:val="16"/>
          <w:color w:val="auto"/>
        </w:rPr>
      </w:pPr>
    </w:p>
    <w:p>
      <w:pPr>
        <w:ind w:left="420" w:hanging="250"/>
        <w:spacing w:after="0"/>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6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vMerge w:val="restart"/>
          </w:tcPr>
          <w:p>
            <w:pPr>
              <w:spacing w:after="0"/>
              <w:rPr>
                <w:sz w:val="16"/>
                <w:szCs w:val="16"/>
                <w:color w:val="auto"/>
              </w:rPr>
            </w:pPr>
          </w:p>
        </w:tc>
        <w:tc>
          <w:tcPr>
            <w:tcW w:w="1740" w:type="dxa"/>
            <w:vAlign w:val="bottom"/>
            <w:gridSpan w:val="6"/>
            <w:vMerge w:val="restart"/>
          </w:tcPr>
          <w:p>
            <w:pPr>
              <w:spacing w:after="0"/>
              <w:rPr>
                <w:sz w:val="20"/>
                <w:szCs w:val="20"/>
                <w:color w:val="auto"/>
              </w:rPr>
            </w:pPr>
            <w:r>
              <w:rPr>
                <w:rFonts w:ascii="Arial" w:cs="Arial" w:eastAsia="Arial" w:hAnsi="Arial"/>
                <w:sz w:val="16"/>
                <w:szCs w:val="16"/>
                <w:b w:val="1"/>
                <w:bCs w:val="1"/>
                <w:color w:val="auto"/>
                <w:w w:val="90"/>
              </w:rPr>
              <w:t>Description of Document</w:t>
            </w:r>
          </w:p>
        </w:tc>
        <w:tc>
          <w:tcPr>
            <w:tcW w:w="3460" w:type="dxa"/>
            <w:vAlign w:val="bottom"/>
            <w:gridSpan w:val="34"/>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Number</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740" w:type="dxa"/>
            <w:vAlign w:val="bottom"/>
            <w:tcBorders>
              <w:bottom w:val="single" w:sz="8" w:color="auto"/>
            </w:tcBorders>
            <w:gridSpan w:val="6"/>
            <w:vMerge w:val="continue"/>
          </w:tcPr>
          <w:p>
            <w:pPr>
              <w:spacing w:after="0"/>
              <w:rPr>
                <w:sz w:val="15"/>
                <w:szCs w:val="15"/>
                <w:color w:val="auto"/>
              </w:rPr>
            </w:pPr>
          </w:p>
        </w:tc>
        <w:tc>
          <w:tcPr>
            <w:tcW w:w="3460" w:type="dxa"/>
            <w:vAlign w:val="bottom"/>
            <w:gridSpan w:val="3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2.01***</w:t>
            </w: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rPr>
            </w:pPr>
            <w:hyperlink r:id="rId39">
              <w:r>
                <w:rPr>
                  <w:rFonts w:ascii="Arial" w:cs="Arial" w:eastAsia="Arial" w:hAnsi="Arial"/>
                  <w:sz w:val="18"/>
                  <w:szCs w:val="18"/>
                  <w:color w:val="0000FF"/>
                </w:rPr>
                <w:t>Purchase and Sale Agreement, dated as of December 14, 2022, by and between Williams Partners</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8"/>
              </w:rPr>
            </w:pPr>
            <w:hyperlink r:id="rId39">
              <w:r>
                <w:rPr>
                  <w:rFonts w:ascii="Arial" w:cs="Arial" w:eastAsia="Arial" w:hAnsi="Arial"/>
                  <w:sz w:val="18"/>
                  <w:szCs w:val="18"/>
                  <w:color w:val="0000FF"/>
                  <w:w w:val="98"/>
                </w:rPr>
                <w:t>Operating  LLC,  Southwest  Gas  Holdings,  Inc.  and  MountainWest  Pipelines  Holding  Company.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80" w:type="dxa"/>
            <w:vAlign w:val="bottom"/>
            <w:gridSpan w:val="41"/>
          </w:tcPr>
          <w:p>
            <w:pPr>
              <w:spacing w:after="0" w:line="169" w:lineRule="exact"/>
              <w:rPr>
                <w:rFonts w:ascii="Arial" w:cs="Arial" w:eastAsia="Arial" w:hAnsi="Arial"/>
                <w:sz w:val="18"/>
                <w:szCs w:val="18"/>
                <w:color w:val="0000FF"/>
              </w:rPr>
            </w:pPr>
            <w:hyperlink r:id="rId39">
              <w:r>
                <w:rPr>
                  <w:rFonts w:ascii="Arial" w:cs="Arial" w:eastAsia="Arial" w:hAnsi="Arial"/>
                  <w:sz w:val="18"/>
                  <w:szCs w:val="18"/>
                  <w:color w:val="0000FF"/>
                </w:rPr>
                <w:t>Incorporated herein by reference to Exhibit 2.1 to Form 8-K dated December 14, 2022.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39">
              <w:r>
                <w:rPr>
                  <w:rFonts w:ascii="Arial" w:cs="Arial" w:eastAsia="Arial" w:hAnsi="Arial"/>
                  <w:sz w:val="18"/>
                  <w:szCs w:val="18"/>
                  <w:color w:val="0000FF"/>
                  <w:w w:val="87"/>
                </w:rPr>
                <w:t>37976.</w:t>
              </w:r>
            </w:hyperlink>
          </w:p>
        </w:tc>
        <w:tc>
          <w:tcPr>
            <w:tcW w:w="1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40" w:type="dxa"/>
            <w:vAlign w:val="bottom"/>
            <w:gridSpan w:val="3"/>
          </w:tcPr>
          <w:p>
            <w:pPr>
              <w:spacing w:after="0"/>
              <w:rPr>
                <w:sz w:val="20"/>
                <w:szCs w:val="20"/>
                <w:color w:val="auto"/>
              </w:rPr>
            </w:pPr>
            <w:r>
              <w:rPr>
                <w:rFonts w:ascii="Arial" w:cs="Arial" w:eastAsia="Arial" w:hAnsi="Arial"/>
                <w:sz w:val="18"/>
                <w:szCs w:val="18"/>
                <w:color w:val="auto"/>
              </w:rPr>
              <w:t>3(i)</w:t>
            </w:r>
          </w:p>
        </w:tc>
        <w:tc>
          <w:tcPr>
            <w:tcW w:w="8140" w:type="dxa"/>
            <w:vAlign w:val="bottom"/>
            <w:gridSpan w:val="44"/>
          </w:tcPr>
          <w:p>
            <w:pPr>
              <w:spacing w:after="0"/>
              <w:rPr>
                <w:rFonts w:ascii="Arial" w:cs="Arial" w:eastAsia="Arial" w:hAnsi="Arial"/>
                <w:sz w:val="18"/>
                <w:szCs w:val="18"/>
                <w:color w:val="0000FF"/>
              </w:rPr>
            </w:pPr>
            <w:hyperlink r:id="rId40">
              <w:r>
                <w:rPr>
                  <w:rFonts w:ascii="Arial" w:cs="Arial" w:eastAsia="Arial" w:hAnsi="Arial"/>
                  <w:sz w:val="18"/>
                  <w:szCs w:val="18"/>
                  <w:color w:val="0000FF"/>
                </w:rPr>
                <w:t>Certificate of Incorporation of Southwest Gas Holdings, Inc., a Delaware corporation. Incorporated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herein by reference to Exhibit 3.1 to Form 8-K12B dated September 20, 2019, File No. 001-37976.</w:t>
              </w:r>
            </w:hyperlink>
          </w:p>
        </w:tc>
        <w:tc>
          <w:tcPr>
            <w:tcW w:w="6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140" w:type="dxa"/>
            <w:vAlign w:val="bottom"/>
            <w:gridSpan w:val="3"/>
          </w:tcPr>
          <w:p>
            <w:pPr>
              <w:spacing w:after="0"/>
              <w:rPr>
                <w:sz w:val="20"/>
                <w:szCs w:val="20"/>
                <w:color w:val="auto"/>
              </w:rPr>
            </w:pPr>
            <w:r>
              <w:rPr>
                <w:rFonts w:ascii="Arial" w:cs="Arial" w:eastAsia="Arial" w:hAnsi="Arial"/>
                <w:sz w:val="18"/>
                <w:szCs w:val="18"/>
                <w:color w:val="auto"/>
              </w:rPr>
              <w:t>3(ii)</w:t>
            </w:r>
          </w:p>
        </w:tc>
        <w:tc>
          <w:tcPr>
            <w:tcW w:w="8140" w:type="dxa"/>
            <w:vAlign w:val="bottom"/>
            <w:gridSpan w:val="44"/>
          </w:tcPr>
          <w:p>
            <w:pPr>
              <w:spacing w:after="0"/>
              <w:rPr>
                <w:rFonts w:ascii="Arial" w:cs="Arial" w:eastAsia="Arial" w:hAnsi="Arial"/>
                <w:sz w:val="18"/>
                <w:szCs w:val="18"/>
                <w:color w:val="0000FF"/>
              </w:rPr>
            </w:pPr>
            <w:hyperlink r:id="rId41">
              <w:r>
                <w:rPr>
                  <w:rFonts w:ascii="Arial" w:cs="Arial" w:eastAsia="Arial" w:hAnsi="Arial"/>
                  <w:sz w:val="18"/>
                  <w:szCs w:val="18"/>
                  <w:color w:val="0000FF"/>
                </w:rPr>
                <w:t>Amended  and  Restated  Bylaws  of  Southwest  Gas  Holdings,  Inc.,  effective  October  18,  2021.</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Incorporated herein by reference to Exhibit 3.1 to Form 8-K dated October 18, 2021, File No. 001-37976.</w:t>
              </w:r>
            </w:hyperlink>
          </w:p>
        </w:tc>
        <w:tc>
          <w:tcPr>
            <w:tcW w:w="2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140" w:type="dxa"/>
            <w:vAlign w:val="bottom"/>
            <w:gridSpan w:val="3"/>
          </w:tcPr>
          <w:p>
            <w:pPr>
              <w:spacing w:after="0"/>
              <w:rPr>
                <w:sz w:val="20"/>
                <w:szCs w:val="20"/>
                <w:color w:val="auto"/>
              </w:rPr>
            </w:pPr>
            <w:r>
              <w:rPr>
                <w:rFonts w:ascii="Arial" w:cs="Arial" w:eastAsia="Arial" w:hAnsi="Arial"/>
                <w:sz w:val="18"/>
                <w:szCs w:val="18"/>
                <w:color w:val="auto"/>
              </w:rPr>
              <w:t>3(iii)</w:t>
            </w:r>
          </w:p>
        </w:tc>
        <w:tc>
          <w:tcPr>
            <w:tcW w:w="8140" w:type="dxa"/>
            <w:vAlign w:val="bottom"/>
            <w:gridSpan w:val="44"/>
          </w:tcPr>
          <w:p>
            <w:pPr>
              <w:spacing w:after="0"/>
              <w:rPr>
                <w:rFonts w:ascii="Arial" w:cs="Arial" w:eastAsia="Arial" w:hAnsi="Arial"/>
                <w:sz w:val="18"/>
                <w:szCs w:val="18"/>
                <w:color w:val="0000FF"/>
              </w:rPr>
            </w:pPr>
            <w:hyperlink r:id="rId42">
              <w:r>
                <w:rPr>
                  <w:rFonts w:ascii="Arial" w:cs="Arial" w:eastAsia="Arial" w:hAnsi="Arial"/>
                  <w:sz w:val="18"/>
                  <w:szCs w:val="18"/>
                  <w:color w:val="0000FF"/>
                </w:rPr>
                <w:t>Certificate of Elimination of the Series A Junior Participating Preferred Stock. Incorporated herein by</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reference to Exhibit 3.1 to Form 8-K dated January 13, 2023, File No. 001-37976.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4.01</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gridSpan w:val="44"/>
          </w:tcPr>
          <w:p>
            <w:pPr>
              <w:spacing w:after="0"/>
              <w:rPr>
                <w:rFonts w:ascii="Arial" w:cs="Arial" w:eastAsia="Arial" w:hAnsi="Arial"/>
                <w:sz w:val="18"/>
                <w:szCs w:val="18"/>
                <w:color w:val="0000FF"/>
              </w:rPr>
            </w:pPr>
            <w:hyperlink r:id="rId43">
              <w:r>
                <w:rPr>
                  <w:rFonts w:ascii="Arial" w:cs="Arial" w:eastAsia="Arial" w:hAnsi="Arial"/>
                  <w:sz w:val="18"/>
                  <w:szCs w:val="18"/>
                  <w:color w:val="0000FF"/>
                </w:rPr>
                <w:t>Indenture between City of Big Bear Lake, California, and Harris Trust and Savings Bank as Trustee,</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2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 xml:space="preserve">dated December 1, 1993, with respect to the issuance of </w:t>
              </w:r>
              <w:r>
                <w:rPr>
                  <w:rFonts w:ascii="Arial" w:cs="Arial" w:eastAsia="Arial" w:hAnsi="Arial"/>
                  <w:sz w:val="18"/>
                  <w:szCs w:val="18"/>
                  <w:u w:val="single" w:color="auto"/>
                  <w:color w:val="0000FF"/>
                  <w:w w:val="96"/>
                </w:rPr>
                <w:t>$</w:t>
              </w:r>
              <w:r>
                <w:rPr>
                  <w:rFonts w:ascii="Arial" w:cs="Arial" w:eastAsia="Arial" w:hAnsi="Arial"/>
                  <w:sz w:val="18"/>
                  <w:szCs w:val="18"/>
                  <w:color w:val="0000FF"/>
                  <w:w w:val="96"/>
                </w:rPr>
                <w:t>50,000,000 Industrial Development Revenue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Bonds (Southwest Gas Corporation Project), 1993 Series A, due 2028. Incorporated herein by reference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60" w:type="dxa"/>
            <w:vAlign w:val="bottom"/>
            <w:tcBorders>
              <w:bottom w:val="single" w:sz="8" w:color="0000FF"/>
            </w:tcBorders>
            <w:gridSpan w:val="15"/>
          </w:tcPr>
          <w:p>
            <w:pPr>
              <w:spacing w:after="0" w:line="15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to Exhibit 4.11 to Form 10-K for the year ended December 31, 1993, File No. 001-07850.</w:t>
              </w:r>
            </w:hyperlink>
          </w:p>
        </w:tc>
        <w:tc>
          <w:tcPr>
            <w:tcW w:w="1440" w:type="dxa"/>
            <w:vAlign w:val="bottom"/>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4.02</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w w:val="98"/>
              </w:rPr>
            </w:pPr>
            <w:hyperlink r:id="rId44">
              <w:r>
                <w:rPr>
                  <w:rFonts w:ascii="Arial" w:cs="Arial" w:eastAsia="Arial" w:hAnsi="Arial"/>
                  <w:sz w:val="18"/>
                  <w:szCs w:val="18"/>
                  <w:color w:val="0000FF"/>
                  <w:w w:val="98"/>
                </w:rPr>
                <w:t>Indenture between Southwest Gas Corporation and Harris Trust and Savings Bank dated July 15, 1996,</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12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44">
              <w:r>
                <w:rPr>
                  <w:rFonts w:ascii="Arial" w:cs="Arial" w:eastAsia="Arial" w:hAnsi="Arial"/>
                  <w:sz w:val="18"/>
                  <w:szCs w:val="18"/>
                  <w:color w:val="0000FF"/>
                </w:rPr>
                <w:t>with respect to Debt Securities. Incorporated herein by reference to Exhibit 4.04 to Form 8-K dated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July 26, 1996, File No. 001–07850.</w:t>
              </w:r>
            </w:hyperlink>
          </w:p>
        </w:tc>
        <w:tc>
          <w:tcPr>
            <w:tcW w:w="51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4.03</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rPr>
            </w:pPr>
            <w:hyperlink r:id="rId44">
              <w:r>
                <w:rPr>
                  <w:rFonts w:ascii="Arial" w:cs="Arial" w:eastAsia="Arial" w:hAnsi="Arial"/>
                  <w:sz w:val="18"/>
                  <w:szCs w:val="18"/>
                  <w:color w:val="0000FF"/>
                </w:rPr>
                <w:t>First Supplemental Indenture of Southwest Gas Corporation to Harris Trust and Savings Bank dated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August 1, 1996, supplementing and amending the Indenture dated as of July 15, 1996, with respect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60" w:type="dxa"/>
            <w:vAlign w:val="bottom"/>
            <w:gridSpan w:val="40"/>
          </w:tcPr>
          <w:p>
            <w:pPr>
              <w:spacing w:after="0" w:line="169"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7 1/2% and 8% Debentures, due 2006 and 2026, respectively. Incorporated herein by reference to Exhibit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11</w:t>
              </w:r>
              <w:r>
                <w:rPr>
                  <w:rFonts w:ascii="Arial" w:cs="Arial" w:eastAsia="Arial" w:hAnsi="Arial"/>
                  <w:sz w:val="18"/>
                  <w:szCs w:val="18"/>
                  <w:color w:val="0000FF"/>
                  <w:w w:val="91"/>
                </w:rPr>
                <w:t xml:space="preserve"> to Form 8-K dated July 31, 1996, File No. 001-07850.</w:t>
              </w:r>
            </w:hyperlink>
          </w:p>
        </w:tc>
        <w:tc>
          <w:tcPr>
            <w:tcW w:w="350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4.04</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w w:val="98"/>
              </w:rPr>
            </w:pPr>
            <w:hyperlink r:id="rId45">
              <w:r>
                <w:rPr>
                  <w:rFonts w:ascii="Arial" w:cs="Arial" w:eastAsia="Arial" w:hAnsi="Arial"/>
                  <w:sz w:val="18"/>
                  <w:szCs w:val="18"/>
                  <w:color w:val="0000FF"/>
                  <w:w w:val="98"/>
                </w:rPr>
                <w:t>Second Supplemental Indenture of Southwest Gas Corporation to Harris Trust and Savings Bank dated</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December 30, 1996, supplementing and amending the Indenture dated as of July 15, 1996, with respect to</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0" w:type="dxa"/>
            <w:vAlign w:val="bottom"/>
            <w:gridSpan w:val="37"/>
          </w:tcPr>
          <w:p>
            <w:pPr>
              <w:spacing w:after="0" w:line="169"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Medium-Term Notes. Incorporated herein by reference to Exhibit 4.04 to Form 8-K dated December 30,</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1996, File No. 001–07850.</w:t>
              </w:r>
            </w:hyperlink>
          </w:p>
        </w:tc>
        <w:tc>
          <w:tcPr>
            <w:tcW w:w="602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4.05</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rPr>
            </w:pPr>
            <w:hyperlink r:id="rId46">
              <w:r>
                <w:rPr>
                  <w:rFonts w:ascii="Arial" w:cs="Arial" w:eastAsia="Arial" w:hAnsi="Arial"/>
                  <w:sz w:val="18"/>
                  <w:szCs w:val="18"/>
                  <w:color w:val="0000FF"/>
                </w:rPr>
                <w:t>Indenture of Trust between Clark County, Nevada, and the BNY Midwest Trust Company, as Trustee,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4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dated as of March 1, 2003, relating to Clark County, Nevada Industrial Development Revenue Bonds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60" w:type="dxa"/>
            <w:vAlign w:val="bottom"/>
            <w:tcBorders>
              <w:top w:val="single" w:sz="8" w:color="0000FF"/>
            </w:tcBorders>
            <w:gridSpan w:val="40"/>
          </w:tcPr>
          <w:p>
            <w:pPr>
              <w:spacing w:after="0" w:line="169" w:lineRule="exact"/>
              <w:rPr>
                <w:rFonts w:ascii="Arial" w:cs="Arial" w:eastAsia="Arial" w:hAnsi="Arial"/>
                <w:sz w:val="18"/>
                <w:szCs w:val="18"/>
                <w:color w:val="0000FF"/>
              </w:rPr>
            </w:pPr>
            <w:hyperlink r:id="rId46">
              <w:r>
                <w:rPr>
                  <w:rFonts w:ascii="Arial" w:cs="Arial" w:eastAsia="Arial" w:hAnsi="Arial"/>
                  <w:sz w:val="18"/>
                  <w:szCs w:val="18"/>
                  <w:color w:val="0000FF"/>
                </w:rPr>
                <w:t>Series 2003. Incorporated herein by reference to Exhibit 10.01 to Form 10-Q for the quarter ended</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September 30, 2008, File No. 001-07850.</w:t>
              </w:r>
            </w:hyperlink>
          </w:p>
        </w:tc>
        <w:tc>
          <w:tcPr>
            <w:tcW w:w="46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rPr>
            </w:pPr>
            <w:hyperlink r:id="rId47">
              <w:r>
                <w:rPr>
                  <w:rFonts w:ascii="Arial" w:cs="Arial" w:eastAsia="Arial" w:hAnsi="Arial"/>
                  <w:sz w:val="18"/>
                  <w:szCs w:val="18"/>
                  <w:color w:val="0000FF"/>
                </w:rPr>
                <w:t>Indenture of Trust between Clark County, Nevada and The Bank of New York Mellon Trust Company,</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40" w:type="dxa"/>
            <w:vAlign w:val="bottom"/>
            <w:tcBorders>
              <w:top w:val="single" w:sz="8" w:color="0000FF"/>
            </w:tcBorders>
            <w:gridSpan w:val="39"/>
          </w:tcPr>
          <w:p>
            <w:pPr>
              <w:spacing w:after="0" w:line="15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N.A.,  as  Trustee,  dated  as  of  September  1,  2008,  relating  to  Clark  County,  Nevada  Industrial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40" w:type="dxa"/>
            <w:vAlign w:val="bottom"/>
            <w:tcBorders>
              <w:top w:val="single" w:sz="8" w:color="0000FF"/>
            </w:tcBorders>
            <w:gridSpan w:val="34"/>
          </w:tcPr>
          <w:p>
            <w:pPr>
              <w:spacing w:after="0" w:line="169"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Development Revenue Bonds Series 2008A. Incorporated herein by reference to Exhibit 10.02 to Form</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10-Q for the quarter ended September 30, 2008, File No. 001-07850.</w:t>
              </w:r>
            </w:hyperlink>
          </w:p>
        </w:tc>
        <w:tc>
          <w:tcPr>
            <w:tcW w:w="306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4.07</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rPr>
            </w:pPr>
            <w:hyperlink r:id="rId48">
              <w:r>
                <w:rPr>
                  <w:rFonts w:ascii="Arial" w:cs="Arial" w:eastAsia="Arial" w:hAnsi="Arial"/>
                  <w:sz w:val="18"/>
                  <w:szCs w:val="18"/>
                  <w:color w:val="0000FF"/>
                </w:rPr>
                <w:t>Indenture of Trust between Clark County, Nevada and The Bank of New York Mellon Trust Company,</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N.A., as Trustee, dated December 1, 2009, relating to Clark County, Nevada Industrial Development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80" w:type="dxa"/>
            <w:vAlign w:val="bottom"/>
            <w:tcBorders>
              <w:top w:val="single" w:sz="8" w:color="0000FF"/>
            </w:tcBorders>
            <w:gridSpan w:val="36"/>
          </w:tcPr>
          <w:p>
            <w:pPr>
              <w:spacing w:after="0" w:line="169"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Revenue Bonds Series 2009A. Incorporated herein by reference to Exhibit 4.27 to Form 10-K for the</w:t>
              </w:r>
            </w:hyperlink>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year ended December 31, 2009, File No. 001-07850.</w:t>
              </w:r>
            </w:hyperlink>
          </w:p>
        </w:tc>
        <w:tc>
          <w:tcPr>
            <w:tcW w:w="3900" w:type="dxa"/>
            <w:vAlign w:val="bottom"/>
            <w:tcBorders>
              <w:top w:val="single" w:sz="8" w:color="0000FF"/>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w w:val="98"/>
              </w:rPr>
            </w:pPr>
            <w:hyperlink r:id="rId49">
              <w:r>
                <w:rPr>
                  <w:rFonts w:ascii="Arial" w:cs="Arial" w:eastAsia="Arial" w:hAnsi="Arial"/>
                  <w:sz w:val="18"/>
                  <w:szCs w:val="18"/>
                  <w:color w:val="0000FF"/>
                  <w:w w:val="98"/>
                </w:rPr>
                <w:t>Note Purchase Agreement, dated November 18, 2010, by and between Southwest Gas Corporation and</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Metropolitan Life Insurance Company, John Hancock Life Insurance Company (U.S.A.), certain of their</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gridSpan w:val="30"/>
          </w:tcPr>
          <w:p>
            <w:pPr>
              <w:spacing w:after="0" w:line="169" w:lineRule="exact"/>
              <w:rPr>
                <w:rFonts w:ascii="Arial" w:cs="Arial" w:eastAsia="Arial" w:hAnsi="Arial"/>
                <w:sz w:val="18"/>
                <w:szCs w:val="18"/>
                <w:color w:val="0000FF"/>
                <w:w w:val="98"/>
              </w:rPr>
            </w:pPr>
            <w:hyperlink r:id="rId49">
              <w:r>
                <w:rPr>
                  <w:rFonts w:ascii="Arial" w:cs="Arial" w:eastAsia="Arial" w:hAnsi="Arial"/>
                  <w:sz w:val="18"/>
                  <w:szCs w:val="18"/>
                  <w:color w:val="0000FF"/>
                  <w:w w:val="98"/>
                </w:rPr>
                <w:t>respective affiliates, and Union Fidelity Life Insurance Company. Incorporated herein by reference to</w:t>
              </w:r>
            </w:hyperlink>
          </w:p>
        </w:tc>
        <w:tc>
          <w:tcPr>
            <w:tcW w:w="2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Exhibit 4.1 to Form 8-K dated November 18, 2010, File No. 001-07850.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4.09</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Amendment No.  1 to Note Purchase Agreement, dated March 28, 2014, by and among Southwest Gas</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40" w:type="dxa"/>
            <w:vAlign w:val="bottom"/>
            <w:tcBorders>
              <w:top w:val="single" w:sz="8" w:color="0000FF"/>
            </w:tcBorders>
            <w:gridSpan w:val="29"/>
          </w:tcPr>
          <w:p>
            <w:pPr>
              <w:spacing w:after="0" w:line="15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Corporation and the holders of the Notes. Incorporated herein by reference to Exhibit 4.1 to Form 8-K</w:t>
              </w:r>
            </w:hyperlink>
          </w:p>
        </w:tc>
        <w:tc>
          <w:tcPr>
            <w:tcW w:w="260" w:type="dxa"/>
            <w:vAlign w:val="bottom"/>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2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dated March 31, 2014, File No. 001–07850.</w:t>
              </w:r>
            </w:hyperlink>
          </w:p>
        </w:tc>
        <w:tc>
          <w:tcPr>
            <w:tcW w:w="280" w:type="dxa"/>
            <w:vAlign w:val="bottom"/>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w w:val="98"/>
              </w:rPr>
            </w:pPr>
            <w:hyperlink r:id="rId51">
              <w:r>
                <w:rPr>
                  <w:rFonts w:ascii="Arial" w:cs="Arial" w:eastAsia="Arial" w:hAnsi="Arial"/>
                  <w:sz w:val="18"/>
                  <w:szCs w:val="18"/>
                  <w:color w:val="0000FF"/>
                  <w:w w:val="98"/>
                </w:rPr>
                <w:t>Amendment No.  2 to Note Purchase Agreement, dated September  30, 2016, by and among Southwest</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100" w:type="dxa"/>
            <w:vAlign w:val="bottom"/>
            <w:tcBorders>
              <w:top w:val="single" w:sz="8" w:color="0000FF"/>
            </w:tcBorders>
            <w:gridSpan w:val="42"/>
          </w:tcPr>
          <w:p>
            <w:pPr>
              <w:spacing w:after="0" w:line="156"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Gas Corporation and the holders of the Notes. Incorporated herein by reference to Exhibit 4.02 to Form</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4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10-Q for the quarter ended September 30, 2016, File No. 001–07850.</w:t>
              </w:r>
            </w:hyperlink>
          </w:p>
        </w:tc>
        <w:tc>
          <w:tcPr>
            <w:tcW w:w="2620" w:type="dxa"/>
            <w:vAlign w:val="bottom"/>
            <w:tcBorders>
              <w:top w:val="single" w:sz="8" w:color="0000FF"/>
            </w:tcBorders>
            <w:gridSpan w:val="8"/>
          </w:tcPr>
          <w:p>
            <w:pPr>
              <w:spacing w:after="0"/>
              <w:rPr>
                <w:sz w:val="14"/>
                <w:szCs w:val="14"/>
                <w:color w:val="auto"/>
              </w:rPr>
            </w:pPr>
          </w:p>
        </w:tc>
        <w:tc>
          <w:tcPr>
            <w:tcW w:w="48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4"/>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6.1% Senior Note due 2041. Incorporated herein by reference to Exhibit 4.2 to Form 8-K dated</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November 18, 2010, File No. 001-07850.</w:t>
              </w:r>
            </w:hyperlink>
          </w:p>
        </w:tc>
        <w:tc>
          <w:tcPr>
            <w:tcW w:w="3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516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8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gridSpan w:val="44"/>
          </w:tcPr>
          <w:p>
            <w:pPr>
              <w:spacing w:after="0"/>
              <w:rPr>
                <w:rFonts w:ascii="Arial" w:cs="Arial" w:eastAsia="Arial" w:hAnsi="Arial"/>
                <w:sz w:val="18"/>
                <w:szCs w:val="18"/>
                <w:u w:val="single" w:color="auto"/>
                <w:color w:val="0000FF"/>
                <w:w w:val="96"/>
              </w:rPr>
            </w:pPr>
            <w:hyperlink r:id="rId52">
              <w:r>
                <w:rPr>
                  <w:rFonts w:ascii="Arial" w:cs="Arial" w:eastAsia="Arial" w:hAnsi="Arial"/>
                  <w:sz w:val="18"/>
                  <w:szCs w:val="18"/>
                  <w:u w:val="single" w:color="auto"/>
                  <w:color w:val="0000FF"/>
                  <w:w w:val="96"/>
                </w:rPr>
                <w:t>Indenture, dated as of October 4, 2013, by and between Southwest Gas Corporation and the Bank of New</w:t>
              </w:r>
            </w:hyperlink>
          </w:p>
        </w:tc>
        <w:tc>
          <w:tcPr>
            <w:tcW w:w="0" w:type="dxa"/>
            <w:vAlign w:val="bottom"/>
          </w:tcPr>
          <w:p>
            <w:pPr>
              <w:spacing w:after="0"/>
              <w:rPr>
                <w:sz w:val="1"/>
                <w:szCs w:val="1"/>
                <w:color w:val="auto"/>
              </w:rPr>
            </w:pPr>
          </w:p>
        </w:tc>
      </w:tr>
    </w:tbl>
    <w:p>
      <w:pPr>
        <w:ind w:left="2140" w:right="359"/>
        <w:spacing w:after="0" w:line="233"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York Mellon Trust Company, N.A., as Trustee. 4.875% Notes due 2043. Incorporated herein by reference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to Exhibit 4.1 to Form 8-K dated October 1, 2013. File No. 001-07850.</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6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7"/>
              </w:rPr>
              <w:t>Exhibit</w:t>
            </w:r>
          </w:p>
        </w:tc>
        <w:tc>
          <w:tcPr>
            <w:tcW w:w="2180" w:type="dxa"/>
            <w:vAlign w:val="bottom"/>
          </w:tcPr>
          <w:p>
            <w:pPr>
              <w:spacing w:after="0"/>
              <w:rPr>
                <w:sz w:val="16"/>
                <w:szCs w:val="16"/>
                <w:color w:val="auto"/>
              </w:rPr>
            </w:pPr>
          </w:p>
        </w:tc>
        <w:tc>
          <w:tcPr>
            <w:tcW w:w="760" w:type="dxa"/>
            <w:vAlign w:val="bottom"/>
            <w:vMerge w:val="restart"/>
          </w:tcPr>
          <w:p>
            <w:pPr>
              <w:spacing w:after="0"/>
              <w:rPr>
                <w:sz w:val="16"/>
                <w:szCs w:val="16"/>
                <w:color w:val="auto"/>
              </w:rPr>
            </w:pPr>
          </w:p>
        </w:tc>
        <w:tc>
          <w:tcPr>
            <w:tcW w:w="1740" w:type="dxa"/>
            <w:vAlign w:val="bottom"/>
            <w:gridSpan w:val="9"/>
            <w:vMerge w:val="restart"/>
          </w:tcPr>
          <w:p>
            <w:pPr>
              <w:spacing w:after="0"/>
              <w:rPr>
                <w:sz w:val="20"/>
                <w:szCs w:val="20"/>
                <w:color w:val="auto"/>
              </w:rPr>
            </w:pPr>
            <w:r>
              <w:rPr>
                <w:rFonts w:ascii="Arial" w:cs="Arial" w:eastAsia="Arial" w:hAnsi="Arial"/>
                <w:sz w:val="16"/>
                <w:szCs w:val="16"/>
                <w:b w:val="1"/>
                <w:bCs w:val="1"/>
                <w:color w:val="auto"/>
                <w:w w:val="90"/>
              </w:rPr>
              <w:t>Description of Document</w:t>
            </w:r>
          </w:p>
        </w:tc>
        <w:tc>
          <w:tcPr>
            <w:tcW w:w="3360" w:type="dxa"/>
            <w:vAlign w:val="bottom"/>
            <w:gridSpan w:val="30"/>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Number</w:t>
            </w:r>
          </w:p>
        </w:tc>
        <w:tc>
          <w:tcPr>
            <w:tcW w:w="10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740" w:type="dxa"/>
            <w:vAlign w:val="bottom"/>
            <w:tcBorders>
              <w:bottom w:val="single" w:sz="8" w:color="auto"/>
            </w:tcBorders>
            <w:gridSpan w:val="9"/>
            <w:vMerge w:val="continue"/>
          </w:tcPr>
          <w:p>
            <w:pPr>
              <w:spacing w:after="0"/>
              <w:rPr>
                <w:sz w:val="15"/>
                <w:szCs w:val="15"/>
                <w:color w:val="auto"/>
              </w:rPr>
            </w:pPr>
          </w:p>
        </w:tc>
        <w:tc>
          <w:tcPr>
            <w:tcW w:w="3360" w:type="dxa"/>
            <w:vAlign w:val="bottom"/>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4.13</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40" w:type="dxa"/>
            <w:vAlign w:val="bottom"/>
            <w:gridSpan w:val="41"/>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Southwest Gas Holdings, Inc. Dividend Reinvestment and Direct Stock Purchase Plan. Incorporated by</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 xml:space="preserve">reference to prospectus 424(b)(5) </w:t>
              </w:r>
            </w:hyperlink>
            <w:hyperlink r:id="rId55">
              <w:r>
                <w:rPr>
                  <w:rFonts w:ascii="Arial" w:cs="Arial" w:eastAsia="Arial" w:hAnsi="Arial"/>
                  <w:sz w:val="18"/>
                  <w:szCs w:val="18"/>
                  <w:color w:val="0000FF"/>
                </w:rPr>
                <w:t xml:space="preserve">dated </w:t>
              </w:r>
            </w:hyperlink>
            <w:hyperlink r:id="rId54">
              <w:r>
                <w:rPr>
                  <w:rFonts w:ascii="Arial" w:cs="Arial" w:eastAsia="Arial" w:hAnsi="Arial"/>
                  <w:sz w:val="18"/>
                  <w:szCs w:val="18"/>
                  <w:color w:val="0000FF"/>
                </w:rPr>
                <w:t>December 2, 2020, File No. 333-251074.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4.14</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Indenture, dated September 29, 2016, by and between Southwest Gas Corporation and The Bank of New</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80" w:type="dxa"/>
            <w:vAlign w:val="bottom"/>
            <w:tcBorders>
              <w:top w:val="single" w:sz="8" w:color="0000FF"/>
            </w:tcBorders>
            <w:gridSpan w:val="38"/>
          </w:tcPr>
          <w:p>
            <w:pPr>
              <w:spacing w:after="0" w:line="156"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York Mellon Trust Company, N.A., as Trustee. 3.80% Senior Notes due 2046.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56">
              <w:r>
                <w:rPr>
                  <w:rFonts w:ascii="Arial" w:cs="Arial" w:eastAsia="Arial" w:hAnsi="Arial"/>
                  <w:sz w:val="18"/>
                  <w:szCs w:val="18"/>
                  <w:color w:val="0000FF"/>
                </w:rPr>
                <w:t>reference to Exhibit 4.01 to Form 8-K dated September 26, 2016, File No.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4.15</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9"/>
              </w:rPr>
            </w:pPr>
            <w:hyperlink r:id="rId57">
              <w:r>
                <w:rPr>
                  <w:rFonts w:ascii="Arial" w:cs="Arial" w:eastAsia="Arial" w:hAnsi="Arial"/>
                  <w:sz w:val="18"/>
                  <w:szCs w:val="18"/>
                  <w:color w:val="0000FF"/>
                  <w:w w:val="99"/>
                </w:rPr>
                <w:t>Indenture, dated March 15, 2018, by and between Southwest Gas Corporation and The Bank of New</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York Mellon Trust Company, N.A., as Trustee. Incorporated herein by reference to Exhibit 4.1 to Form 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20" w:type="dxa"/>
            <w:vAlign w:val="bottom"/>
            <w:gridSpan w:val="30"/>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K dated March 15, 2018, File Nos. 001-37976 and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4.16</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8"/>
              </w:rPr>
            </w:pPr>
            <w:hyperlink r:id="rId58">
              <w:r>
                <w:rPr>
                  <w:rFonts w:ascii="Arial" w:cs="Arial" w:eastAsia="Arial" w:hAnsi="Arial"/>
                  <w:sz w:val="18"/>
                  <w:szCs w:val="18"/>
                  <w:color w:val="0000FF"/>
                  <w:w w:val="98"/>
                </w:rPr>
                <w:t>First Supplemental Indenture, dated March 15, 2018, by and between Southwest Gas Corporation and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8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The Bank of New York Mellon Trust Company, N.A., as Trustee.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2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Exhibit 4.2 to Form 8-K dated March 15, 2018, File Nos. 001-37976 and 001-07850.</w:t>
              </w:r>
            </w:hyperlink>
          </w:p>
        </w:tc>
        <w:tc>
          <w:tcPr>
            <w:tcW w:w="15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4.17</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3.70% Senior Note due 2028 (included in Exhibit 4.23). Incorporated herein by reference to</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Exhibit 4.24 to Form 10-K for the year ended December 31, 2018, File Nos. 001-37976 and 001-07850.</w:t>
              </w:r>
            </w:hyperlink>
          </w:p>
        </w:tc>
        <w:tc>
          <w:tcPr>
            <w:tcW w:w="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4.18</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Indenture, dated as of May 31, 2019, by and between Southwest Gas Corporation and The Bank of New</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60" w:type="dxa"/>
            <w:vAlign w:val="bottom"/>
            <w:tcBorders>
              <w:top w:val="single" w:sz="8" w:color="0000FF"/>
            </w:tcBorders>
            <w:gridSpan w:val="37"/>
          </w:tcPr>
          <w:p>
            <w:pPr>
              <w:spacing w:after="0" w:line="15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York Mellon Trust Company, N.A., as Trustee. Incorporated herein by reference to Exhibit 4.1 to Form 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2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K dated May 28, 2019. File No.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4.19</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First Supplemental Indenture, dated May 31, 2019, by and between Southwest Gas Corporation and The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0" w:type="dxa"/>
            <w:vAlign w:val="bottom"/>
            <w:tcBorders>
              <w:top w:val="single" w:sz="8" w:color="0000FF"/>
            </w:tcBorders>
            <w:gridSpan w:val="39"/>
          </w:tcPr>
          <w:p>
            <w:pPr>
              <w:spacing w:after="0" w:line="15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Bank of New York Mellon Trust Company, N.A., as Trustee. Incorporated herein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4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4.</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Form 8-K dated May 28, 2019. File No.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4.20</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Form of 4.150% Senior Note due 2049. Incorporated by reference to Exhibit 4.3 to Form 8-K dated May</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28, 2019. File No. 001-07850.</w:t>
              </w:r>
            </w:hyperlink>
          </w:p>
        </w:tc>
        <w:tc>
          <w:tcPr>
            <w:tcW w:w="5760" w:type="dxa"/>
            <w:vAlign w:val="bottom"/>
            <w:tcBorders>
              <w:top w:val="single" w:sz="8" w:color="0000FF"/>
            </w:tcBorders>
            <w:gridSpan w:val="3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4.21</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7"/>
              </w:rPr>
            </w:pPr>
            <w:hyperlink r:id="rId61">
              <w:r>
                <w:rPr>
                  <w:rFonts w:ascii="Arial" w:cs="Arial" w:eastAsia="Arial" w:hAnsi="Arial"/>
                  <w:sz w:val="18"/>
                  <w:szCs w:val="18"/>
                  <w:color w:val="0000FF"/>
                  <w:w w:val="97"/>
                </w:rPr>
                <w:t>Indenture, dated June 4, 2020, by and between Southwest Gas Corporation and The Bank of New York</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Mellon Trust Company, N.A., as Trustee. Incorporated herein by reference to Exhibit 4.1 to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0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dated June 1, 2020. File Nos. 001-07850 and 001-37976.</w:t>
              </w:r>
            </w:hyperlink>
          </w:p>
        </w:tc>
        <w:tc>
          <w:tcPr>
            <w:tcW w:w="380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4.22</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First Supplemental Indenture, dated June 4, 2020, by and between Southwest Gas Corporation and The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4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Bank of New York Mellon Trust Company, N.A., as Trustee. Incorporated herein by reference to Exhibit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4.</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Form 8-K dated June 1, 2020. File Nos. 001-07850 and 001-37976.</w:t>
              </w:r>
            </w:hyperlink>
          </w:p>
        </w:tc>
        <w:tc>
          <w:tcPr>
            <w:tcW w:w="25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4.23</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Form of 2.200% Senior Note due 2030. Incorporated by reference to Exhibit 4.3 to Form 8-K dated June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1, 2020. File Nos. 001-07850 and 001-37976.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4.24</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Description of Securities of Southwest Gas Holdings, Inc. Incorporated by reference to Exhibit 4.25 to</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Form 10-K for the year ended December 31, 2021. File Nos</w:t>
              </w:r>
            </w:hyperlink>
          </w:p>
        </w:tc>
        <w:tc>
          <w:tcPr>
            <w:tcW w:w="1980" w:type="dxa"/>
            <w:vAlign w:val="bottom"/>
            <w:tcBorders>
              <w:top w:val="single" w:sz="8" w:color="0000FF"/>
              <w:bottom w:val="single" w:sz="8" w:color="0000FF"/>
            </w:tcBorders>
            <w:gridSpan w:val="8"/>
          </w:tcPr>
          <w:p>
            <w:pPr>
              <w:ind w:left="20"/>
              <w:spacing w:after="0" w:line="15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001-07850 and 001-37976.</w:t>
              </w:r>
            </w:hyperlink>
          </w:p>
        </w:tc>
        <w:tc>
          <w:tcPr>
            <w:tcW w:w="138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4.25</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Second Supplemental Indenture, dated August 20, 2021, by and between Southwest Gas Corporation and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2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The Bank of New York Mellon Trust Company, N.A., as Trustee. Incorporated herein by reference to</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64">
              <w:r>
                <w:rPr>
                  <w:rFonts w:ascii="Arial" w:cs="Arial" w:eastAsia="Arial" w:hAnsi="Arial"/>
                  <w:sz w:val="18"/>
                  <w:szCs w:val="18"/>
                  <w:color w:val="0000FF"/>
                </w:rPr>
                <w:t>Exhibit 4.1 to Form 8-K dated August 18, 2021, File Nos. 001-37976 and 001-07850.</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4.26</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Form of 3.18% Senior Note due 2051. Incorporated herein by reference to Exhibit 4.2 to Form 8-K dated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August 18, 2021, File Nos. 001-37976 and 001-07850.</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4.27</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Third Supplemental Indenture, dated March 22, 2022, by and between Southwest Gas Corporation and</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80" w:type="dxa"/>
            <w:vAlign w:val="bottom"/>
            <w:tcBorders>
              <w:top w:val="single" w:sz="8" w:color="0000FF"/>
            </w:tcBorders>
            <w:gridSpan w:val="28"/>
          </w:tcPr>
          <w:p>
            <w:pPr>
              <w:spacing w:after="0" w:line="156"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The Bank of New York Mellon Trust Company, N.A., as Trustee. Incorporated herein by reference to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2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Exhibit 4.1 to Form 8-K dated March 17, 2022. File Nos. 001-37976 and 001-07850.</w:t>
              </w:r>
            </w:hyperlink>
          </w:p>
        </w:tc>
        <w:tc>
          <w:tcPr>
            <w:tcW w:w="15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4.28</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w w:val="96"/>
              </w:rPr>
            </w:pPr>
            <w:hyperlink r:id="rId66">
              <w:r>
                <w:rPr>
                  <w:rFonts w:ascii="Arial" w:cs="Arial" w:eastAsia="Arial" w:hAnsi="Arial"/>
                  <w:sz w:val="18"/>
                  <w:szCs w:val="18"/>
                  <w:color w:val="0000FF"/>
                  <w:w w:val="96"/>
                </w:rPr>
                <w:t>Form of 4.05% Senior Note due 2032. Incorporated herein by reference to Exhibit 4.2 to Form 8-K dated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March 17, 2022. File Nos. 001-37976 and 001-07850.</w:t>
              </w:r>
            </w:hyperlink>
          </w:p>
        </w:tc>
        <w:tc>
          <w:tcPr>
            <w:tcW w:w="408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4.29</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gridSpan w:val="41"/>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Fourth Supplemental Indenture, dated December 1, 2022, by and between Southwest Gas Corporation</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and The Bank of New York Mellon Trust Company, N.A., as Trustee. Incorporated herein by reference to</w:t>
              </w:r>
            </w:hyperlink>
          </w:p>
        </w:tc>
        <w:tc>
          <w:tcPr>
            <w:tcW w:w="160" w:type="dxa"/>
            <w:vAlign w:val="bottom"/>
            <w:tcBorders>
              <w:bottom w:val="single" w:sz="8" w:color="0000FF"/>
            </w:tcBorders>
            <w:gridSpan w:val="8"/>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gridSpan w:val="32"/>
          </w:tcPr>
          <w:p>
            <w:pPr>
              <w:spacing w:after="0" w:line="169" w:lineRule="exact"/>
              <w:rPr>
                <w:rFonts w:ascii="Arial" w:cs="Arial" w:eastAsia="Arial" w:hAnsi="Arial"/>
                <w:sz w:val="18"/>
                <w:szCs w:val="18"/>
                <w:color w:val="0000FF"/>
              </w:rPr>
            </w:pPr>
            <w:hyperlink r:id="rId67">
              <w:r>
                <w:rPr>
                  <w:rFonts w:ascii="Arial" w:cs="Arial" w:eastAsia="Arial" w:hAnsi="Arial"/>
                  <w:sz w:val="18"/>
                  <w:szCs w:val="18"/>
                  <w:color w:val="0000FF"/>
                </w:rPr>
                <w:t>Exhibit 4.1 to Form 8-K dated November 29, 2022. File Nos. 001-07850 and 001-37976.</w:t>
              </w:r>
            </w:hyperlink>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gridSpan w:val="10"/>
            <w:shd w:val="clear" w:color="auto" w:fill="0000FF"/>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4.30</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rFonts w:ascii="Arial" w:cs="Arial" w:eastAsia="Arial" w:hAnsi="Arial"/>
                <w:sz w:val="18"/>
                <w:szCs w:val="18"/>
                <w:color w:val="0000FF"/>
              </w:rPr>
            </w:pPr>
            <w:hyperlink r:id="rId67">
              <w:r>
                <w:rPr>
                  <w:rFonts w:ascii="Arial" w:cs="Arial" w:eastAsia="Arial" w:hAnsi="Arial"/>
                  <w:sz w:val="18"/>
                  <w:szCs w:val="18"/>
                  <w:color w:val="0000FF"/>
                </w:rPr>
                <w:t>Form of 5.800% Senior Note due 2027. Incorporated herein by reference to Exhibit 4.2 to Form 8-K</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dated November 29, 2022. File Nos. 001-07850 and 001-37976.</w:t>
              </w:r>
            </w:hyperlink>
          </w:p>
        </w:tc>
        <w:tc>
          <w:tcPr>
            <w:tcW w:w="3180" w:type="dxa"/>
            <w:vAlign w:val="bottom"/>
            <w:tcBorders>
              <w:top w:val="single" w:sz="8" w:color="0000FF"/>
            </w:tcBorders>
            <w:gridSpan w:val="19"/>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4.31</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40" w:type="dxa"/>
            <w:vAlign w:val="bottom"/>
            <w:gridSpan w:val="41"/>
          </w:tcPr>
          <w:p>
            <w:pPr>
              <w:spacing w:after="0"/>
              <w:rPr>
                <w:sz w:val="20"/>
                <w:szCs w:val="20"/>
                <w:color w:val="auto"/>
              </w:rPr>
            </w:pPr>
            <w:r>
              <w:rPr>
                <w:rFonts w:ascii="Arial" w:cs="Arial" w:eastAsia="Arial" w:hAnsi="Arial"/>
                <w:sz w:val="18"/>
                <w:szCs w:val="18"/>
                <w:color w:val="auto"/>
              </w:rPr>
              <w:t>The Company and Southwest hereby agree to furnish to the SEC, upon request, a copy of any</w:t>
            </w:r>
          </w:p>
        </w:tc>
        <w:tc>
          <w:tcPr>
            <w:tcW w:w="0" w:type="dxa"/>
            <w:vAlign w:val="bottom"/>
          </w:tcPr>
          <w:p>
            <w:pPr>
              <w:spacing w:after="0"/>
              <w:rPr>
                <w:sz w:val="1"/>
                <w:szCs w:val="1"/>
                <w:color w:val="auto"/>
              </w:rPr>
            </w:pPr>
          </w:p>
        </w:tc>
      </w:tr>
      <w:tr>
        <w:trPr>
          <w:trHeight w:val="204"/>
        </w:trPr>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40" w:type="dxa"/>
            <w:vAlign w:val="bottom"/>
            <w:gridSpan w:val="41"/>
          </w:tcPr>
          <w:p>
            <w:pPr>
              <w:spacing w:after="0" w:line="204" w:lineRule="exact"/>
              <w:rPr>
                <w:sz w:val="20"/>
                <w:szCs w:val="20"/>
                <w:color w:val="auto"/>
              </w:rPr>
            </w:pPr>
            <w:r>
              <w:rPr>
                <w:rFonts w:ascii="Arial" w:cs="Arial" w:eastAsia="Arial" w:hAnsi="Arial"/>
                <w:sz w:val="18"/>
                <w:szCs w:val="18"/>
                <w:color w:val="auto"/>
              </w:rPr>
              <w:t>instruments defining the rights of holders of long-term debt issued by Southwest Gas Holdings or its</w:t>
            </w:r>
          </w:p>
        </w:tc>
        <w:tc>
          <w:tcPr>
            <w:tcW w:w="0" w:type="dxa"/>
            <w:vAlign w:val="bottom"/>
          </w:tcPr>
          <w:p>
            <w:pPr>
              <w:spacing w:after="0"/>
              <w:rPr>
                <w:sz w:val="1"/>
                <w:szCs w:val="1"/>
                <w:color w:val="auto"/>
              </w:rPr>
            </w:pPr>
          </w:p>
        </w:tc>
      </w:tr>
    </w:tbl>
    <w:p>
      <w:pPr>
        <w:ind w:left="2140" w:right="359"/>
        <w:spacing w:after="0" w:line="226" w:lineRule="auto"/>
        <w:rPr>
          <w:sz w:val="20"/>
          <w:szCs w:val="20"/>
          <w:color w:val="auto"/>
        </w:rPr>
      </w:pPr>
      <w:r>
        <w:rPr>
          <w:rFonts w:ascii="Arial" w:cs="Arial" w:eastAsia="Arial" w:hAnsi="Arial"/>
          <w:sz w:val="18"/>
          <w:szCs w:val="18"/>
          <w:color w:val="auto"/>
        </w:rPr>
        <w:t>subsidiaries; the total amount of securities authorized thereunder does not exceed 10% of the consolidated total assets of Southwest Gas Holdings and its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6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7"/>
              </w:rPr>
              <w:t>Exhibit</w:t>
            </w:r>
          </w:p>
        </w:tc>
        <w:tc>
          <w:tcPr>
            <w:tcW w:w="1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vMerge w:val="restart"/>
          </w:tcPr>
          <w:p>
            <w:pPr>
              <w:spacing w:after="0"/>
              <w:rPr>
                <w:sz w:val="16"/>
                <w:szCs w:val="16"/>
                <w:color w:val="auto"/>
              </w:rPr>
            </w:pPr>
          </w:p>
        </w:tc>
        <w:tc>
          <w:tcPr>
            <w:tcW w:w="1740" w:type="dxa"/>
            <w:vAlign w:val="bottom"/>
            <w:gridSpan w:val="6"/>
            <w:vMerge w:val="restart"/>
          </w:tcPr>
          <w:p>
            <w:pPr>
              <w:spacing w:after="0"/>
              <w:rPr>
                <w:sz w:val="20"/>
                <w:szCs w:val="20"/>
                <w:color w:val="auto"/>
              </w:rPr>
            </w:pPr>
            <w:r>
              <w:rPr>
                <w:rFonts w:ascii="Arial" w:cs="Arial" w:eastAsia="Arial" w:hAnsi="Arial"/>
                <w:sz w:val="16"/>
                <w:szCs w:val="16"/>
                <w:b w:val="1"/>
                <w:bCs w:val="1"/>
                <w:color w:val="auto"/>
                <w:w w:val="90"/>
              </w:rPr>
              <w:t>Description of Document</w:t>
            </w:r>
          </w:p>
        </w:tc>
        <w:tc>
          <w:tcPr>
            <w:tcW w:w="4400" w:type="dxa"/>
            <w:vAlign w:val="bottom"/>
            <w:gridSpan w:val="29"/>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Number</w:t>
            </w: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740" w:type="dxa"/>
            <w:vAlign w:val="bottom"/>
            <w:tcBorders>
              <w:bottom w:val="single" w:sz="8" w:color="auto"/>
            </w:tcBorders>
            <w:gridSpan w:val="6"/>
            <w:vMerge w:val="continue"/>
          </w:tcPr>
          <w:p>
            <w:pPr>
              <w:spacing w:after="0"/>
              <w:rPr>
                <w:sz w:val="15"/>
                <w:szCs w:val="15"/>
                <w:color w:val="auto"/>
              </w:rPr>
            </w:pPr>
          </w:p>
        </w:tc>
        <w:tc>
          <w:tcPr>
            <w:tcW w:w="440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 w:type="dxa"/>
            <w:vAlign w:val="bottom"/>
          </w:tcPr>
          <w:p>
            <w:pPr>
              <w:ind w:left="20"/>
              <w:spacing w:after="0"/>
              <w:rPr>
                <w:sz w:val="20"/>
                <w:szCs w:val="20"/>
                <w:color w:val="auto"/>
              </w:rPr>
            </w:pPr>
            <w:r>
              <w:rPr>
                <w:rFonts w:ascii="Arial" w:cs="Arial" w:eastAsia="Arial" w:hAnsi="Arial"/>
                <w:sz w:val="18"/>
                <w:szCs w:val="18"/>
                <w:color w:val="auto"/>
              </w:rPr>
              <w:t>10.01</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80" w:type="dxa"/>
            <w:vAlign w:val="bottom"/>
            <w:gridSpan w:val="38"/>
          </w:tcPr>
          <w:p>
            <w:pPr>
              <w:spacing w:after="0"/>
              <w:rPr>
                <w:rFonts w:ascii="Arial" w:cs="Arial" w:eastAsia="Arial" w:hAnsi="Arial"/>
                <w:sz w:val="18"/>
                <w:szCs w:val="18"/>
                <w:color w:val="0000FF"/>
              </w:rPr>
            </w:pPr>
            <w:hyperlink r:id="rId43">
              <w:r>
                <w:rPr>
                  <w:rFonts w:ascii="Arial" w:cs="Arial" w:eastAsia="Arial" w:hAnsi="Arial"/>
                  <w:sz w:val="18"/>
                  <w:szCs w:val="18"/>
                  <w:color w:val="0000FF"/>
                </w:rPr>
                <w:t>Project Agreement between Southwest Gas Corporation and City of Big Bear Lake, California, dated as</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0" w:type="dxa"/>
            <w:vAlign w:val="bottom"/>
            <w:tcBorders>
              <w:top w:val="single" w:sz="8" w:color="0000FF"/>
            </w:tcBorders>
            <w:gridSpan w:val="24"/>
          </w:tcPr>
          <w:p>
            <w:pPr>
              <w:spacing w:after="0" w:line="15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of December 1, 1993. Incorporated herein by reference to Exhibit 10.05 to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4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43">
              <w:r>
                <w:rPr>
                  <w:rFonts w:ascii="Arial" w:cs="Arial" w:eastAsia="Arial" w:hAnsi="Arial"/>
                  <w:sz w:val="18"/>
                  <w:szCs w:val="18"/>
                  <w:color w:val="0000FF"/>
                </w:rPr>
                <w:t>December 31, 1993, File No.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10.02*</w:t>
            </w: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69">
              <w:r>
                <w:rPr>
                  <w:rFonts w:ascii="Arial" w:cs="Arial" w:eastAsia="Arial" w:hAnsi="Arial"/>
                  <w:sz w:val="18"/>
                  <w:szCs w:val="18"/>
                  <w:color w:val="0000FF"/>
                </w:rPr>
                <w:t>Southwest Gas Corporation Supplemental Executive Retirement Plan, amended and restated August 3,</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2020. Incorporated herein by reference to Exhibit 10.03 to Form 10-Q for the quarter ended September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80" w:type="dxa"/>
            <w:vAlign w:val="bottom"/>
            <w:tcBorders>
              <w:bottom w:val="single" w:sz="8" w:color="0000FF"/>
            </w:tcBorders>
            <w:gridSpan w:val="7"/>
          </w:tcPr>
          <w:p>
            <w:pPr>
              <w:spacing w:after="0" w:line="169"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30, 2020, File Nos. 001-37976 and 001-07850.</w:t>
              </w:r>
            </w:hyperlink>
          </w:p>
        </w:tc>
        <w:tc>
          <w:tcPr>
            <w:tcW w:w="446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10.03*</w:t>
            </w: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0">
              <w:r>
                <w:rPr>
                  <w:rFonts w:ascii="Arial" w:cs="Arial" w:eastAsia="Arial" w:hAnsi="Arial"/>
                  <w:sz w:val="18"/>
                  <w:szCs w:val="18"/>
                  <w:color w:val="0000FF"/>
                </w:rPr>
                <w:t>Southwest Gas Holdings, Inc. Management Incentive Plan, amended and restated August 3, 2020.</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Incorporated herein by reference to Exhibit 10.04 to Form 10-Q for the quarter ended September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70">
              <w:r>
                <w:rPr>
                  <w:rFonts w:ascii="Arial" w:cs="Arial" w:eastAsia="Arial" w:hAnsi="Arial"/>
                  <w:sz w:val="18"/>
                  <w:szCs w:val="18"/>
                  <w:color w:val="0000FF"/>
                </w:rPr>
                <w:t>2020, File Nos. 001-37976 and 001-07850.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10.04*</w:t>
            </w: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1">
              <w:r>
                <w:rPr>
                  <w:rFonts w:ascii="Arial" w:cs="Arial" w:eastAsia="Arial" w:hAnsi="Arial"/>
                  <w:sz w:val="18"/>
                  <w:szCs w:val="18"/>
                  <w:color w:val="0000FF"/>
                </w:rPr>
                <w:t>Southwest Gas Corporation Directors Deferral Plan, amended and restated December 28, 2016.</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Incorporated herein by reference to Exhibit 10.05 to Form 10-K for the year ended December 31, 2018,</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Borders>
              <w:bottom w:val="single" w:sz="8" w:color="0000FF"/>
            </w:tcBorders>
            <w:gridSpan w:val="2"/>
          </w:tcPr>
          <w:p>
            <w:pPr>
              <w:spacing w:after="0" w:line="169"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File Nos. 001-37976 and 001-07850.</w:t>
              </w:r>
            </w:hyperlink>
          </w:p>
        </w:tc>
        <w:tc>
          <w:tcPr>
            <w:tcW w:w="5160" w:type="dxa"/>
            <w:vAlign w:val="bottom"/>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10.05*</w:t>
            </w: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2">
              <w:r>
                <w:rPr>
                  <w:rFonts w:ascii="Arial" w:cs="Arial" w:eastAsia="Arial" w:hAnsi="Arial"/>
                  <w:sz w:val="18"/>
                  <w:szCs w:val="18"/>
                  <w:color w:val="0000FF"/>
                </w:rPr>
                <w:t>Southwest Gas Corporation 1986 Executive Deferral Plan, amended and restated August 3, 2020.</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Incorporated herein by reference to Exhibit 10.01 to Form 10-Q for the quarter ended September 30,</w:t>
              </w:r>
            </w:hyperlink>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72">
              <w:r>
                <w:rPr>
                  <w:rFonts w:ascii="Arial" w:cs="Arial" w:eastAsia="Arial" w:hAnsi="Arial"/>
                  <w:sz w:val="18"/>
                  <w:szCs w:val="18"/>
                  <w:color w:val="0000FF"/>
                </w:rPr>
                <w:t>2020, File Nos. 001-37976 and 001-07850.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10.06*</w:t>
            </w: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3">
              <w:r>
                <w:rPr>
                  <w:rFonts w:ascii="Arial" w:cs="Arial" w:eastAsia="Arial" w:hAnsi="Arial"/>
                  <w:sz w:val="18"/>
                  <w:szCs w:val="18"/>
                  <w:color w:val="0000FF"/>
                </w:rPr>
                <w:t>Southwest Gas Corporation 2005 Executive Deferral Plan, amended and restated August 3, 2020.</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Incorporated herein by reference to Exhibit 10.02 to Form 10-Q for the quarter ended September 30,</w:t>
              </w:r>
            </w:hyperlink>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73">
              <w:r>
                <w:rPr>
                  <w:rFonts w:ascii="Arial" w:cs="Arial" w:eastAsia="Arial" w:hAnsi="Arial"/>
                  <w:sz w:val="18"/>
                  <w:szCs w:val="18"/>
                  <w:color w:val="0000FF"/>
                </w:rPr>
                <w:t>2020, File Nos. 001-37976 and 001-07850.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10.07</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4">
              <w:r>
                <w:rPr>
                  <w:rFonts w:ascii="Arial" w:cs="Arial" w:eastAsia="Arial" w:hAnsi="Arial"/>
                  <w:sz w:val="18"/>
                  <w:szCs w:val="18"/>
                  <w:color w:val="0000FF"/>
                </w:rPr>
                <w:t>Financing agreement dated as of March 1, 2003 by and between Clark County, Nevada, and Southwest</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Gas Corporation relating to Clark County, Nevada Industrial Development Revenue Bonds Series 2003A,</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80" w:type="dxa"/>
            <w:vAlign w:val="bottom"/>
            <w:tcBorders>
              <w:bottom w:val="single" w:sz="8" w:color="0000FF"/>
            </w:tcBorders>
            <w:gridSpan w:val="28"/>
          </w:tcPr>
          <w:p>
            <w:pPr>
              <w:spacing w:after="0" w:line="169"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Series 2003B, Series 2003C, Series 2003D and Series 2003E. Incorporated herein by reference to Exhibit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0" w:type="dxa"/>
            <w:vAlign w:val="bottom"/>
            <w:gridSpan w:val="34"/>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10 to Form 10-Q for the quarter ended September 30, 2003, File No. 001-07850.</w:t>
              </w:r>
            </w:hyperlink>
          </w:p>
        </w:tc>
        <w:tc>
          <w:tcPr>
            <w:tcW w:w="6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10.08</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5">
              <w:r>
                <w:rPr>
                  <w:rFonts w:ascii="Arial" w:cs="Arial" w:eastAsia="Arial" w:hAnsi="Arial"/>
                  <w:sz w:val="18"/>
                  <w:szCs w:val="18"/>
                  <w:color w:val="0000FF"/>
                </w:rPr>
                <w:t>First Amendment to Financing Agreement by and between Clark County, Nevada, and Southwest Gas</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Corporation dated as of July 1, 2005, amending the Financing Agreement dated as of March 1, 2003,</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60" w:type="dxa"/>
            <w:vAlign w:val="bottom"/>
            <w:gridSpan w:val="32"/>
          </w:tcPr>
          <w:p>
            <w:pPr>
              <w:spacing w:after="0" w:line="169" w:lineRule="exact"/>
              <w:rPr>
                <w:rFonts w:ascii="Arial" w:cs="Arial" w:eastAsia="Arial" w:hAnsi="Arial"/>
                <w:sz w:val="18"/>
                <w:szCs w:val="18"/>
                <w:color w:val="0000FF"/>
              </w:rPr>
            </w:pPr>
            <w:hyperlink r:id="rId75">
              <w:r>
                <w:rPr>
                  <w:rFonts w:ascii="Arial" w:cs="Arial" w:eastAsia="Arial" w:hAnsi="Arial"/>
                  <w:sz w:val="18"/>
                  <w:szCs w:val="18"/>
                  <w:color w:val="0000FF"/>
                </w:rPr>
                <w:t>with respect to Clark County, Nevada Industrial Development Revenue Bonds Series 2003A, Series</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2003B, Series 2003C, Series 2003D, and Series 2003E. Incorporated herein by reference to Exhibit 10.2</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180" w:type="dxa"/>
            <w:vAlign w:val="bottom"/>
            <w:tcBorders>
              <w:bottom w:val="single" w:sz="8" w:color="0000FF"/>
            </w:tcBorders>
            <w:gridSpan w:val="10"/>
          </w:tcPr>
          <w:p>
            <w:pPr>
              <w:spacing w:after="0" w:line="15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to Form 10-Q for the quarter ended June 30, 2005, File No. 001-07850.</w:t>
              </w:r>
            </w:hyperlink>
          </w:p>
        </w:tc>
        <w:tc>
          <w:tcPr>
            <w:tcW w:w="2880" w:type="dxa"/>
            <w:vAlign w:val="bottom"/>
            <w:gridSpan w:val="27"/>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00" w:type="dxa"/>
            <w:vAlign w:val="bottom"/>
          </w:tcPr>
          <w:p>
            <w:pPr>
              <w:ind w:left="20"/>
              <w:spacing w:after="0"/>
              <w:rPr>
                <w:sz w:val="20"/>
                <w:szCs w:val="20"/>
                <w:color w:val="auto"/>
              </w:rPr>
            </w:pPr>
            <w:r>
              <w:rPr>
                <w:rFonts w:ascii="Arial" w:cs="Arial" w:eastAsia="Arial" w:hAnsi="Arial"/>
                <w:sz w:val="18"/>
                <w:szCs w:val="18"/>
                <w:color w:val="auto"/>
              </w:rPr>
              <w:t>10.09</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80" w:type="dxa"/>
            <w:vAlign w:val="bottom"/>
            <w:gridSpan w:val="38"/>
          </w:tcPr>
          <w:p>
            <w:pPr>
              <w:spacing w:after="0"/>
              <w:rPr>
                <w:rFonts w:ascii="Arial" w:cs="Arial" w:eastAsia="Arial" w:hAnsi="Arial"/>
                <w:sz w:val="18"/>
                <w:szCs w:val="18"/>
                <w:color w:val="0000FF"/>
              </w:rPr>
            </w:pPr>
            <w:hyperlink r:id="rId76">
              <w:r>
                <w:rPr>
                  <w:rFonts w:ascii="Arial" w:cs="Arial" w:eastAsia="Arial" w:hAnsi="Arial"/>
                  <w:sz w:val="18"/>
                  <w:szCs w:val="18"/>
                  <w:color w:val="0000FF"/>
                </w:rPr>
                <w:t>Financing Agreement between Clark County, Nevada, and Southwest Gas Corporation, dated as of</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6"/>
              </w:rPr>
            </w:pPr>
            <w:hyperlink r:id="rId76">
              <w:r>
                <w:rPr>
                  <w:rFonts w:ascii="Arial" w:cs="Arial" w:eastAsia="Arial" w:hAnsi="Arial"/>
                  <w:sz w:val="18"/>
                  <w:szCs w:val="18"/>
                  <w:color w:val="0000FF"/>
                  <w:w w:val="96"/>
                </w:rPr>
                <w:t>September 1, 2008, relating to Clark County, Nevada Industrial Development Revenue Bonds Series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80" w:type="dxa"/>
            <w:vAlign w:val="bottom"/>
            <w:gridSpan w:val="33"/>
          </w:tcPr>
          <w:p>
            <w:pPr>
              <w:spacing w:after="0" w:line="169" w:lineRule="exact"/>
              <w:rPr>
                <w:rFonts w:ascii="Arial" w:cs="Arial" w:eastAsia="Arial" w:hAnsi="Arial"/>
                <w:sz w:val="18"/>
                <w:szCs w:val="18"/>
                <w:color w:val="0000FF"/>
              </w:rPr>
            </w:pPr>
            <w:hyperlink r:id="rId76">
              <w:r>
                <w:rPr>
                  <w:rFonts w:ascii="Arial" w:cs="Arial" w:eastAsia="Arial" w:hAnsi="Arial"/>
                  <w:sz w:val="18"/>
                  <w:szCs w:val="18"/>
                  <w:color w:val="0000FF"/>
                </w:rPr>
                <w:t>2008A. Incorporated herein by reference to Exhibit 10.03 to Form 10-Q for the quarter ended</w:t>
              </w:r>
            </w:hyperlink>
          </w:p>
        </w:tc>
        <w:tc>
          <w:tcPr>
            <w:tcW w:w="1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76">
              <w:r>
                <w:rPr>
                  <w:rFonts w:ascii="Arial" w:cs="Arial" w:eastAsia="Arial" w:hAnsi="Arial"/>
                  <w:sz w:val="18"/>
                  <w:szCs w:val="18"/>
                  <w:color w:val="0000FF"/>
                  <w:w w:val="89"/>
                </w:rPr>
                <w:t>September 30, 2008, File No. 001-07850.</w:t>
              </w:r>
            </w:hyperlink>
          </w:p>
        </w:tc>
        <w:tc>
          <w:tcPr>
            <w:tcW w:w="4940" w:type="dxa"/>
            <w:vAlign w:val="bottom"/>
            <w:tcBorders>
              <w:top w:val="single" w:sz="8" w:color="0000FF"/>
            </w:tcBorders>
            <w:gridSpan w:val="26"/>
          </w:tcPr>
          <w:p>
            <w:pPr>
              <w:spacing w:after="0"/>
              <w:rPr>
                <w:sz w:val="13"/>
                <w:szCs w:val="13"/>
                <w:color w:val="auto"/>
              </w:rPr>
            </w:pPr>
          </w:p>
        </w:tc>
        <w:tc>
          <w:tcPr>
            <w:tcW w:w="1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7">
              <w:r>
                <w:rPr>
                  <w:rFonts w:ascii="Arial" w:cs="Arial" w:eastAsia="Arial" w:hAnsi="Arial"/>
                  <w:sz w:val="18"/>
                  <w:szCs w:val="18"/>
                  <w:color w:val="0000FF"/>
                </w:rPr>
                <w:t>Financing  Agreement  between  Clark  County,  Nevada  and  Southwest  Gas  Corporation,  dated</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December 1, 2009, relating to Clark County, Nevada Industrial Development Revenue Bonds Series</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gridSpan w:val="27"/>
          </w:tcPr>
          <w:p>
            <w:pPr>
              <w:spacing w:after="0" w:line="169"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2009A. Incorporated herein by reference to Exhibit 10.21 to Form 10-K for the year ended December 31,</w:t>
              </w:r>
            </w:hyperlink>
          </w:p>
        </w:tc>
        <w:tc>
          <w:tcPr>
            <w:tcW w:w="40" w:type="dxa"/>
            <w:vAlign w:val="bottom"/>
            <w:gridSpan w:val="2"/>
          </w:tcPr>
          <w:p>
            <w:pPr>
              <w:spacing w:after="0"/>
              <w:rPr>
                <w:sz w:val="14"/>
                <w:szCs w:val="14"/>
                <w:color w:val="auto"/>
              </w:rPr>
            </w:pPr>
          </w:p>
        </w:tc>
        <w:tc>
          <w:tcPr>
            <w:tcW w:w="1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2009, File No. 001-07850.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78">
              <w:r>
                <w:rPr>
                  <w:rFonts w:ascii="Arial" w:cs="Arial" w:eastAsia="Arial" w:hAnsi="Arial"/>
                  <w:sz w:val="18"/>
                  <w:szCs w:val="18"/>
                  <w:color w:val="0000FF"/>
                </w:rPr>
                <w:t xml:space="preserve">Southwest Gas Corporation </w:t>
              </w:r>
              <w:r>
                <w:rPr>
                  <w:rFonts w:ascii="Arial" w:cs="Arial" w:eastAsia="Arial" w:hAnsi="Arial"/>
                  <w:sz w:val="18"/>
                  <w:szCs w:val="18"/>
                  <w:u w:val="single" w:color="auto"/>
                  <w:color w:val="0000FF"/>
                </w:rPr>
                <w:t>$</w:t>
              </w:r>
              <w:r>
                <w:rPr>
                  <w:rFonts w:ascii="Arial" w:cs="Arial" w:eastAsia="Arial" w:hAnsi="Arial"/>
                  <w:sz w:val="18"/>
                  <w:szCs w:val="18"/>
                  <w:color w:val="0000FF"/>
                </w:rPr>
                <w:t>400 million Credit Facility. Incorporated herein by reference to Exhibit 10.2</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to Form 8-K dated April 10, 2020, File Nos. 001-07850 and 001-37976.</w:t>
              </w:r>
            </w:hyperlink>
          </w:p>
        </w:tc>
        <w:tc>
          <w:tcPr>
            <w:tcW w:w="60" w:type="dxa"/>
            <w:vAlign w:val="bottom"/>
            <w:gridSpan w:val="3"/>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1080" w:type="dxa"/>
            <w:vAlign w:val="bottom"/>
          </w:tcPr>
          <w:p>
            <w:pPr>
              <w:spacing w:after="0"/>
              <w:rPr>
                <w:sz w:val="24"/>
                <w:szCs w:val="24"/>
                <w:color w:val="auto"/>
              </w:rPr>
            </w:pPr>
          </w:p>
        </w:tc>
        <w:tc>
          <w:tcPr>
            <w:tcW w:w="9080" w:type="dxa"/>
            <w:vAlign w:val="bottom"/>
            <w:gridSpan w:val="38"/>
          </w:tcPr>
          <w:p>
            <w:pPr>
              <w:spacing w:after="0"/>
              <w:rPr>
                <w:rFonts w:ascii="Arial" w:cs="Arial" w:eastAsia="Arial" w:hAnsi="Arial"/>
                <w:sz w:val="18"/>
                <w:szCs w:val="18"/>
                <w:color w:val="0000FF"/>
              </w:rPr>
            </w:pPr>
            <w:hyperlink r:id="rId79">
              <w:r>
                <w:rPr>
                  <w:rFonts w:ascii="Arial" w:cs="Arial" w:eastAsia="Arial" w:hAnsi="Arial"/>
                  <w:sz w:val="18"/>
                  <w:szCs w:val="18"/>
                  <w:color w:val="0000FF"/>
                </w:rPr>
                <w:t>Southwest Gas Holdings, Inc. 2006 Restricted Stock/Unit Plan, amended and restated as of December 28,</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2016. Incorporated herein by reference to Exhibit 10.14 to Form 10-K for the year ended December 31,</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2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2018, File Nos. 001-37976 and 001-07850.</w:t>
              </w:r>
            </w:hyperlink>
          </w:p>
        </w:tc>
        <w:tc>
          <w:tcPr>
            <w:tcW w:w="80" w:type="dxa"/>
            <w:vAlign w:val="bottom"/>
            <w:gridSpan w:val="4"/>
          </w:tcPr>
          <w:p>
            <w:pPr>
              <w:spacing w:after="0"/>
              <w:rPr>
                <w:sz w:val="14"/>
                <w:szCs w:val="14"/>
                <w:color w:val="auto"/>
              </w:rPr>
            </w:pPr>
          </w:p>
        </w:tc>
        <w:tc>
          <w:tcPr>
            <w:tcW w:w="1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00" w:type="dxa"/>
            <w:vAlign w:val="bottom"/>
            <w:gridSpan w:val="6"/>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1080" w:type="dxa"/>
            <w:vAlign w:val="bottom"/>
          </w:tcPr>
          <w:p>
            <w:pPr>
              <w:spacing w:after="0"/>
              <w:rPr>
                <w:sz w:val="22"/>
                <w:szCs w:val="22"/>
                <w:color w:val="auto"/>
              </w:rPr>
            </w:pPr>
          </w:p>
        </w:tc>
        <w:tc>
          <w:tcPr>
            <w:tcW w:w="9080" w:type="dxa"/>
            <w:vAlign w:val="bottom"/>
            <w:gridSpan w:val="38"/>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Performance Share Award Agreement with Named Executive Officers. Incorporated herein by</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4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80">
              <w:r>
                <w:rPr>
                  <w:rFonts w:ascii="Arial" w:cs="Arial" w:eastAsia="Arial" w:hAnsi="Arial"/>
                  <w:sz w:val="18"/>
                  <w:szCs w:val="18"/>
                  <w:color w:val="0000FF"/>
                  <w:w w:val="96"/>
                </w:rPr>
                <w:t>reference to Exhibit 10.19 to Form 10-K for the year ended December 31, 2016,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1080" w:type="dxa"/>
            <w:vAlign w:val="bottom"/>
          </w:tcPr>
          <w:p>
            <w:pPr>
              <w:spacing w:after="0"/>
              <w:rPr>
                <w:sz w:val="24"/>
                <w:szCs w:val="24"/>
                <w:color w:val="auto"/>
              </w:rPr>
            </w:pPr>
          </w:p>
        </w:tc>
        <w:tc>
          <w:tcPr>
            <w:tcW w:w="9080" w:type="dxa"/>
            <w:vAlign w:val="bottom"/>
            <w:gridSpan w:val="38"/>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Restricted Stock Unit Award Agreement with Named Executive Officers. Incorporated herein by</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4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81">
              <w:r>
                <w:rPr>
                  <w:rFonts w:ascii="Arial" w:cs="Arial" w:eastAsia="Arial" w:hAnsi="Arial"/>
                  <w:sz w:val="18"/>
                  <w:szCs w:val="18"/>
                  <w:color w:val="0000FF"/>
                  <w:w w:val="96"/>
                </w:rPr>
                <w:t>reference to Exhibit 10.20 to Form 10-K for the year ended December 31, 2016,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ind w:left="20"/>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80" w:type="dxa"/>
            <w:vAlign w:val="bottom"/>
            <w:gridSpan w:val="38"/>
          </w:tcPr>
          <w:p>
            <w:pPr>
              <w:spacing w:after="0"/>
              <w:rPr>
                <w:rFonts w:ascii="Arial" w:cs="Arial" w:eastAsia="Arial" w:hAnsi="Arial"/>
                <w:sz w:val="18"/>
                <w:szCs w:val="18"/>
                <w:color w:val="0000FF"/>
              </w:rPr>
            </w:pPr>
            <w:hyperlink r:id="rId82">
              <w:r>
                <w:rPr>
                  <w:rFonts w:ascii="Arial" w:cs="Arial" w:eastAsia="Arial" w:hAnsi="Arial"/>
                  <w:sz w:val="18"/>
                  <w:szCs w:val="18"/>
                  <w:color w:val="0000FF"/>
                </w:rPr>
                <w:t xml:space="preserve">Southwest Gas Holdings, Inc. </w:t>
              </w:r>
              <w:r>
                <w:rPr>
                  <w:rFonts w:ascii="Arial" w:cs="Arial" w:eastAsia="Arial" w:hAnsi="Arial"/>
                  <w:sz w:val="18"/>
                  <w:szCs w:val="18"/>
                  <w:u w:val="single" w:color="auto"/>
                  <w:color w:val="0000FF"/>
                </w:rPr>
                <w:t>$</w:t>
              </w:r>
              <w:r>
                <w:rPr>
                  <w:rFonts w:ascii="Arial" w:cs="Arial" w:eastAsia="Arial" w:hAnsi="Arial"/>
                  <w:sz w:val="18"/>
                  <w:szCs w:val="18"/>
                  <w:color w:val="0000FF"/>
                </w:rPr>
                <w:t>100 million Credit Facility. Incorporated herein by reference to Exhibit</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dated April 10, 2020, File No. 001-37976.</w:t>
              </w:r>
            </w:hyperlink>
          </w:p>
        </w:tc>
        <w:tc>
          <w:tcPr>
            <w:tcW w:w="120" w:type="dxa"/>
            <w:vAlign w:val="bottom"/>
            <w:gridSpan w:val="6"/>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1080" w:type="dxa"/>
            <w:vAlign w:val="bottom"/>
          </w:tcPr>
          <w:p>
            <w:pPr>
              <w:spacing w:after="0"/>
              <w:rPr>
                <w:sz w:val="24"/>
                <w:szCs w:val="24"/>
                <w:color w:val="auto"/>
              </w:rPr>
            </w:pPr>
          </w:p>
        </w:tc>
        <w:tc>
          <w:tcPr>
            <w:tcW w:w="9080" w:type="dxa"/>
            <w:vAlign w:val="bottom"/>
            <w:gridSpan w:val="38"/>
          </w:tcPr>
          <w:p>
            <w:pPr>
              <w:spacing w:after="0"/>
              <w:rPr>
                <w:rFonts w:ascii="Arial" w:cs="Arial" w:eastAsia="Arial" w:hAnsi="Arial"/>
                <w:sz w:val="18"/>
                <w:szCs w:val="18"/>
                <w:color w:val="0000FF"/>
              </w:rPr>
            </w:pPr>
            <w:hyperlink r:id="rId83">
              <w:r>
                <w:rPr>
                  <w:rFonts w:ascii="Arial" w:cs="Arial" w:eastAsia="Arial" w:hAnsi="Arial"/>
                  <w:sz w:val="18"/>
                  <w:szCs w:val="18"/>
                  <w:color w:val="0000FF"/>
                </w:rPr>
                <w:t>Centuri Employment Agreement with Paul Daily, Chief Executive Officer. Incorporated herein by</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reference to Exhibit 10.01 to Form 10-Q for the quarter ended June, 30 2017, File No. 001-07850.</w:t>
              </w:r>
            </w:hyperlink>
          </w:p>
        </w:tc>
        <w:tc>
          <w:tcPr>
            <w:tcW w:w="700" w:type="dxa"/>
            <w:vAlign w:val="bottom"/>
            <w:tcBorders>
              <w:top w:val="single" w:sz="8" w:color="0000FF"/>
            </w:tcBorders>
            <w:gridSpan w:val="10"/>
          </w:tcPr>
          <w:p>
            <w:pPr>
              <w:spacing w:after="0"/>
              <w:rPr>
                <w:sz w:val="13"/>
                <w:szCs w:val="13"/>
                <w:color w:val="auto"/>
              </w:rPr>
            </w:pPr>
          </w:p>
        </w:tc>
        <w:tc>
          <w:tcPr>
            <w:tcW w:w="140" w:type="dxa"/>
            <w:vAlign w:val="bottom"/>
            <w:gridSpan w:val="7"/>
          </w:tcPr>
          <w:p>
            <w:pPr>
              <w:spacing w:after="0"/>
              <w:rPr>
                <w:sz w:val="13"/>
                <w:szCs w:val="13"/>
                <w:color w:val="auto"/>
              </w:rPr>
            </w:pPr>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1080" w:type="dxa"/>
            <w:vAlign w:val="bottom"/>
          </w:tcPr>
          <w:p>
            <w:pPr>
              <w:spacing w:after="0"/>
              <w:rPr>
                <w:sz w:val="24"/>
                <w:szCs w:val="24"/>
                <w:color w:val="auto"/>
              </w:rPr>
            </w:pPr>
          </w:p>
        </w:tc>
        <w:tc>
          <w:tcPr>
            <w:tcW w:w="9080" w:type="dxa"/>
            <w:vAlign w:val="bottom"/>
            <w:gridSpan w:val="38"/>
          </w:tcPr>
          <w:p>
            <w:pPr>
              <w:spacing w:after="0"/>
              <w:rPr>
                <w:rFonts w:ascii="Arial" w:cs="Arial" w:eastAsia="Arial" w:hAnsi="Arial"/>
                <w:sz w:val="18"/>
                <w:szCs w:val="18"/>
                <w:color w:val="0000FF"/>
              </w:rPr>
            </w:pPr>
            <w:hyperlink r:id="rId84">
              <w:r>
                <w:rPr>
                  <w:rFonts w:ascii="Arial" w:cs="Arial" w:eastAsia="Arial" w:hAnsi="Arial"/>
                  <w:sz w:val="18"/>
                  <w:szCs w:val="18"/>
                  <w:color w:val="0000FF"/>
                </w:rPr>
                <w:t>Centuri/NPL Executive Deferred Compensation Plan. Incorporated herein by reference to Exhibit 10.02</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to Form 10-Q for the quarter ended June, 30 2017, File No. 001-07850.</w:t>
              </w:r>
            </w:hyperlink>
          </w:p>
        </w:tc>
        <w:tc>
          <w:tcPr>
            <w:tcW w:w="1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40" w:type="dxa"/>
            <w:vAlign w:val="bottom"/>
            <w:tcBorders>
              <w:top w:val="single" w:sz="8" w:color="0000FF"/>
            </w:tcBorders>
            <w:gridSpan w:val="8"/>
          </w:tcPr>
          <w:p>
            <w:pPr>
              <w:ind w:left="3380"/>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6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vMerge w:val="restart"/>
          </w:tcPr>
          <w:p>
            <w:pPr>
              <w:spacing w:after="0"/>
              <w:rPr>
                <w:sz w:val="16"/>
                <w:szCs w:val="16"/>
                <w:color w:val="auto"/>
              </w:rPr>
            </w:pPr>
          </w:p>
        </w:tc>
        <w:tc>
          <w:tcPr>
            <w:tcW w:w="174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0"/>
              </w:rPr>
              <w:t>Description of Document</w:t>
            </w:r>
          </w:p>
        </w:tc>
        <w:tc>
          <w:tcPr>
            <w:tcW w:w="3460" w:type="dxa"/>
            <w:vAlign w:val="bottom"/>
            <w:gridSpan w:val="35"/>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Number</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740" w:type="dxa"/>
            <w:vAlign w:val="bottom"/>
            <w:tcBorders>
              <w:bottom w:val="single" w:sz="8" w:color="auto"/>
            </w:tcBorders>
            <w:gridSpan w:val="5"/>
            <w:vMerge w:val="continue"/>
          </w:tcPr>
          <w:p>
            <w:pPr>
              <w:spacing w:after="0"/>
              <w:rPr>
                <w:sz w:val="15"/>
                <w:szCs w:val="15"/>
                <w:color w:val="auto"/>
              </w:rPr>
            </w:pPr>
          </w:p>
        </w:tc>
        <w:tc>
          <w:tcPr>
            <w:tcW w:w="3460" w:type="dxa"/>
            <w:vAlign w:val="bottom"/>
            <w:gridSpan w:val="3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0" w:type="dxa"/>
            <w:vAlign w:val="bottom"/>
          </w:tcPr>
          <w:p>
            <w:pPr>
              <w:spacing w:after="0"/>
              <w:rPr>
                <w:sz w:val="18"/>
                <w:szCs w:val="18"/>
                <w:color w:val="auto"/>
              </w:rPr>
            </w:pPr>
          </w:p>
        </w:tc>
        <w:tc>
          <w:tcPr>
            <w:tcW w:w="8140" w:type="dxa"/>
            <w:vAlign w:val="bottom"/>
            <w:gridSpan w:val="47"/>
          </w:tcPr>
          <w:p>
            <w:pPr>
              <w:spacing w:after="0"/>
              <w:rPr>
                <w:rFonts w:ascii="Arial" w:cs="Arial" w:eastAsia="Arial" w:hAnsi="Arial"/>
                <w:sz w:val="18"/>
                <w:szCs w:val="18"/>
                <w:color w:val="0000FF"/>
              </w:rPr>
            </w:pPr>
            <w:hyperlink r:id="rId87">
              <w:r>
                <w:rPr>
                  <w:rFonts w:ascii="Arial" w:cs="Arial" w:eastAsia="Arial" w:hAnsi="Arial"/>
                  <w:sz w:val="18"/>
                  <w:szCs w:val="18"/>
                  <w:color w:val="0000FF"/>
                </w:rPr>
                <w:t>Centuri Long-term Capital Investment Program. Incorporated herein by reference to Exhibit 10.03 to</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Form 10-Q for the quarter ended June, 30 2017, File No. 001-07850.</w:t>
              </w:r>
            </w:hyperlink>
          </w:p>
        </w:tc>
        <w:tc>
          <w:tcPr>
            <w:tcW w:w="30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rPr>
            </w:pPr>
            <w:hyperlink r:id="rId88">
              <w:r>
                <w:rPr>
                  <w:rFonts w:ascii="Arial" w:cs="Arial" w:eastAsia="Arial" w:hAnsi="Arial"/>
                  <w:sz w:val="18"/>
                  <w:szCs w:val="18"/>
                  <w:color w:val="0000FF"/>
                </w:rPr>
                <w:t>Centuri Short-term Incentive Program. Incorporated herein by reference to Exhibit 10.01 to Form 10-Q</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for the quarter ended March 31, 2018,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Southwest Gas Holdings, Inc. Omnibus Incentive Plan. Incorporated herein by reference to Appendix B</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to the Proxy Statement dated March 27, 2017, File No. 001-37976.</w:t>
              </w:r>
            </w:hyperlink>
          </w:p>
        </w:tc>
        <w:tc>
          <w:tcPr>
            <w:tcW w:w="30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rPr>
            </w:pPr>
            <w:hyperlink r:id="rId90">
              <w:r>
                <w:rPr>
                  <w:rFonts w:ascii="Arial" w:cs="Arial" w:eastAsia="Arial" w:hAnsi="Arial"/>
                  <w:sz w:val="18"/>
                  <w:szCs w:val="18"/>
                  <w:color w:val="0000FF"/>
                </w:rPr>
                <w:t>Form of Change in Control Agreement with Officers. Incorporated herein by reference to Exhibit 10.24</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to Form 10-K for the year ended December 31, 2017,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rPr>
            </w:pPr>
            <w:hyperlink r:id="rId91">
              <w:r>
                <w:rPr>
                  <w:rFonts w:ascii="Arial" w:cs="Arial" w:eastAsia="Arial" w:hAnsi="Arial"/>
                  <w:sz w:val="18"/>
                  <w:szCs w:val="18"/>
                  <w:color w:val="0000FF"/>
                </w:rPr>
                <w:t xml:space="preserve">Centuri </w:t>
              </w:r>
              <w:r>
                <w:rPr>
                  <w:rFonts w:ascii="Arial" w:cs="Arial" w:eastAsia="Arial" w:hAnsi="Arial"/>
                  <w:sz w:val="18"/>
                  <w:szCs w:val="18"/>
                  <w:u w:val="single" w:color="auto"/>
                  <w:color w:val="0000FF"/>
                </w:rPr>
                <w:t>$</w:t>
              </w:r>
              <w:r>
                <w:rPr>
                  <w:rFonts w:ascii="Arial" w:cs="Arial" w:eastAsia="Arial" w:hAnsi="Arial"/>
                  <w:sz w:val="18"/>
                  <w:szCs w:val="18"/>
                  <w:color w:val="0000FF"/>
                </w:rPr>
                <w:t>450 million Credit Facility Agreement. Incorporated herein by reference to Exhibit 10.25 to</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Form 10-K for the year ended December 31, 2017, File Nos. 001-37976 and 001-07850.</w:t>
              </w:r>
            </w:hyperlink>
          </w:p>
        </w:tc>
        <w:tc>
          <w:tcPr>
            <w:tcW w:w="17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2"/>
          </w:tcPr>
          <w:p>
            <w:pPr>
              <w:spacing w:after="0"/>
              <w:rPr>
                <w:sz w:val="20"/>
                <w:szCs w:val="20"/>
                <w:color w:val="auto"/>
              </w:rPr>
            </w:pPr>
            <w:r>
              <w:rPr>
                <w:rFonts w:ascii="Arial" w:cs="Arial" w:eastAsia="Arial" w:hAnsi="Arial"/>
                <w:sz w:val="18"/>
                <w:szCs w:val="18"/>
                <w:color w:val="auto"/>
              </w:rPr>
              <w:t>10.23*</w:t>
            </w: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rPr>
            </w:pPr>
            <w:hyperlink r:id="rId88">
              <w:r>
                <w:rPr>
                  <w:rFonts w:ascii="Arial" w:cs="Arial" w:eastAsia="Arial" w:hAnsi="Arial"/>
                  <w:sz w:val="18"/>
                  <w:szCs w:val="18"/>
                  <w:color w:val="0000FF"/>
                </w:rPr>
                <w:t>Form of Centuri Construction Group, Inc. Short-term Incentive Program. Incorporated herein by</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reference to Exhibit 10.01 to Form 10-Q for the quarter ended March, 31 2018, File Nos. 001-37976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bottom w:val="single" w:sz="8" w:color="0000FF"/>
            </w:tcBorders>
            <w:gridSpan w:val="4"/>
          </w:tcPr>
          <w:p>
            <w:pPr>
              <w:spacing w:after="0" w:line="169"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001-07850.</w:t>
              </w:r>
            </w:hyperlink>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10.24*</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92">
              <w:r>
                <w:rPr>
                  <w:rFonts w:ascii="Arial" w:cs="Arial" w:eastAsia="Arial" w:hAnsi="Arial"/>
                  <w:sz w:val="18"/>
                  <w:szCs w:val="18"/>
                  <w:color w:val="0000FF"/>
                </w:rPr>
                <w:t>Form of Centuri Construction Group, Inc. Executive Long-Term Incentive Plan. Incorporated herein by</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reference to Exhibit 10.02 to Form 10-Q for the quarter ended March, 31 2018, File Nos. 001-37976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0000FF"/>
            </w:tcBorders>
            <w:gridSpan w:val="3"/>
          </w:tcPr>
          <w:p>
            <w:pPr>
              <w:spacing w:after="0" w:line="169" w:lineRule="exact"/>
              <w:rPr>
                <w:rFonts w:ascii="Arial" w:cs="Arial" w:eastAsia="Arial" w:hAnsi="Arial"/>
                <w:sz w:val="18"/>
                <w:szCs w:val="18"/>
                <w:color w:val="0000FF"/>
                <w:w w:val="87"/>
              </w:rPr>
            </w:pPr>
            <w:hyperlink r:id="rId92">
              <w:r>
                <w:rPr>
                  <w:rFonts w:ascii="Arial" w:cs="Arial" w:eastAsia="Arial" w:hAnsi="Arial"/>
                  <w:sz w:val="18"/>
                  <w:szCs w:val="18"/>
                  <w:color w:val="0000FF"/>
                  <w:w w:val="87"/>
                </w:rPr>
                <w:t>001-07850.</w:t>
              </w:r>
            </w:hyperlink>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10.25*</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93">
              <w:r>
                <w:rPr>
                  <w:rFonts w:ascii="Arial" w:cs="Arial" w:eastAsia="Arial" w:hAnsi="Arial"/>
                  <w:sz w:val="18"/>
                  <w:szCs w:val="18"/>
                  <w:color w:val="0000FF"/>
                </w:rPr>
                <w:t>Southwest Gas Corporation Board of Directors Retirement Plan, amended and restated effective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60" w:type="dxa"/>
            <w:vAlign w:val="bottom"/>
            <w:tcBorders>
              <w:top w:val="single" w:sz="8" w:color="0000FF"/>
            </w:tcBorders>
            <w:gridSpan w:val="38"/>
          </w:tcPr>
          <w:p>
            <w:pPr>
              <w:spacing w:after="0" w:line="156"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December 28, 2016. Incorporated herein by reference to Exhibit 10.28 to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8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December 31, 2018, File Nos. 001-37976 and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18"/>
                <w:szCs w:val="18"/>
                <w:color w:val="auto"/>
              </w:rPr>
              <w:t>10.26*</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94">
              <w:r>
                <w:rPr>
                  <w:rFonts w:ascii="Arial" w:cs="Arial" w:eastAsia="Arial" w:hAnsi="Arial"/>
                  <w:sz w:val="18"/>
                  <w:szCs w:val="18"/>
                  <w:color w:val="0000FF"/>
                </w:rPr>
                <w:t>Southwest Gas Corporation Directors Deferral Plan, amended and restated November 14, 2018.</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80" w:type="dxa"/>
            <w:vAlign w:val="bottom"/>
            <w:tcBorders>
              <w:top w:val="single" w:sz="8" w:color="0000FF"/>
            </w:tcBorders>
            <w:gridSpan w:val="39"/>
          </w:tcPr>
          <w:p>
            <w:pPr>
              <w:spacing w:after="0" w:line="156"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Incorporated herein by reference to Exhibit 10.29 to Form 10-K for the year ended December 31,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File Nos. 001-37976 and 001-07850.</w:t>
              </w:r>
            </w:hyperlink>
          </w:p>
        </w:tc>
        <w:tc>
          <w:tcPr>
            <w:tcW w:w="522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First Amendment to Centuri and subsidiaries Credit Facility Agreement, the other credit parties referred</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to therein, and Wells Fargo Bank. Incorporated herein by reference to Exhibit 10.30 to Form 10-K for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0" w:type="dxa"/>
            <w:vAlign w:val="bottom"/>
            <w:tcBorders>
              <w:bottom w:val="single" w:sz="8" w:color="0000FF"/>
            </w:tcBorders>
            <w:gridSpan w:val="15"/>
          </w:tcPr>
          <w:p>
            <w:pPr>
              <w:spacing w:after="0" w:line="169" w:lineRule="exact"/>
              <w:rPr>
                <w:rFonts w:ascii="Arial" w:cs="Arial" w:eastAsia="Arial" w:hAnsi="Arial"/>
                <w:sz w:val="18"/>
                <w:szCs w:val="18"/>
                <w:color w:val="0000FF"/>
                <w:w w:val="89"/>
              </w:rPr>
            </w:pPr>
            <w:hyperlink r:id="rId95">
              <w:r>
                <w:rPr>
                  <w:rFonts w:ascii="Arial" w:cs="Arial" w:eastAsia="Arial" w:hAnsi="Arial"/>
                  <w:sz w:val="18"/>
                  <w:szCs w:val="18"/>
                  <w:color w:val="0000FF"/>
                  <w:w w:val="89"/>
                </w:rPr>
                <w:t>year ended December 31, 2018, File Nos. 001-37976 and 001-07850.</w:t>
              </w:r>
            </w:hyperlink>
          </w:p>
        </w:tc>
        <w:tc>
          <w:tcPr>
            <w:tcW w:w="3060" w:type="dxa"/>
            <w:vAlign w:val="bottom"/>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10.28*</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96">
              <w:r>
                <w:rPr>
                  <w:rFonts w:ascii="Arial" w:cs="Arial" w:eastAsia="Arial" w:hAnsi="Arial"/>
                  <w:sz w:val="18"/>
                  <w:szCs w:val="18"/>
                  <w:color w:val="0000FF"/>
                </w:rPr>
                <w:t>Amendment to the Centuri Group, Inc. Executive Long-Term Incentive Plan. Incorporated herein by</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120" w:type="dxa"/>
            <w:vAlign w:val="bottom"/>
            <w:tcBorders>
              <w:top w:val="single" w:sz="8" w:color="0000FF"/>
            </w:tcBorders>
            <w:gridSpan w:val="46"/>
          </w:tcPr>
          <w:p>
            <w:pPr>
              <w:spacing w:after="0" w:line="156" w:lineRule="exact"/>
              <w:rPr>
                <w:rFonts w:ascii="Arial" w:cs="Arial" w:eastAsia="Arial" w:hAnsi="Arial"/>
                <w:sz w:val="18"/>
                <w:szCs w:val="18"/>
                <w:color w:val="0000FF"/>
                <w:w w:val="97"/>
              </w:rPr>
            </w:pPr>
            <w:hyperlink r:id="rId96">
              <w:r>
                <w:rPr>
                  <w:rFonts w:ascii="Arial" w:cs="Arial" w:eastAsia="Arial" w:hAnsi="Arial"/>
                  <w:sz w:val="18"/>
                  <w:szCs w:val="18"/>
                  <w:color w:val="0000FF"/>
                  <w:w w:val="97"/>
                </w:rPr>
                <w:t>reference to Exhibit 10.01 to Form 10-Q for the quarter ended March 31, 2019, File Nos. 001-37976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001-07850.</w:t>
              </w:r>
            </w:hyperlink>
          </w:p>
        </w:tc>
        <w:tc>
          <w:tcPr>
            <w:tcW w:w="15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10.29*</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97">
              <w:r>
                <w:rPr>
                  <w:rFonts w:ascii="Arial" w:cs="Arial" w:eastAsia="Arial" w:hAnsi="Arial"/>
                  <w:sz w:val="18"/>
                  <w:szCs w:val="18"/>
                  <w:color w:val="0000FF"/>
                </w:rPr>
                <w:t>Amendment to the Centuri Group, Inc. Long-Term Capital Investment Plan. Incorporated herein by</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40" w:type="dxa"/>
            <w:vAlign w:val="bottom"/>
            <w:tcBorders>
              <w:top w:val="single" w:sz="8" w:color="0000FF"/>
            </w:tcBorders>
            <w:gridSpan w:val="42"/>
          </w:tcPr>
          <w:p>
            <w:pPr>
              <w:spacing w:after="0" w:line="156"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reference to Exhibit 10.02 to Form 10-Q for the quarter ended March 31, 2019, File Nos. 001-37976 and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8"/>
              </w:rPr>
            </w:pPr>
            <w:hyperlink r:id="rId97">
              <w:r>
                <w:rPr>
                  <w:rFonts w:ascii="Arial" w:cs="Arial" w:eastAsia="Arial" w:hAnsi="Arial"/>
                  <w:sz w:val="18"/>
                  <w:szCs w:val="18"/>
                  <w:color w:val="0000FF"/>
                  <w:w w:val="88"/>
                </w:rPr>
                <w:t>1-7850.</w:t>
              </w:r>
            </w:hyperlink>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10.30*</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Paul Daily Award Agreement under the Centuri Group, Inc. Executive Long-Term Incentive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5"/>
              </w:rPr>
            </w:pPr>
            <w:hyperlink r:id="rId98">
              <w:r>
                <w:rPr>
                  <w:rFonts w:ascii="Arial" w:cs="Arial" w:eastAsia="Arial" w:hAnsi="Arial"/>
                  <w:sz w:val="18"/>
                  <w:szCs w:val="18"/>
                  <w:color w:val="0000FF"/>
                  <w:w w:val="95"/>
                </w:rPr>
                <w:t>Plan. Incorporated herein by reference to Exhibit 10.03 to Form 10-Q for the quarter ended March 31,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40" w:type="dxa"/>
            <w:vAlign w:val="bottom"/>
            <w:gridSpan w:val="32"/>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2019, File Nos. 001-37976 and 001-07850.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18"/>
                <w:szCs w:val="18"/>
                <w:color w:val="auto"/>
              </w:rPr>
              <w:t>10.31*</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Amendment to the Centuri Group, Inc. Executive Deferred Compensation Plan. Incorporated herein by</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reference to Exhibit 10.01 to Form 10-Q for the quarter ended March 31, 2020, File Nos. 001-37976 and</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99">
              <w:r>
                <w:rPr>
                  <w:rFonts w:ascii="Arial" w:cs="Arial" w:eastAsia="Arial" w:hAnsi="Arial"/>
                  <w:sz w:val="18"/>
                  <w:szCs w:val="18"/>
                  <w:color w:val="0000FF"/>
                  <w:w w:val="89"/>
                </w:rPr>
                <w:t>001-07850.</w:t>
              </w:r>
            </w:hyperlink>
          </w:p>
        </w:tc>
        <w:tc>
          <w:tcPr>
            <w:tcW w:w="15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18"/>
                <w:szCs w:val="18"/>
                <w:color w:val="auto"/>
              </w:rPr>
              <w:t>10.32*</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Southwest Gas Corporation Employees’ Investment Plan. Incorporated herein by reference to Exhibit 4.1</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to Form S-8 dated December 16, 2016, File No. 333-215145.</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rPr>
            </w:pPr>
            <w:hyperlink r:id="rId101">
              <w:r>
                <w:rPr>
                  <w:rFonts w:ascii="Arial" w:cs="Arial" w:eastAsia="Arial" w:hAnsi="Arial"/>
                  <w:sz w:val="18"/>
                  <w:szCs w:val="18"/>
                  <w:color w:val="0000FF"/>
                </w:rPr>
                <w:t>Term Loan Agreement, dated as of March 23, 2021, by and among Southwest Gas Corporation, The</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20" w:type="dxa"/>
            <w:vAlign w:val="bottom"/>
            <w:tcBorders>
              <w:top w:val="single" w:sz="8" w:color="0000FF"/>
            </w:tcBorders>
            <w:gridSpan w:val="36"/>
          </w:tcPr>
          <w:p>
            <w:pPr>
              <w:spacing w:after="0" w:line="156" w:lineRule="exact"/>
              <w:rPr>
                <w:rFonts w:ascii="Arial" w:cs="Arial" w:eastAsia="Arial" w:hAnsi="Arial"/>
                <w:sz w:val="18"/>
                <w:szCs w:val="18"/>
                <w:color w:val="0000FF"/>
                <w:w w:val="95"/>
              </w:rPr>
            </w:pPr>
            <w:hyperlink r:id="rId101">
              <w:r>
                <w:rPr>
                  <w:rFonts w:ascii="Arial" w:cs="Arial" w:eastAsia="Arial" w:hAnsi="Arial"/>
                  <w:sz w:val="18"/>
                  <w:szCs w:val="18"/>
                  <w:color w:val="0000FF"/>
                  <w:w w:val="95"/>
                </w:rPr>
                <w:t>Bank of New York Mellon, as Administrative Agent, and the lenders party, book runners and syndication</w:t>
              </w:r>
            </w:hyperlink>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20" w:type="dxa"/>
            <w:vAlign w:val="bottom"/>
            <w:tcBorders>
              <w:top w:val="single" w:sz="8" w:color="0000FF"/>
            </w:tcBorders>
            <w:gridSpan w:val="21"/>
          </w:tcPr>
          <w:p>
            <w:pPr>
              <w:spacing w:after="0" w:line="169"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agents thereto. Incorporated herein by reference to Exhibit 10.1 to Form 8-K dated March 23, 2021, File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0" w:type="dxa"/>
            <w:vAlign w:val="bottom"/>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Nos. 001-37976 and 001-07850.</w:t>
              </w:r>
            </w:hyperlink>
          </w:p>
        </w:tc>
        <w:tc>
          <w:tcPr>
            <w:tcW w:w="5580" w:type="dxa"/>
            <w:vAlign w:val="bottom"/>
            <w:tcBorders>
              <w:top w:val="single" w:sz="8" w:color="0000FF"/>
            </w:tcBorders>
            <w:gridSpan w:val="31"/>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18"/>
                <w:szCs w:val="18"/>
                <w:color w:val="auto"/>
              </w:rPr>
              <w:t>10.34*</w:t>
            </w: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102">
              <w:r>
                <w:rPr>
                  <w:rFonts w:ascii="Arial" w:cs="Arial" w:eastAsia="Arial" w:hAnsi="Arial"/>
                  <w:sz w:val="18"/>
                  <w:szCs w:val="18"/>
                  <w:color w:val="0000FF"/>
                </w:rPr>
                <w:t>Credit Agreement with Wells Fargo Securities, LLC and BofA Securities, Inc., as joint lead arrangers,</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00" w:type="dxa"/>
            <w:vAlign w:val="bottom"/>
            <w:tcBorders>
              <w:top w:val="single" w:sz="8" w:color="0000FF"/>
            </w:tcBorders>
            <w:gridSpan w:val="35"/>
          </w:tcPr>
          <w:p>
            <w:pPr>
              <w:spacing w:after="0" w:line="156"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Wells Fargo Bank, National Association, as administrative agent, Bank of America, N.A., as syndication</w:t>
              </w:r>
            </w:hyperlink>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80" w:type="dxa"/>
            <w:vAlign w:val="bottom"/>
            <w:tcBorders>
              <w:top w:val="single" w:sz="8" w:color="0000FF"/>
            </w:tcBorders>
            <w:gridSpan w:val="29"/>
          </w:tcPr>
          <w:p>
            <w:pPr>
              <w:spacing w:after="0" w:line="169"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agent, and the other lenders and agents party thereto. Incorporated herein by reference to Exhibit 10.1 to</w:t>
              </w:r>
            </w:hyperlink>
          </w:p>
        </w:tc>
        <w:tc>
          <w:tcPr>
            <w:tcW w:w="320" w:type="dxa"/>
            <w:vAlign w:val="bottom"/>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Form 8-K dated August 27, 2021, File No. 001-37976.</w:t>
              </w:r>
            </w:hyperlink>
          </w:p>
        </w:tc>
        <w:tc>
          <w:tcPr>
            <w:tcW w:w="37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10.35</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140" w:type="dxa"/>
            <w:vAlign w:val="bottom"/>
            <w:gridSpan w:val="47"/>
          </w:tcPr>
          <w:p>
            <w:pPr>
              <w:spacing w:after="0"/>
              <w:rPr>
                <w:rFonts w:ascii="Arial" w:cs="Arial" w:eastAsia="Arial" w:hAnsi="Arial"/>
                <w:sz w:val="18"/>
                <w:szCs w:val="18"/>
                <w:color w:val="0000FF"/>
              </w:rPr>
            </w:pPr>
            <w:hyperlink r:id="rId103">
              <w:r>
                <w:rPr>
                  <w:rFonts w:ascii="Arial" w:cs="Arial" w:eastAsia="Arial" w:hAnsi="Arial"/>
                  <w:sz w:val="18"/>
                  <w:szCs w:val="18"/>
                  <w:color w:val="0000FF"/>
                </w:rPr>
                <w:t>364-Day Term Loan Credit Agreement dated November 1, 2021 with JPMorgan Chase Bank, N.A., as</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Administrative Agent, the lenders party thereto, Bank of America, N.A., as Syndication Agent, and</w:t>
              </w:r>
            </w:hyperlink>
          </w:p>
        </w:tc>
        <w:tc>
          <w:tcPr>
            <w:tcW w:w="360" w:type="dxa"/>
            <w:vAlign w:val="bottom"/>
            <w:tcBorders>
              <w:bottom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100" w:type="dxa"/>
            <w:vAlign w:val="bottom"/>
            <w:gridSpan w:val="45"/>
          </w:tcPr>
          <w:p>
            <w:pPr>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JPMorgan Chase Bank, N.A. and BofA Securities, Inc. as Joint Lead Arranger and Joint Bookrunner.</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4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103">
              <w:r>
                <w:rPr>
                  <w:rFonts w:ascii="Arial" w:cs="Arial" w:eastAsia="Arial" w:hAnsi="Arial"/>
                  <w:sz w:val="18"/>
                  <w:szCs w:val="18"/>
                  <w:color w:val="0000FF"/>
                  <w:w w:val="95"/>
                </w:rPr>
                <w:t>Incorporated herein by reference to Exhibit 10.1 to Form 8-K dated November 1, 2021, File No. 001-</w:t>
              </w:r>
            </w:hyperlink>
          </w:p>
        </w:tc>
        <w:tc>
          <w:tcPr>
            <w:tcW w:w="80" w:type="dxa"/>
            <w:vAlign w:val="bottom"/>
            <w:gridSpan w:val="4"/>
          </w:tcPr>
          <w:p>
            <w:pPr>
              <w:spacing w:after="0"/>
              <w:rPr>
                <w:sz w:val="13"/>
                <w:szCs w:val="13"/>
                <w:color w:val="auto"/>
              </w:rPr>
            </w:pPr>
          </w:p>
        </w:tc>
        <w:tc>
          <w:tcPr>
            <w:tcW w:w="42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03">
              <w:r>
                <w:rPr>
                  <w:rFonts w:ascii="Arial" w:cs="Arial" w:eastAsia="Arial" w:hAnsi="Arial"/>
                  <w:sz w:val="18"/>
                  <w:szCs w:val="18"/>
                  <w:color w:val="0000FF"/>
                  <w:w w:val="87"/>
                </w:rPr>
                <w:t>37976.</w:t>
              </w:r>
            </w:hyperlink>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10.36</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gridSpan w:val="47"/>
          </w:tcPr>
          <w:p>
            <w:pPr>
              <w:spacing w:after="0"/>
              <w:rPr>
                <w:rFonts w:ascii="Arial" w:cs="Arial" w:eastAsia="Arial" w:hAnsi="Arial"/>
                <w:sz w:val="18"/>
                <w:szCs w:val="18"/>
                <w:color w:val="0000FF"/>
                <w:w w:val="98"/>
              </w:rPr>
            </w:pPr>
            <w:hyperlink r:id="rId104">
              <w:r>
                <w:rPr>
                  <w:rFonts w:ascii="Arial" w:cs="Arial" w:eastAsia="Arial" w:hAnsi="Arial"/>
                  <w:sz w:val="18"/>
                  <w:szCs w:val="18"/>
                  <w:color w:val="0000FF"/>
                  <w:w w:val="98"/>
                </w:rPr>
                <w:t xml:space="preserve">Amendment No. 1 to the Southwest Gas Corporation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400 million Credit Facility. Incorporated herein by</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reference to Exhibit 10.2 to Form 8-K dated December 28, 2021, File Nos. 001-37976 and 001-07850.</w:t>
              </w:r>
            </w:hyperlink>
          </w:p>
        </w:tc>
        <w:tc>
          <w:tcPr>
            <w:tcW w:w="340" w:type="dxa"/>
            <w:vAlign w:val="bottom"/>
            <w:tcBorders>
              <w:top w:val="single" w:sz="8" w:color="0000FF"/>
            </w:tcBorders>
            <w:gridSpan w:val="7"/>
          </w:tcPr>
          <w:p>
            <w:pPr>
              <w:spacing w:after="0"/>
              <w:rPr>
                <w:sz w:val="13"/>
                <w:szCs w:val="13"/>
                <w:color w:val="auto"/>
              </w:rPr>
            </w:pPr>
          </w:p>
        </w:tc>
        <w:tc>
          <w:tcPr>
            <w:tcW w:w="42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19"/>
          </w:cols>
          <w:pgMar w:left="340" w:top="914"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4"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6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spacing w:after="0"/>
              <w:rPr>
                <w:sz w:val="16"/>
                <w:szCs w:val="16"/>
                <w:color w:val="auto"/>
              </w:rPr>
            </w:pPr>
          </w:p>
        </w:tc>
        <w:tc>
          <w:tcPr>
            <w:tcW w:w="1740" w:type="dxa"/>
            <w:vAlign w:val="bottom"/>
            <w:gridSpan w:val="8"/>
            <w:vMerge w:val="restart"/>
          </w:tcPr>
          <w:p>
            <w:pPr>
              <w:spacing w:after="0"/>
              <w:rPr>
                <w:sz w:val="20"/>
                <w:szCs w:val="20"/>
                <w:color w:val="auto"/>
              </w:rPr>
            </w:pPr>
            <w:r>
              <w:rPr>
                <w:rFonts w:ascii="Arial" w:cs="Arial" w:eastAsia="Arial" w:hAnsi="Arial"/>
                <w:sz w:val="16"/>
                <w:szCs w:val="16"/>
                <w:b w:val="1"/>
                <w:bCs w:val="1"/>
                <w:color w:val="auto"/>
                <w:w w:val="90"/>
              </w:rPr>
              <w:t>Description of Document</w:t>
            </w:r>
          </w:p>
        </w:tc>
        <w:tc>
          <w:tcPr>
            <w:tcW w:w="4400" w:type="dxa"/>
            <w:vAlign w:val="bottom"/>
            <w:gridSpan w:val="24"/>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Number</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740" w:type="dxa"/>
            <w:vAlign w:val="bottom"/>
            <w:tcBorders>
              <w:bottom w:val="single" w:sz="8" w:color="auto"/>
            </w:tcBorders>
            <w:gridSpan w:val="8"/>
            <w:vMerge w:val="continue"/>
          </w:tcPr>
          <w:p>
            <w:pPr>
              <w:spacing w:after="0"/>
              <w:rPr>
                <w:sz w:val="15"/>
                <w:szCs w:val="15"/>
                <w:color w:val="auto"/>
              </w:rPr>
            </w:pPr>
          </w:p>
        </w:tc>
        <w:tc>
          <w:tcPr>
            <w:tcW w:w="440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10.37</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06">
              <w:r>
                <w:rPr>
                  <w:rFonts w:ascii="Arial" w:cs="Arial" w:eastAsia="Arial" w:hAnsi="Arial"/>
                  <w:sz w:val="18"/>
                  <w:szCs w:val="18"/>
                  <w:color w:val="0000FF"/>
                </w:rPr>
                <w:t xml:space="preserve">Amendment No. 1 to the Southwest Gas Holdings, Inc. </w:t>
              </w:r>
              <w:r>
                <w:rPr>
                  <w:rFonts w:ascii="Arial" w:cs="Arial" w:eastAsia="Arial" w:hAnsi="Arial"/>
                  <w:sz w:val="18"/>
                  <w:szCs w:val="18"/>
                  <w:u w:val="single" w:color="auto"/>
                  <w:color w:val="0000FF"/>
                </w:rPr>
                <w:t>$</w:t>
              </w:r>
              <w:r>
                <w:rPr>
                  <w:rFonts w:ascii="Arial" w:cs="Arial" w:eastAsia="Arial" w:hAnsi="Arial"/>
                  <w:sz w:val="18"/>
                  <w:szCs w:val="18"/>
                  <w:color w:val="0000FF"/>
                </w:rPr>
                <w:t>200 million Credit Facility. Incorporated herein</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by reference to Exhibit 10.1 to Form 8-K dated December 28, 2021, File Nos. 001-37976 and 001-07850.</w:t>
              </w:r>
            </w:hyperlink>
          </w:p>
        </w:tc>
        <w:tc>
          <w:tcPr>
            <w:tcW w:w="4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00" w:type="dxa"/>
            <w:vAlign w:val="bottom"/>
          </w:tcPr>
          <w:p>
            <w:pPr>
              <w:ind w:left="20"/>
              <w:spacing w:after="0"/>
              <w:rPr>
                <w:sz w:val="20"/>
                <w:szCs w:val="20"/>
                <w:color w:val="auto"/>
              </w:rPr>
            </w:pPr>
            <w:r>
              <w:rPr>
                <w:rFonts w:ascii="Arial" w:cs="Arial" w:eastAsia="Arial" w:hAnsi="Arial"/>
                <w:sz w:val="18"/>
                <w:szCs w:val="18"/>
                <w:color w:val="auto"/>
              </w:rPr>
              <w:t>10.38</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80" w:type="dxa"/>
            <w:vAlign w:val="bottom"/>
            <w:gridSpan w:val="40"/>
          </w:tcPr>
          <w:p>
            <w:pPr>
              <w:spacing w:after="0"/>
              <w:rPr>
                <w:rFonts w:ascii="Arial" w:cs="Arial" w:eastAsia="Arial" w:hAnsi="Arial"/>
                <w:sz w:val="18"/>
                <w:szCs w:val="18"/>
                <w:color w:val="0000FF"/>
              </w:rPr>
            </w:pPr>
            <w:hyperlink r:id="rId107">
              <w:r>
                <w:rPr>
                  <w:rFonts w:ascii="Arial" w:cs="Arial" w:eastAsia="Arial" w:hAnsi="Arial"/>
                  <w:sz w:val="18"/>
                  <w:szCs w:val="18"/>
                  <w:color w:val="0000FF"/>
                </w:rPr>
                <w:t>Amendment No. 1, dated as of March 22, 2022, to the Term Loan Agreement, dated as of March 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gridSpan w:val="5"/>
          </w:tcPr>
          <w:p>
            <w:pPr>
              <w:spacing w:after="0" w:line="156" w:lineRule="exact"/>
              <w:rPr>
                <w:rFonts w:ascii="Arial" w:cs="Arial" w:eastAsia="Arial" w:hAnsi="Arial"/>
                <w:sz w:val="18"/>
                <w:szCs w:val="18"/>
                <w:color w:val="0000FF"/>
                <w:w w:val="85"/>
              </w:rPr>
            </w:pPr>
            <w:hyperlink r:id="rId107">
              <w:r>
                <w:rPr>
                  <w:rFonts w:ascii="Arial" w:cs="Arial" w:eastAsia="Arial" w:hAnsi="Arial"/>
                  <w:sz w:val="18"/>
                  <w:szCs w:val="18"/>
                  <w:color w:val="0000FF"/>
                  <w:w w:val="85"/>
                </w:rPr>
                <w:t>2021, by and among</w:t>
              </w:r>
            </w:hyperlink>
          </w:p>
        </w:tc>
        <w:tc>
          <w:tcPr>
            <w:tcW w:w="7660" w:type="dxa"/>
            <w:vAlign w:val="bottom"/>
            <w:gridSpan w:val="35"/>
          </w:tcPr>
          <w:p>
            <w:pPr>
              <w:ind w:left="120"/>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Southwest Gas Corporation, the lenders, book runners and syndication agents party</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20" w:type="dxa"/>
            <w:vAlign w:val="bottom"/>
            <w:tcBorders>
              <w:top w:val="single" w:sz="8" w:color="0000FF"/>
            </w:tcBorders>
            <w:gridSpan w:val="39"/>
          </w:tcPr>
          <w:p>
            <w:pPr>
              <w:spacing w:after="0" w:line="169" w:lineRule="exact"/>
              <w:rPr>
                <w:rFonts w:ascii="Arial" w:cs="Arial" w:eastAsia="Arial" w:hAnsi="Arial"/>
                <w:sz w:val="18"/>
                <w:szCs w:val="18"/>
                <w:color w:val="0000FF"/>
                <w:w w:val="97"/>
              </w:rPr>
            </w:pPr>
            <w:hyperlink r:id="rId107">
              <w:r>
                <w:rPr>
                  <w:rFonts w:ascii="Arial" w:cs="Arial" w:eastAsia="Arial" w:hAnsi="Arial"/>
                  <w:sz w:val="18"/>
                  <w:szCs w:val="18"/>
                  <w:color w:val="0000FF"/>
                  <w:w w:val="97"/>
                </w:rPr>
                <w:t>thereto and The Bank of New York Mellon, as Administrative Agent. Incorporated herein by reference to</w:t>
              </w:r>
            </w:hyperlink>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Exhibit 10.1 to Form 8-K dated March 17, 2022, File Nos. 001-07850 and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10.39*</w:t>
            </w: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08">
              <w:r>
                <w:rPr>
                  <w:rFonts w:ascii="Arial" w:cs="Arial" w:eastAsia="Arial" w:hAnsi="Arial"/>
                  <w:sz w:val="18"/>
                  <w:szCs w:val="18"/>
                  <w:color w:val="0000FF"/>
                </w:rPr>
                <w:t>Severance Agreement and General Release, dated June 6, 2022, by and between John P. Hester,</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Southwest Gas Holdings, Inc. and Southwest Gas Corporation.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20" w:type="dxa"/>
            <w:vAlign w:val="bottom"/>
            <w:tcBorders>
              <w:top w:val="single" w:sz="8" w:color="0000FF"/>
            </w:tcBorders>
            <w:gridSpan w:val="25"/>
          </w:tcPr>
          <w:p>
            <w:pPr>
              <w:spacing w:after="0" w:line="169" w:lineRule="exact"/>
              <w:rPr>
                <w:rFonts w:ascii="Arial" w:cs="Arial" w:eastAsia="Arial" w:hAnsi="Arial"/>
                <w:sz w:val="18"/>
                <w:szCs w:val="18"/>
                <w:color w:val="0000FF"/>
                <w:w w:val="96"/>
              </w:rPr>
            </w:pPr>
            <w:hyperlink r:id="rId108">
              <w:r>
                <w:rPr>
                  <w:rFonts w:ascii="Arial" w:cs="Arial" w:eastAsia="Arial" w:hAnsi="Arial"/>
                  <w:sz w:val="18"/>
                  <w:szCs w:val="18"/>
                  <w:color w:val="0000FF"/>
                  <w:w w:val="96"/>
                </w:rPr>
                <w:t>Exhibit 10.2 to Form 10-Q for the quarter ended June 30, 2022, File Nos. 001-37976 and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10.40*</w:t>
            </w: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09">
              <w:r>
                <w:rPr>
                  <w:rFonts w:ascii="Arial" w:cs="Arial" w:eastAsia="Arial" w:hAnsi="Arial"/>
                  <w:sz w:val="18"/>
                  <w:szCs w:val="18"/>
                  <w:color w:val="0000FF"/>
                </w:rPr>
                <w:t>Amended and Restated Award Agreement for the Centuri Group, Inc. Long-Term Incentive Plan.</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109">
              <w:r>
                <w:rPr>
                  <w:rFonts w:ascii="Arial" w:cs="Arial" w:eastAsia="Arial" w:hAnsi="Arial"/>
                  <w:sz w:val="18"/>
                  <w:szCs w:val="18"/>
                  <w:color w:val="0000FF"/>
                  <w:w w:val="94"/>
                </w:rPr>
                <w:t>Incorporated herein by reference to Exhibit 10.3 to Form 10-Q for the quarter ended June 30, 2022,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Nos. 001-37976 and 001-07850.</w:t>
              </w:r>
            </w:hyperlink>
          </w:p>
        </w:tc>
        <w:tc>
          <w:tcPr>
            <w:tcW w:w="53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10.41</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10">
              <w:r>
                <w:rPr>
                  <w:rFonts w:ascii="Arial" w:cs="Arial" w:eastAsia="Arial" w:hAnsi="Arial"/>
                  <w:sz w:val="18"/>
                  <w:szCs w:val="18"/>
                  <w:color w:val="0000FF"/>
                </w:rPr>
                <w:t>Letter Agreement by and among Southwest Gas Holdings, Inc. and the Icahn Group, dated August 3,</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2022. Incorporated herein by reference to Exhibit 10.1 to Form 8-K dated August 2, 2022. File No. 001-</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Borders>
              <w:bottom w:val="single" w:sz="8" w:color="0000FF"/>
            </w:tcBorders>
          </w:tcPr>
          <w:p>
            <w:pPr>
              <w:spacing w:after="0" w:line="169" w:lineRule="exact"/>
              <w:rPr>
                <w:rFonts w:ascii="Arial" w:cs="Arial" w:eastAsia="Arial" w:hAnsi="Arial"/>
                <w:sz w:val="18"/>
                <w:szCs w:val="18"/>
                <w:color w:val="0000FF"/>
                <w:w w:val="87"/>
              </w:rPr>
            </w:pPr>
            <w:hyperlink r:id="rId110">
              <w:r>
                <w:rPr>
                  <w:rFonts w:ascii="Arial" w:cs="Arial" w:eastAsia="Arial" w:hAnsi="Arial"/>
                  <w:sz w:val="18"/>
                  <w:szCs w:val="18"/>
                  <w:color w:val="0000FF"/>
                  <w:w w:val="87"/>
                </w:rPr>
                <w:t>37976.</w:t>
              </w:r>
            </w:hyperlink>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10.42</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11">
              <w:r>
                <w:rPr>
                  <w:rFonts w:ascii="Arial" w:cs="Arial" w:eastAsia="Arial" w:hAnsi="Arial"/>
                  <w:sz w:val="18"/>
                  <w:szCs w:val="18"/>
                  <w:color w:val="0000FF"/>
                </w:rPr>
                <w:t xml:space="preserve">Amendment No. </w:t>
              </w:r>
            </w:hyperlink>
            <w:r>
              <w:rPr>
                <w:rFonts w:ascii="Arial" w:cs="Arial" w:eastAsia="Arial" w:hAnsi="Arial"/>
                <w:sz w:val="18"/>
                <w:szCs w:val="18"/>
                <w:color w:val="0000FF"/>
              </w:rPr>
              <w:t xml:space="preserve">1, </w:t>
            </w:r>
            <w:hyperlink r:id="rId111">
              <w:r>
                <w:rPr>
                  <w:rFonts w:ascii="Arial" w:cs="Arial" w:eastAsia="Arial" w:hAnsi="Arial"/>
                  <w:sz w:val="18"/>
                  <w:szCs w:val="18"/>
                  <w:color w:val="0000FF"/>
                </w:rPr>
                <w:t>dated as of September 26, 2022, to the 364-Day Term Loan Credit Agreement, dated</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as of November 1, 2021, with the lenders party thereto, JPMorgan Chase Bank, N.A, as Administrative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60" w:type="dxa"/>
            <w:vAlign w:val="bottom"/>
            <w:gridSpan w:val="36"/>
          </w:tcPr>
          <w:p>
            <w:pPr>
              <w:spacing w:after="0" w:line="169" w:lineRule="exact"/>
              <w:rPr>
                <w:rFonts w:ascii="Arial" w:cs="Arial" w:eastAsia="Arial" w:hAnsi="Arial"/>
                <w:sz w:val="18"/>
                <w:szCs w:val="18"/>
                <w:color w:val="0000FF"/>
                <w:w w:val="97"/>
              </w:rPr>
            </w:pPr>
            <w:hyperlink r:id="rId111">
              <w:r>
                <w:rPr>
                  <w:rFonts w:ascii="Arial" w:cs="Arial" w:eastAsia="Arial" w:hAnsi="Arial"/>
                  <w:sz w:val="18"/>
                  <w:szCs w:val="18"/>
                  <w:color w:val="0000FF"/>
                  <w:w w:val="97"/>
                </w:rPr>
                <w:t>Agent, Bank of America, N.A. as Syndication Agent, JPMorgan Chase Bank, N.A. and BofA Securities,</w:t>
              </w:r>
            </w:hyperlink>
          </w:p>
        </w:tc>
        <w:tc>
          <w:tcPr>
            <w:tcW w:w="20" w:type="dxa"/>
            <w:vAlign w:val="bottom"/>
          </w:tcPr>
          <w:p>
            <w:pPr>
              <w:spacing w:after="0"/>
              <w:rPr>
                <w:sz w:val="14"/>
                <w:szCs w:val="14"/>
                <w:color w:val="auto"/>
              </w:rPr>
            </w:pPr>
          </w:p>
        </w:tc>
        <w:tc>
          <w:tcPr>
            <w:tcW w:w="1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40" w:type="dxa"/>
            <w:vAlign w:val="bottom"/>
            <w:tcBorders>
              <w:top w:val="single" w:sz="8" w:color="0000FF"/>
            </w:tcBorders>
            <w:gridSpan w:val="31"/>
          </w:tcPr>
          <w:p>
            <w:pPr>
              <w:spacing w:after="0" w:line="156"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Inc. as Joint Lead Arranger and Joint Bookrunner, and MUFG Bank, Ltd. as Documentation Agent.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0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Incorporated herein by reference to Exhibit 10.1 to Form 8-K dated September 26, 2022, File No. 001-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111">
              <w:r>
                <w:rPr>
                  <w:rFonts w:ascii="Arial" w:cs="Arial" w:eastAsia="Arial" w:hAnsi="Arial"/>
                  <w:sz w:val="18"/>
                  <w:szCs w:val="18"/>
                  <w:color w:val="0000FF"/>
                  <w:w w:val="87"/>
                </w:rPr>
                <w:t>37976.</w:t>
              </w:r>
            </w:hyperlink>
          </w:p>
        </w:tc>
        <w:tc>
          <w:tcPr>
            <w:tcW w:w="7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10.43</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Amended and Restated Cooperation Agreement, dated as of October 24, 2022, by and among the Icahn</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Group and Southwest Gas Holdings, Inc. Incorporated herein by reference to Exhibit 10.1 to Form 8-K</w:t>
              </w:r>
            </w:hyperlink>
          </w:p>
        </w:tc>
        <w:tc>
          <w:tcPr>
            <w:tcW w:w="12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40" w:type="dxa"/>
            <w:vAlign w:val="bottom"/>
            <w:tcBorders>
              <w:bottom w:val="single" w:sz="8" w:color="0000FF"/>
            </w:tcBorders>
            <w:gridSpan w:val="10"/>
          </w:tcPr>
          <w:p>
            <w:pPr>
              <w:spacing w:after="0" w:line="169"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dated October 24, 2022. File No. 001-37976.</w:t>
              </w:r>
            </w:hyperlink>
          </w:p>
        </w:tc>
        <w:tc>
          <w:tcPr>
            <w:tcW w:w="4740" w:type="dxa"/>
            <w:vAlign w:val="bottom"/>
            <w:gridSpan w:val="27"/>
          </w:tcPr>
          <w:p>
            <w:pPr>
              <w:spacing w:after="0"/>
              <w:rPr>
                <w:sz w:val="14"/>
                <w:szCs w:val="14"/>
                <w:color w:val="auto"/>
              </w:rPr>
            </w:pPr>
          </w:p>
        </w:tc>
        <w:tc>
          <w:tcPr>
            <w:tcW w:w="1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10.44*</w:t>
            </w: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13">
              <w:r>
                <w:rPr>
                  <w:rFonts w:ascii="Arial" w:cs="Arial" w:eastAsia="Arial" w:hAnsi="Arial"/>
                  <w:sz w:val="18"/>
                  <w:szCs w:val="18"/>
                  <w:color w:val="0000FF"/>
                </w:rPr>
                <w:t>Executive Employment Agreement by and between Southwest Gas Holdings, Inc., Southwest Gas</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Corporation and Robert J. Stefani. Incorporated herein by reference to Exhibit 10.1 to Form 8-K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0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November 7, 2022. File Nos. 001-37976 and 001-07850.</w:t>
              </w:r>
            </w:hyperlink>
          </w:p>
        </w:tc>
        <w:tc>
          <w:tcPr>
            <w:tcW w:w="3560" w:type="dxa"/>
            <w:vAlign w:val="bottom"/>
            <w:tcBorders>
              <w:top w:val="single" w:sz="8" w:color="0000FF"/>
            </w:tcBorders>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10.45*</w:t>
            </w: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14">
              <w:r>
                <w:rPr>
                  <w:rFonts w:ascii="Arial" w:cs="Arial" w:eastAsia="Arial" w:hAnsi="Arial"/>
                  <w:sz w:val="18"/>
                  <w:szCs w:val="18"/>
                  <w:color w:val="0000FF"/>
                </w:rPr>
                <w:t>Change in Control Agreement by and between Southwest Gas Holdings, Inc., Southwest Gas Corporation</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4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and Robert J. Stefani. Incorporated herein by reference to Exhibit 10.2 to Form 8-K dated November 7,</w:t>
              </w:r>
            </w:hyperlink>
          </w:p>
        </w:tc>
        <w:tc>
          <w:tcPr>
            <w:tcW w:w="1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7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2022. File Nos. 001-37976 and 001-07850.</w:t>
              </w:r>
            </w:hyperlink>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1080" w:type="dxa"/>
            <w:vAlign w:val="bottom"/>
          </w:tcPr>
          <w:p>
            <w:pPr>
              <w:spacing w:after="0"/>
              <w:rPr>
                <w:sz w:val="22"/>
                <w:szCs w:val="22"/>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Amended Change in Control Agreement by and between Southwest Gas Holdings, Inc., Southwest Gas</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4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Corporation and Karen Haller.</w:t>
            </w:r>
          </w:p>
        </w:tc>
        <w:tc>
          <w:tcPr>
            <w:tcW w:w="2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10.47**</w:t>
            </w:r>
          </w:p>
        </w:tc>
        <w:tc>
          <w:tcPr>
            <w:tcW w:w="1080" w:type="dxa"/>
            <w:vAlign w:val="bottom"/>
          </w:tcPr>
          <w:p>
            <w:pPr>
              <w:spacing w:after="0"/>
              <w:rPr>
                <w:sz w:val="24"/>
                <w:szCs w:val="24"/>
                <w:color w:val="auto"/>
              </w:rPr>
            </w:pPr>
          </w:p>
        </w:tc>
        <w:tc>
          <w:tcPr>
            <w:tcW w:w="4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First Amendment to Centuri Credit Facility Agreement.</w:t>
            </w:r>
          </w:p>
        </w:tc>
        <w:tc>
          <w:tcPr>
            <w:tcW w:w="506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 w:type="dxa"/>
            <w:vAlign w:val="bottom"/>
          </w:tcPr>
          <w:p>
            <w:pPr>
              <w:ind w:left="20"/>
              <w:spacing w:after="0"/>
              <w:rPr>
                <w:sz w:val="20"/>
                <w:szCs w:val="20"/>
                <w:color w:val="auto"/>
              </w:rPr>
            </w:pPr>
            <w:r>
              <w:rPr>
                <w:rFonts w:ascii="Arial" w:cs="Arial" w:eastAsia="Arial" w:hAnsi="Arial"/>
                <w:sz w:val="18"/>
                <w:szCs w:val="18"/>
                <w:color w:val="auto"/>
              </w:rPr>
              <w:t>10.48</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40"/>
          </w:tcPr>
          <w:p>
            <w:pPr>
              <w:spacing w:after="0"/>
              <w:rPr>
                <w:rFonts w:ascii="Arial" w:cs="Arial" w:eastAsia="Arial" w:hAnsi="Arial"/>
                <w:sz w:val="18"/>
                <w:szCs w:val="18"/>
                <w:color w:val="0000FF"/>
              </w:rPr>
            </w:pPr>
            <w:hyperlink r:id="rId115">
              <w:r>
                <w:rPr>
                  <w:rFonts w:ascii="Arial" w:cs="Arial" w:eastAsia="Arial" w:hAnsi="Arial"/>
                  <w:sz w:val="18"/>
                  <w:szCs w:val="18"/>
                  <w:color w:val="0000FF"/>
                </w:rPr>
                <w:t>364-Day Term Loan Credit Agreement, dated as of January 20, 2023, by and among Southwest Gas</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90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15">
              <w:r>
                <w:rPr>
                  <w:rFonts w:ascii="Arial" w:cs="Arial" w:eastAsia="Arial" w:hAnsi="Arial"/>
                  <w:sz w:val="18"/>
                  <w:szCs w:val="18"/>
                  <w:color w:val="0000FF"/>
                  <w:w w:val="96"/>
                </w:rPr>
                <w:t>Corporation, JPMorgan Chase Bank, N.A., as Administrative Agent, and the Lenders from time to time</w:t>
              </w:r>
            </w:hyperlink>
          </w:p>
        </w:tc>
        <w:tc>
          <w:tcPr>
            <w:tcW w:w="1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80" w:type="dxa"/>
            <w:vAlign w:val="bottom"/>
            <w:tcBorders>
              <w:top w:val="single" w:sz="8" w:color="0000FF"/>
            </w:tcBorders>
            <w:gridSpan w:val="37"/>
          </w:tcPr>
          <w:p>
            <w:pPr>
              <w:spacing w:after="0" w:line="169" w:lineRule="exact"/>
              <w:rPr>
                <w:rFonts w:ascii="Arial" w:cs="Arial" w:eastAsia="Arial" w:hAnsi="Arial"/>
                <w:sz w:val="18"/>
                <w:szCs w:val="18"/>
                <w:color w:val="0000FF"/>
                <w:w w:val="96"/>
              </w:rPr>
            </w:pPr>
            <w:hyperlink r:id="rId115">
              <w:r>
                <w:rPr>
                  <w:rFonts w:ascii="Arial" w:cs="Arial" w:eastAsia="Arial" w:hAnsi="Arial"/>
                  <w:sz w:val="18"/>
                  <w:szCs w:val="18"/>
                  <w:color w:val="0000FF"/>
                  <w:w w:val="96"/>
                </w:rPr>
                <w:t>party thereto. Incorporated herein by reference to Exhibit 10.1 to Form 8-K dated January 20, 2023. File</w:t>
              </w:r>
            </w:hyperlink>
          </w:p>
        </w:tc>
        <w:tc>
          <w:tcPr>
            <w:tcW w:w="1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Nos. 001-37976 and 001-07850.</w:t>
              </w:r>
            </w:hyperlink>
          </w:p>
        </w:tc>
        <w:tc>
          <w:tcPr>
            <w:tcW w:w="5540" w:type="dxa"/>
            <w:vAlign w:val="bottom"/>
            <w:tcBorders>
              <w:top w:val="single" w:sz="8" w:color="0000FF"/>
            </w:tcBorders>
            <w:gridSpan w:val="25"/>
          </w:tcPr>
          <w:p>
            <w:pPr>
              <w:spacing w:after="0"/>
              <w:rPr>
                <w:sz w:val="13"/>
                <w:szCs w:val="13"/>
                <w:color w:val="auto"/>
              </w:rPr>
            </w:pPr>
          </w:p>
        </w:tc>
        <w:tc>
          <w:tcPr>
            <w:tcW w:w="1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tcPr>
          <w:p>
            <w:pPr>
              <w:ind w:left="20"/>
              <w:spacing w:after="0"/>
              <w:rPr>
                <w:sz w:val="20"/>
                <w:szCs w:val="20"/>
                <w:color w:val="auto"/>
              </w:rPr>
            </w:pPr>
            <w:r>
              <w:rPr>
                <w:rFonts w:ascii="Arial" w:cs="Arial" w:eastAsia="Arial" w:hAnsi="Arial"/>
                <w:sz w:val="18"/>
                <w:szCs w:val="18"/>
                <w:color w:val="auto"/>
              </w:rPr>
              <w:t>13.01</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Portions of Southwest Gas Holdings, Inc. 2022 Annual Report to Stockholders incorporated by reference</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1"/>
              </w:rPr>
              <w:t>to the Form 10-K.</w:t>
            </w:r>
          </w:p>
        </w:tc>
        <w:tc>
          <w:tcPr>
            <w:tcW w:w="6580" w:type="dxa"/>
            <w:vAlign w:val="bottom"/>
            <w:tcBorders>
              <w:top w:val="single" w:sz="8" w:color="0000FF"/>
            </w:tcBorders>
            <w:gridSpan w:val="29"/>
          </w:tcPr>
          <w:p>
            <w:pPr>
              <w:spacing w:after="0"/>
              <w:rPr>
                <w:sz w:val="13"/>
                <w:szCs w:val="13"/>
                <w:color w:val="auto"/>
              </w:rPr>
            </w:pPr>
          </w:p>
        </w:tc>
        <w:tc>
          <w:tcPr>
            <w:tcW w:w="1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21.01**</w:t>
            </w:r>
          </w:p>
        </w:tc>
        <w:tc>
          <w:tcPr>
            <w:tcW w:w="1080" w:type="dxa"/>
            <w:vAlign w:val="bottom"/>
          </w:tcPr>
          <w:p>
            <w:pPr>
              <w:spacing w:after="0"/>
              <w:rPr>
                <w:sz w:val="24"/>
                <w:szCs w:val="24"/>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List of subsidiaries - Southwest Gas Holdings, Inc.</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4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23.01**</w:t>
            </w:r>
          </w:p>
        </w:tc>
        <w:tc>
          <w:tcPr>
            <w:tcW w:w="1080" w:type="dxa"/>
            <w:vAlign w:val="bottom"/>
          </w:tcPr>
          <w:p>
            <w:pPr>
              <w:spacing w:after="0"/>
              <w:rPr>
                <w:sz w:val="22"/>
                <w:szCs w:val="22"/>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Consent of PricewaterhouseCoopers LLP, an independent registered public accounting firm - Southwest</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2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Gas Holdings, Inc.</w:t>
            </w:r>
          </w:p>
        </w:tc>
        <w:tc>
          <w:tcPr>
            <w:tcW w:w="1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9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23.02**</w:t>
            </w:r>
          </w:p>
        </w:tc>
        <w:tc>
          <w:tcPr>
            <w:tcW w:w="1080" w:type="dxa"/>
            <w:vAlign w:val="bottom"/>
          </w:tcPr>
          <w:p>
            <w:pPr>
              <w:spacing w:after="0"/>
              <w:rPr>
                <w:sz w:val="24"/>
                <w:szCs w:val="24"/>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Consent of PricewaterhouseCoopers LLP, an independent registered public accounting firm - Southwest</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8"/>
              </w:rPr>
              <w:t>Gas Corporation.</w:t>
            </w:r>
          </w:p>
        </w:tc>
        <w:tc>
          <w:tcPr>
            <w:tcW w:w="6380" w:type="dxa"/>
            <w:vAlign w:val="bottom"/>
            <w:tcBorders>
              <w:top w:val="single" w:sz="8" w:color="0000FF"/>
            </w:tcBorders>
            <w:gridSpan w:val="18"/>
          </w:tcPr>
          <w:p>
            <w:pPr>
              <w:spacing w:after="0"/>
              <w:rPr>
                <w:sz w:val="13"/>
                <w:szCs w:val="13"/>
                <w:color w:val="auto"/>
              </w:rPr>
            </w:pPr>
          </w:p>
        </w:tc>
        <w:tc>
          <w:tcPr>
            <w:tcW w:w="1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31.01**</w:t>
            </w:r>
          </w:p>
        </w:tc>
        <w:tc>
          <w:tcPr>
            <w:tcW w:w="1080" w:type="dxa"/>
            <w:vAlign w:val="bottom"/>
          </w:tcPr>
          <w:p>
            <w:pPr>
              <w:spacing w:after="0"/>
              <w:rPr>
                <w:sz w:val="24"/>
                <w:szCs w:val="24"/>
                <w:color w:val="auto"/>
              </w:rPr>
            </w:pPr>
          </w:p>
        </w:tc>
        <w:tc>
          <w:tcPr>
            <w:tcW w:w="41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Section 302 Certifications–Southwest Gas Holdings, Inc.</w:t>
            </w:r>
          </w:p>
        </w:tc>
        <w:tc>
          <w:tcPr>
            <w:tcW w:w="49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31.02**</w:t>
            </w:r>
          </w:p>
        </w:tc>
        <w:tc>
          <w:tcPr>
            <w:tcW w:w="1080" w:type="dxa"/>
            <w:vAlign w:val="bottom"/>
          </w:tcPr>
          <w:p>
            <w:pPr>
              <w:spacing w:after="0"/>
              <w:rPr>
                <w:sz w:val="22"/>
                <w:szCs w:val="22"/>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Section 302 Certifications–Southwest Gas Corporation.</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gridSpan w:val="12"/>
            <w:shd w:val="clear" w:color="auto" w:fill="0000FF"/>
          </w:tcPr>
          <w:p>
            <w:pPr>
              <w:spacing w:after="0" w:line="20" w:lineRule="exact"/>
              <w:rPr>
                <w:sz w:val="1"/>
                <w:szCs w:val="1"/>
                <w:color w:val="auto"/>
              </w:rPr>
            </w:pPr>
          </w:p>
        </w:tc>
        <w:tc>
          <w:tcPr>
            <w:tcW w:w="50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32.01**</w:t>
            </w:r>
          </w:p>
        </w:tc>
        <w:tc>
          <w:tcPr>
            <w:tcW w:w="1080" w:type="dxa"/>
            <w:vAlign w:val="bottom"/>
          </w:tcPr>
          <w:p>
            <w:pPr>
              <w:spacing w:after="0"/>
              <w:rPr>
                <w:sz w:val="22"/>
                <w:szCs w:val="22"/>
                <w:color w:val="auto"/>
              </w:rPr>
            </w:pPr>
          </w:p>
        </w:tc>
        <w:tc>
          <w:tcPr>
            <w:tcW w:w="41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Section 906 Certifications–Southwest Gas Holdings, Inc.</w:t>
            </w:r>
          </w:p>
        </w:tc>
        <w:tc>
          <w:tcPr>
            <w:tcW w:w="496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32.02**</w:t>
            </w:r>
          </w:p>
        </w:tc>
        <w:tc>
          <w:tcPr>
            <w:tcW w:w="1080" w:type="dxa"/>
            <w:vAlign w:val="bottom"/>
          </w:tcPr>
          <w:p>
            <w:pPr>
              <w:spacing w:after="0"/>
              <w:rPr>
                <w:sz w:val="22"/>
                <w:szCs w:val="22"/>
                <w:color w:val="auto"/>
              </w:rPr>
            </w:pPr>
          </w:p>
        </w:tc>
        <w:tc>
          <w:tcPr>
            <w:tcW w:w="9080" w:type="dxa"/>
            <w:vAlign w:val="bottom"/>
            <w:gridSpan w:val="40"/>
          </w:tcPr>
          <w:p>
            <w:pPr>
              <w:spacing w:after="0"/>
              <w:rPr>
                <w:sz w:val="20"/>
                <w:szCs w:val="20"/>
                <w:color w:val="auto"/>
              </w:rPr>
            </w:pPr>
            <w:r>
              <w:rPr>
                <w:rFonts w:ascii="Arial" w:cs="Arial" w:eastAsia="Arial" w:hAnsi="Arial"/>
                <w:sz w:val="18"/>
                <w:szCs w:val="18"/>
                <w:color w:val="0000FF"/>
              </w:rPr>
              <w:t>Section 906 Certifications–Southwest Gas Corporation.</w:t>
            </w:r>
          </w:p>
        </w:tc>
        <w:tc>
          <w:tcPr>
            <w:tcW w:w="0" w:type="dxa"/>
            <w:vAlign w:val="bottom"/>
          </w:tcPr>
          <w:p>
            <w:pPr>
              <w:spacing w:after="0"/>
              <w:rPr>
                <w:sz w:val="1"/>
                <w:szCs w:val="1"/>
                <w:color w:val="auto"/>
              </w:rPr>
            </w:pPr>
          </w:p>
        </w:tc>
      </w:tr>
      <w:tr>
        <w:trPr>
          <w:trHeight w:val="939"/>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60" w:type="dxa"/>
            <w:vAlign w:val="bottom"/>
            <w:tcBorders>
              <w:top w:val="single" w:sz="8" w:color="0000FF"/>
            </w:tcBorders>
            <w:gridSpan w:val="11"/>
          </w:tcPr>
          <w:p>
            <w:pPr>
              <w:ind w:left="3380"/>
              <w:spacing w:after="0"/>
              <w:rPr>
                <w:sz w:val="20"/>
                <w:szCs w:val="20"/>
                <w:color w:val="auto"/>
              </w:rPr>
            </w:pPr>
            <w:r>
              <w:rPr>
                <w:rFonts w:ascii="Arial" w:cs="Arial" w:eastAsia="Arial" w:hAnsi="Arial"/>
                <w:sz w:val="18"/>
                <w:szCs w:val="18"/>
                <w:color w:val="auto"/>
              </w:rPr>
              <w:t>30</w:t>
            </w: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-7063105</wp:posOffset>
            </wp:positionV>
            <wp:extent cx="36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8">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Exhibit</w:t>
            </w:r>
          </w:p>
        </w:tc>
        <w:tc>
          <w:tcPr>
            <w:tcW w:w="3480" w:type="dxa"/>
            <w:vAlign w:val="bottom"/>
            <w:vMerge w:val="restart"/>
          </w:tcPr>
          <w:p>
            <w:pPr>
              <w:spacing w:after="0"/>
              <w:rPr>
                <w:sz w:val="16"/>
                <w:szCs w:val="16"/>
                <w:color w:val="auto"/>
              </w:rPr>
            </w:pPr>
          </w:p>
        </w:tc>
        <w:tc>
          <w:tcPr>
            <w:tcW w:w="1740" w:type="dxa"/>
            <w:vAlign w:val="bottom"/>
            <w:vMerge w:val="restart"/>
          </w:tcPr>
          <w:p>
            <w:pPr>
              <w:spacing w:after="0"/>
              <w:rPr>
                <w:sz w:val="20"/>
                <w:szCs w:val="20"/>
                <w:color w:val="auto"/>
              </w:rPr>
            </w:pPr>
            <w:r>
              <w:rPr>
                <w:rFonts w:ascii="Arial" w:cs="Arial" w:eastAsia="Arial" w:hAnsi="Arial"/>
                <w:sz w:val="16"/>
                <w:szCs w:val="16"/>
                <w:b w:val="1"/>
                <w:bCs w:val="1"/>
                <w:color w:val="auto"/>
                <w:w w:val="90"/>
              </w:rPr>
              <w:t>Description of Document</w:t>
            </w:r>
          </w:p>
        </w:tc>
        <w:tc>
          <w:tcPr>
            <w:tcW w:w="29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Number</w:t>
            </w:r>
          </w:p>
        </w:tc>
        <w:tc>
          <w:tcPr>
            <w:tcW w:w="54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60" w:type="dxa"/>
            <w:vAlign w:val="bottom"/>
            <w:gridSpan w:val="3"/>
          </w:tcPr>
          <w:p>
            <w:pPr>
              <w:ind w:left="540"/>
              <w:spacing w:after="0" w:line="196" w:lineRule="exact"/>
              <w:rPr>
                <w:sz w:val="20"/>
                <w:szCs w:val="20"/>
                <w:color w:val="auto"/>
              </w:rPr>
            </w:pPr>
            <w:r>
              <w:rPr>
                <w:rFonts w:ascii="Arial" w:cs="Arial" w:eastAsia="Arial" w:hAnsi="Arial"/>
                <w:sz w:val="18"/>
                <w:szCs w:val="18"/>
                <w:color w:val="auto"/>
                <w:w w:val="96"/>
              </w:rPr>
              <w:t>The following materials from the Annual Report on Form 10-K of Southwest Gas Holdings, Inc. and</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160" w:type="dxa"/>
            <w:vAlign w:val="bottom"/>
            <w:gridSpan w:val="3"/>
          </w:tcPr>
          <w:p>
            <w:pPr>
              <w:ind w:left="540"/>
              <w:spacing w:after="0" w:line="189" w:lineRule="exact"/>
              <w:rPr>
                <w:sz w:val="20"/>
                <w:szCs w:val="20"/>
                <w:color w:val="auto"/>
              </w:rPr>
            </w:pPr>
            <w:r>
              <w:rPr>
                <w:rFonts w:ascii="Arial" w:cs="Arial" w:eastAsia="Arial" w:hAnsi="Arial"/>
                <w:sz w:val="18"/>
                <w:szCs w:val="18"/>
                <w:color w:val="auto"/>
                <w:w w:val="96"/>
              </w:rPr>
              <w:t>Southwest Gas Corporation for the year ended December 31, 2022, were formatted in Inline XBRL</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6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5"/>
              </w:rPr>
              <w:t>(Extensible Business Reporting Language): (1) Southwest Gas Holdings, Inc. Consolidated Balance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6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7"/>
              </w:rPr>
              <w:t>Sheets, (ii) Southwest Gas Holdings, Inc. Consolidated Statements of Income, (iii) Southwest Gas</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160" w:type="dxa"/>
            <w:vAlign w:val="bottom"/>
            <w:gridSpan w:val="3"/>
          </w:tcPr>
          <w:p>
            <w:pPr>
              <w:ind w:left="540"/>
              <w:spacing w:after="0" w:line="189" w:lineRule="exact"/>
              <w:rPr>
                <w:sz w:val="20"/>
                <w:szCs w:val="20"/>
                <w:color w:val="auto"/>
              </w:rPr>
            </w:pPr>
            <w:r>
              <w:rPr>
                <w:rFonts w:ascii="Arial" w:cs="Arial" w:eastAsia="Arial" w:hAnsi="Arial"/>
                <w:sz w:val="18"/>
                <w:szCs w:val="18"/>
                <w:color w:val="auto"/>
                <w:w w:val="94"/>
              </w:rPr>
              <w:t>Holdings, Inc. Consolidated Statements of Comprehensive Income, (iv) Southwest Gas Holdings, Inc.</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6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2"/>
              </w:rPr>
              <w:t>Consolidated Statements of Cash Flows, (v) Southwest Gas Holdings, Inc. Consolidated Statements of</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6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2"/>
              </w:rPr>
              <w:t>Equity, (vi) Southwest Gas Corporation Consolidated Balance Sheets, (vii) Southwest Gas Corporation</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160" w:type="dxa"/>
            <w:vAlign w:val="bottom"/>
            <w:gridSpan w:val="3"/>
          </w:tcPr>
          <w:p>
            <w:pPr>
              <w:ind w:left="540"/>
              <w:spacing w:after="0" w:line="189" w:lineRule="exact"/>
              <w:rPr>
                <w:sz w:val="20"/>
                <w:szCs w:val="20"/>
                <w:color w:val="auto"/>
              </w:rPr>
            </w:pPr>
            <w:r>
              <w:rPr>
                <w:rFonts w:ascii="Arial" w:cs="Arial" w:eastAsia="Arial" w:hAnsi="Arial"/>
                <w:sz w:val="18"/>
                <w:szCs w:val="18"/>
                <w:color w:val="auto"/>
                <w:w w:val="97"/>
              </w:rPr>
              <w:t>Consolidated Statements of Income, (viii) Southwest Gas Corporation Consolidated Statements of</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6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4"/>
              </w:rPr>
              <w:t>Comprehensive Income, (ix) Southwest Gas Corporation Consolidated Statements of Cash Flows, (x)</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6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1"/>
              </w:rPr>
              <w:t>Southwest Gas Corporation Consolidated Statements of Equity. The instance document does not appear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160" w:type="dxa"/>
            <w:vAlign w:val="bottom"/>
            <w:gridSpan w:val="3"/>
          </w:tcPr>
          <w:p>
            <w:pPr>
              <w:ind w:left="540"/>
              <w:spacing w:after="0"/>
              <w:rPr>
                <w:sz w:val="20"/>
                <w:szCs w:val="20"/>
                <w:color w:val="auto"/>
              </w:rPr>
            </w:pPr>
            <w:r>
              <w:rPr>
                <w:rFonts w:ascii="Arial" w:cs="Arial" w:eastAsia="Arial" w:hAnsi="Arial"/>
                <w:sz w:val="18"/>
                <w:szCs w:val="18"/>
                <w:color w:val="auto"/>
                <w:w w:val="96"/>
              </w:rPr>
              <w:t>in the Interactive Data File because its XBRL tags are embedded within the Inline XBRL document.</w:t>
            </w:r>
          </w:p>
        </w:tc>
        <w:tc>
          <w:tcPr>
            <w:tcW w:w="0" w:type="dxa"/>
            <w:vAlign w:val="bottom"/>
          </w:tcPr>
          <w:p>
            <w:pPr>
              <w:spacing w:after="0"/>
              <w:rPr>
                <w:sz w:val="1"/>
                <w:szCs w:val="1"/>
                <w:color w:val="auto"/>
              </w:rPr>
            </w:pPr>
          </w:p>
        </w:tc>
      </w:tr>
      <w:tr>
        <w:trPr>
          <w:trHeight w:val="296"/>
        </w:trPr>
        <w:tc>
          <w:tcPr>
            <w:tcW w:w="48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60" w:type="dxa"/>
            <w:vAlign w:val="bottom"/>
            <w:gridSpan w:val="3"/>
          </w:tcPr>
          <w:p>
            <w:pPr>
              <w:ind w:left="5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6599" w:firstLine="6"/>
        <w:spacing w:after="0" w:line="328"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Contracts or Compensation Plans ** Filed herewith</w:t>
      </w:r>
    </w:p>
    <w:p>
      <w:pPr>
        <w:spacing w:after="0" w:line="1" w:lineRule="exact"/>
        <w:rPr>
          <w:sz w:val="20"/>
          <w:szCs w:val="20"/>
          <w:color w:val="auto"/>
        </w:rPr>
      </w:pPr>
    </w:p>
    <w:p>
      <w:pPr>
        <w:ind w:right="559" w:firstLine="6"/>
        <w:spacing w:after="0" w:line="26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Southwest Gas Holdings, Inc. has omitted schedules and other similar attachments to such agreement pursuant to Item 601(b) of Regulation S-K. The Company will furnish a copy of such omitted document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4"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760" w:type="dxa"/>
            <w:vAlign w:val="bottom"/>
          </w:tcPr>
          <w:p>
            <w:pPr>
              <w:ind w:left="240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S. HALLER</w:t>
            </w:r>
          </w:p>
        </w:tc>
      </w:tr>
      <w:tr>
        <w:trPr>
          <w:trHeight w:val="222"/>
        </w:trPr>
        <w:tc>
          <w:tcPr>
            <w:tcW w:w="41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Karen S. Haller</w:t>
            </w:r>
          </w:p>
        </w:tc>
      </w:tr>
      <w:tr>
        <w:trPr>
          <w:trHeight w:val="230"/>
        </w:trPr>
        <w:tc>
          <w:tcPr>
            <w:tcW w:w="4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W. EVANS</w:t>
            </w:r>
          </w:p>
        </w:tc>
        <w:tc>
          <w:tcPr>
            <w:tcW w:w="340" w:type="dxa"/>
            <w:vAlign w:val="bottom"/>
          </w:tcPr>
          <w:p>
            <w:pPr>
              <w:spacing w:after="0"/>
              <w:rPr>
                <w:sz w:val="22"/>
                <w:szCs w:val="22"/>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1"/>
              </w:rPr>
              <w:t>(Andrew W. Evans)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HENRY P. LINGINFELTER</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3"/>
              </w:rPr>
              <w:t>(Henry P. Linginfelter)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RUBY SHARMA</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(Ruby Sharma)</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S. HALLER</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Director, President and Chief Executive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(Karen S. Haller)</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LEWIS-RAYMOND</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(Jane Lewis-Raymond)</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L. MARIUCCI</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5"/>
              </w:rPr>
              <w:t>(Anne L. Mariucci)</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 RENAE CONLEY</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Chair of the Board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(E. Renae Conley)</w:t>
            </w:r>
          </w:p>
        </w:tc>
        <w:tc>
          <w:tcPr>
            <w:tcW w:w="340" w:type="dxa"/>
            <w:vAlign w:val="bottom"/>
          </w:tcPr>
          <w:p>
            <w:pPr>
              <w:spacing w:after="0"/>
              <w:rPr>
                <w:sz w:val="19"/>
                <w:szCs w:val="19"/>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of Directors</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CARLOS A. RUISANCHEZ</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(Carlos A. Ruisanchez)</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STEFANI</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Senior Vice President/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(Robert J. Stefani)</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RANDALL THOMAN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(A. Randall Thoman)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J. TENO</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1"/>
              </w:rPr>
              <w:t>(Andrew J. Teno)</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LESLIE T. THORNTON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(Leslie T. Thornton)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LORI L. COLVIN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Vice President/Controller/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6860" w:type="dxa"/>
            <w:vAlign w:val="bottom"/>
            <w:gridSpan w:val="2"/>
          </w:tcPr>
          <w:p>
            <w:pPr>
              <w:ind w:left="2580"/>
              <w:spacing w:after="0"/>
              <w:rPr>
                <w:sz w:val="20"/>
                <w:szCs w:val="20"/>
                <w:color w:val="auto"/>
              </w:rPr>
            </w:pPr>
            <w:r>
              <w:rPr>
                <w:rFonts w:ascii="Arial" w:cs="Arial" w:eastAsia="Arial" w:hAnsi="Arial"/>
                <w:sz w:val="18"/>
                <w:szCs w:val="18"/>
                <w:color w:val="auto"/>
              </w:rPr>
              <w:t>SOUTHWEST GAS CORPORATION</w:t>
            </w:r>
          </w:p>
        </w:tc>
      </w:tr>
      <w:tr>
        <w:trPr>
          <w:trHeight w:val="230"/>
        </w:trPr>
        <w:tc>
          <w:tcPr>
            <w:tcW w:w="4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4360" w:type="dxa"/>
            <w:vAlign w:val="bottom"/>
          </w:tcPr>
          <w:p>
            <w:pPr>
              <w:spacing w:after="0"/>
              <w:rPr>
                <w:sz w:val="20"/>
                <w:szCs w:val="20"/>
                <w:color w:val="auto"/>
              </w:rPr>
            </w:pPr>
            <w:r>
              <w:rPr>
                <w:rFonts w:ascii="Arial" w:cs="Arial" w:eastAsia="Arial" w:hAnsi="Arial"/>
                <w:sz w:val="18"/>
                <w:szCs w:val="18"/>
                <w:color w:val="auto"/>
              </w:rPr>
              <w:t>Date: February 28, 2023</w:t>
            </w:r>
          </w:p>
        </w:tc>
        <w:tc>
          <w:tcPr>
            <w:tcW w:w="6860" w:type="dxa"/>
            <w:vAlign w:val="bottom"/>
            <w:gridSpan w:val="2"/>
          </w:tcPr>
          <w:p>
            <w:pPr>
              <w:ind w:left="2580"/>
              <w:spacing w:after="0"/>
              <w:rPr>
                <w:sz w:val="20"/>
                <w:szCs w:val="20"/>
                <w:color w:val="auto"/>
              </w:rPr>
            </w:pPr>
            <w:r>
              <w:rPr>
                <w:rFonts w:ascii="Arial" w:cs="Arial" w:eastAsia="Arial" w:hAnsi="Arial"/>
                <w:sz w:val="18"/>
                <w:szCs w:val="18"/>
                <w:color w:val="auto"/>
                <w:w w:val="97"/>
              </w:rPr>
              <w:t>By:/s/ KAREN S. HALLER</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Karen S. Haller</w:t>
            </w:r>
          </w:p>
        </w:tc>
      </w:tr>
      <w:tr>
        <w:trPr>
          <w:trHeight w:val="230"/>
        </w:trPr>
        <w:tc>
          <w:tcPr>
            <w:tcW w:w="4360" w:type="dxa"/>
            <w:vAlign w:val="bottom"/>
          </w:tcPr>
          <w:p>
            <w:pPr>
              <w:spacing w:after="0"/>
              <w:rPr>
                <w:sz w:val="20"/>
                <w:szCs w:val="20"/>
                <w:color w:val="auto"/>
              </w:rPr>
            </w:pPr>
          </w:p>
        </w:tc>
        <w:tc>
          <w:tcPr>
            <w:tcW w:w="6860" w:type="dxa"/>
            <w:vAlign w:val="bottom"/>
            <w:gridSpan w:val="2"/>
          </w:tcPr>
          <w:p>
            <w:pPr>
              <w:ind w:left="30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48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S. HALLER</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Director and Chief Executive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(Karen S. Haller)</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 RENAE CONLEY</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(E. Renae Conley)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STEFANI</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Director, Senior Vice President/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(Robert J. Stefani)</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LORI L. COLVIN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Vice President/Controller/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891"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AMENDED AND RESTATED CHANGE IN CONTROL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and effective as of the 18th day of May,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among SOUTHWEST GAS CORPORATION, a California corporation (“</w:t>
      </w:r>
      <w:r>
        <w:rPr>
          <w:rFonts w:ascii="Arial" w:cs="Arial" w:eastAsia="Arial" w:hAnsi="Arial"/>
          <w:sz w:val="22"/>
          <w:szCs w:val="22"/>
          <w:u w:val="single" w:color="auto"/>
          <w:color w:val="auto"/>
        </w:rPr>
        <w:t>Southwes</w:t>
      </w:r>
      <w:r>
        <w:rPr>
          <w:rFonts w:ascii="Arial" w:cs="Arial" w:eastAsia="Arial" w:hAnsi="Arial"/>
          <w:sz w:val="22"/>
          <w:szCs w:val="22"/>
          <w:color w:val="auto"/>
        </w:rPr>
        <w:t>t”), SOUTHWEST GAS HOLDINGS, INC., a Delaware corporation (“</w:t>
      </w:r>
      <w:r>
        <w:rPr>
          <w:rFonts w:ascii="Arial" w:cs="Arial" w:eastAsia="Arial" w:hAnsi="Arial"/>
          <w:sz w:val="22"/>
          <w:szCs w:val="22"/>
          <w:u w:val="single" w:color="auto"/>
          <w:color w:val="auto"/>
        </w:rPr>
        <w:t>Holdings</w:t>
      </w:r>
      <w:r>
        <w:rPr>
          <w:rFonts w:ascii="Arial" w:cs="Arial" w:eastAsia="Arial" w:hAnsi="Arial"/>
          <w:sz w:val="22"/>
          <w:szCs w:val="22"/>
          <w:color w:val="auto"/>
        </w:rPr>
        <w:t>” and together with Southwest and its successors, the “</w:t>
      </w:r>
      <w:r>
        <w:rPr>
          <w:rFonts w:ascii="Arial" w:cs="Arial" w:eastAsia="Arial" w:hAnsi="Arial"/>
          <w:sz w:val="22"/>
          <w:szCs w:val="22"/>
          <w:u w:val="single" w:color="auto"/>
          <w:color w:val="auto"/>
        </w:rPr>
        <w:t>Company</w:t>
      </w:r>
      <w:r>
        <w:rPr>
          <w:rFonts w:ascii="Arial" w:cs="Arial" w:eastAsia="Arial" w:hAnsi="Arial"/>
          <w:sz w:val="22"/>
          <w:szCs w:val="22"/>
          <w:color w:val="auto"/>
        </w:rPr>
        <w:t>”), and Karen S. Haller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Board of Directors of Holdings (the “</w:t>
      </w:r>
      <w:r>
        <w:rPr>
          <w:rFonts w:ascii="Arial" w:cs="Arial" w:eastAsia="Arial" w:hAnsi="Arial"/>
          <w:sz w:val="22"/>
          <w:szCs w:val="22"/>
          <w:u w:val="single" w:color="auto"/>
          <w:color w:val="auto"/>
        </w:rPr>
        <w:t>Board</w:t>
      </w:r>
      <w:r>
        <w:rPr>
          <w:rFonts w:ascii="Arial" w:cs="Arial" w:eastAsia="Arial" w:hAnsi="Arial"/>
          <w:sz w:val="22"/>
          <w:szCs w:val="22"/>
          <w:color w:val="auto"/>
        </w:rPr>
        <w:t>”) recognizes that the continuing possibility of a change in control of Southwest or Holdings is unsettling to the Executive and other officers of the Company; and</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WHEREAS, the Board wishes to assure a continuing dedication by the Executive to her duties to the Company, notwithstanding the occurrence or potential occurrence of a change in control of Southwest or Holdings; and</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WHEREAS, the Board believes it is important, should the Company receive proposals from third parties with respect to its future, to enable the Executive, without being influenced by the uncertainties of her own situation, to assess and advise the Board whether such proposals would be in the best interests of the Company and its stockholders and to take such other action regarding such proposals as the Board might determine to be appropriate; and</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Board wishes to demonstrate to officers of the Company that the Company is concerned with the welfare of its officers and intends to see that loyal officers are treated fairly; and</w:t>
      </w:r>
    </w:p>
    <w:p>
      <w:pPr>
        <w:spacing w:after="0" w:line="20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WHEREAS, Southwest and Holdings previously entered into a change in control agreement with the Executive, and the Company and Executive wish to amend and restate such agreement in its entirety pursuant to the terms of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the Executive agree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TERM</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term of this Agreement shall continue in effect until the Company’s termination of this Agreement by providing Executive with written notice of such termination at least twelve (12) months prior to the proposed termination date, provided that such termination notice shall be deemed to be null and void (and this Agreement shall continue in full force and effect) if prior to such proposed termination date a Change in Control occurs or another event, including but not limited to the signing of a definitive agreement that would result in a Change in Control, occurs that is expected to result in a Change in Control. Notwithstanding the foregoing, this Agreement shall not terminate during the Protection Period or the Severance Period, in each case as defined below.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2. DEFINITIONS</w:t>
      </w:r>
    </w:p>
    <w:p>
      <w:pPr>
        <w:sectPr>
          <w:pgSz w:w="11900" w:h="16838" w:orient="portrait"/>
          <w:cols w:equalWidth="0" w:num="1">
            <w:col w:w="11240"/>
          </w:cols>
          <w:pgMar w:left="320" w:top="1408"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22"/>
          <w:szCs w:val="22"/>
          <w:color w:val="auto"/>
        </w:rPr>
        <w:t>As used in this Agreement:</w:t>
      </w:r>
    </w:p>
    <w:p>
      <w:pPr>
        <w:spacing w:after="0" w:line="233"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a material act of theft, misappropriation, or conversion of corporate funds committed by the Executive or</w:t>
      </w:r>
    </w:p>
    <w:p>
      <w:pPr>
        <w:spacing w:after="0" w:line="42" w:lineRule="exact"/>
        <w:rPr>
          <w:rFonts w:ascii="Arial" w:cs="Arial" w:eastAsia="Arial" w:hAnsi="Arial"/>
          <w:sz w:val="19"/>
          <w:szCs w:val="19"/>
          <w:color w:val="auto"/>
        </w:rPr>
      </w:pPr>
    </w:p>
    <w:p>
      <w:pPr>
        <w:jc w:val="both"/>
        <w:ind w:firstLine="8"/>
        <w:spacing w:after="0" w:line="266" w:lineRule="auto"/>
        <w:tabs>
          <w:tab w:leader="none" w:pos="326"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Executive’s demonstrably willful, deliberate and continued failure to follow reasonable directives of the Board which are within the Executive’s ability to perform. The Executive shall not be deemed to have been terminated for Cause unless and until:</w:t>
      </w:r>
    </w:p>
    <w:p>
      <w:pPr>
        <w:spacing w:after="0" w:line="1" w:lineRule="exact"/>
        <w:rPr>
          <w:rFonts w:ascii="Arial" w:cs="Arial" w:eastAsia="Arial" w:hAnsi="Arial"/>
          <w:sz w:val="19"/>
          <w:szCs w:val="19"/>
          <w:color w:val="auto"/>
        </w:rPr>
      </w:pPr>
    </w:p>
    <w:p>
      <w:pPr>
        <w:jc w:val="both"/>
        <w:ind w:firstLine="8"/>
        <w:spacing w:after="0" w:line="270" w:lineRule="auto"/>
        <w:tabs>
          <w:tab w:leader="none" w:pos="3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there shall have been delivered to the Executive a copy of a resolution duly adopted by the Board in good faith at a meeting of the Board called and held for such purpose (after reasonable notice to the Executive and an opportunity for the Executive, together with her counsel, to be heard before the Board) finding that the Executive was guilty of conduct set forth above and specifying the particulars thereof in reasonable detail; and (y) if the Executive contests such finding (or a conclusion that she has failed to timely cure the performance in response thereto), the arbitrator, by final determination in an arbitration proceeding pursuant to Section 5 hereof, has concluded that the Executive’s conduct met the standard for termination for Cause above and that the Board’s conduct met the standards of good faith and satisfied the procedural and substantive conditions of this Section 2(a) (collectively, the “</w:t>
      </w:r>
      <w:r>
        <w:rPr>
          <w:rFonts w:ascii="Arial" w:cs="Arial" w:eastAsia="Arial" w:hAnsi="Arial"/>
          <w:sz w:val="19"/>
          <w:szCs w:val="19"/>
          <w:u w:val="single" w:color="auto"/>
          <w:color w:val="auto"/>
        </w:rPr>
        <w:t>Necessary Findings</w:t>
      </w:r>
      <w:r>
        <w:rPr>
          <w:rFonts w:ascii="Arial" w:cs="Arial" w:eastAsia="Arial" w:hAnsi="Arial"/>
          <w:sz w:val="19"/>
          <w:szCs w:val="19"/>
          <w:color w:val="auto"/>
        </w:rPr>
        <w:t>”). The Executive’s costs of the arbitration shall be advanced by the Company and shall be repaid to the Company if the arbitrator makes the Necessary Findings.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If within sixty (60) days after receipt by the Executive of the resolution referred to in the preceding paragraph, the Executive notifies the Company that a dispute exists concerning the termination, the termination date of the Executive shall be the date as finally determined by mutual written agreement of the parties or by a final and binding arbitration award. During the period until the dispute is finally resolved, the Company will, in accordance with its regular payroll procedures, continue to pay the Executive her full compensation in effect when the notice giving rise to the dispute was given (including, but not limited to, base salary) and continue the Executive as a participant in all compensation, employee benefit, health and welfare and insurance plans, programs, arrangements and perquisites in which the Executive was participating or to which she was entitled when the notice giving rise to the dispute was given, until the dispute is finally resolved. Amounts paid under this Section 2(a) shall be repaid to the Company or be offset against or reduce any other amounts due the Executive under this Agreement, if appropriate, only upon the final resolution of the dispute. Notwithstanding the foregoing, if the Executive is a “specified employee” within the meaning of Section 409A of the Code and the related Treasury Regulations and guidance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on the date of termination of the Executive’s employment with the Company, during the six- (6-) month period following the Executive’s termination of employment with the Company, payments to the Executive under this Section 2(a) (other than reimbursements and in-kind amounts described in Treasury Regulation Section 1.409A-1(b)(9)(v), or any successor provision thereto) that constitute “non-qualified deferred compensation” under Section 409A shall be delayed and paid to the Executive on the first regularly scheduled Company executive pay date that occurs in the seventh (7th) calendar month following the calendar month in which the Executive’s termination of employment occurs; thereafter, any additional payments owed to the Executive under this Section 2(a) shall be paid to the Executive ratably on the following regularly scheduled Company executive pay dates.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(b) “</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any of the following:</w:t>
      </w:r>
    </w:p>
    <w:p>
      <w:pPr>
        <w:sectPr>
          <w:pgSz w:w="11900" w:h="16838" w:orient="portrait"/>
          <w:cols w:equalWidth="0" w:num="1">
            <w:col w:w="11240"/>
          </w:cols>
          <w:pgMar w:left="320" w:top="1414" w:right="339" w:bottom="1440" w:gutter="0" w:footer="0" w:header="0"/>
        </w:sectPr>
      </w:pPr>
    </w:p>
    <w:bookmarkStart w:id="40" w:name="page41"/>
    <w:bookmarkEnd w:id="40"/>
    <w:p>
      <w:pPr>
        <w:ind w:left="1620" w:hanging="262"/>
        <w:spacing w:after="0"/>
        <w:tabs>
          <w:tab w:leader="none" w:pos="16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Approval by the stockholders of Holdings of the dissolution or liquidation of Holdings;</w:t>
      </w:r>
    </w:p>
    <w:p>
      <w:pPr>
        <w:spacing w:after="0" w:line="233" w:lineRule="exact"/>
        <w:rPr>
          <w:rFonts w:ascii="Arial" w:cs="Arial" w:eastAsia="Arial" w:hAnsi="Arial"/>
          <w:sz w:val="22"/>
          <w:szCs w:val="22"/>
          <w:color w:val="auto"/>
        </w:rPr>
      </w:pPr>
    </w:p>
    <w:p>
      <w:pPr>
        <w:jc w:val="both"/>
        <w:ind w:firstLine="1358"/>
        <w:spacing w:after="0" w:line="244" w:lineRule="auto"/>
        <w:tabs>
          <w:tab w:leader="none" w:pos="1668" w:val="left"/>
        </w:tabs>
        <w:numPr>
          <w:ilvl w:val="0"/>
          <w:numId w:val="18"/>
        </w:numPr>
        <w:rPr>
          <w:rFonts w:ascii="Arial" w:cs="Arial" w:eastAsia="Arial" w:hAnsi="Arial"/>
          <w:sz w:val="21"/>
          <w:szCs w:val="21"/>
          <w:color w:val="auto"/>
        </w:rPr>
      </w:pPr>
      <w:r>
        <w:rPr>
          <w:rFonts w:ascii="Arial" w:cs="Arial" w:eastAsia="Arial" w:hAnsi="Arial"/>
          <w:sz w:val="21"/>
          <w:szCs w:val="21"/>
          <w:color w:val="auto"/>
        </w:rPr>
        <w:t>Consummation of a merger or consolidation, or other reorganization, with or into one (1) or more entities that are not Subsidiaries, as a result of which less than 50% of the outstanding voting securities of the surviving or resulting entity immediately after such reorganization are, or shall be, owned, directly or indirectly, by stockholders of Holdings immediately before such reorganization (assuming for purposes of such determination that there is no change in the record ownership of Holdings’ securities from the record date for such approval until such reorganization and that such record owners hold no securities of the other parties to such reorganization, but including in such determination any securities of the other parties to such reorganization held by affiliates of Holdings);</w:t>
      </w:r>
    </w:p>
    <w:p>
      <w:pPr>
        <w:spacing w:after="0" w:line="211" w:lineRule="exact"/>
        <w:rPr>
          <w:rFonts w:ascii="Arial" w:cs="Arial" w:eastAsia="Arial" w:hAnsi="Arial"/>
          <w:sz w:val="21"/>
          <w:szCs w:val="21"/>
          <w:color w:val="auto"/>
        </w:rPr>
      </w:pPr>
    </w:p>
    <w:p>
      <w:pPr>
        <w:ind w:left="1740" w:hanging="382"/>
        <w:spacing w:after="0"/>
        <w:tabs>
          <w:tab w:leader="none" w:pos="17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Consummation of the sale of substantially all of Holdings’ business and/or assets to a person or entity which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not a Subsidiary;</w:t>
      </w:r>
    </w:p>
    <w:p>
      <w:pPr>
        <w:spacing w:after="0" w:line="215" w:lineRule="exact"/>
        <w:rPr>
          <w:rFonts w:ascii="Arial" w:cs="Arial" w:eastAsia="Arial" w:hAnsi="Arial"/>
          <w:sz w:val="19"/>
          <w:szCs w:val="19"/>
          <w:color w:val="auto"/>
        </w:rPr>
      </w:pPr>
    </w:p>
    <w:p>
      <w:pPr>
        <w:jc w:val="both"/>
        <w:ind w:firstLine="1358"/>
        <w:spacing w:after="0" w:line="236" w:lineRule="auto"/>
        <w:tabs>
          <w:tab w:leader="none" w:pos="1729"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Securities Exchange Act of 1934, as amended (the “Exchange Act”), but excluding any person described in and satisfying the conditions of Rule 13d-1(b)(1) thereunder), becomes the beneficial owner (as defined in Rule 13d-3 under the Exchange Act), directly or indirectly, of securities of Holdings representing more than 30% of the combined voting power of Holdings’ then outstanding securities entitled to then vote generally in the election of directors of Holdings; or</w:t>
      </w:r>
    </w:p>
    <w:p>
      <w:pPr>
        <w:spacing w:after="0" w:line="214" w:lineRule="exact"/>
        <w:rPr>
          <w:rFonts w:ascii="Arial" w:cs="Arial" w:eastAsia="Arial" w:hAnsi="Arial"/>
          <w:sz w:val="22"/>
          <w:szCs w:val="22"/>
          <w:color w:val="auto"/>
        </w:rPr>
      </w:pPr>
    </w:p>
    <w:p>
      <w:pPr>
        <w:jc w:val="both"/>
        <w:ind w:firstLine="1358"/>
        <w:spacing w:after="0" w:line="233" w:lineRule="auto"/>
        <w:tabs>
          <w:tab w:leader="none" w:pos="1656" w:val="left"/>
        </w:tabs>
        <w:numPr>
          <w:ilvl w:val="0"/>
          <w:numId w:val="18"/>
        </w:numPr>
        <w:rPr>
          <w:rFonts w:ascii="Arial" w:cs="Arial" w:eastAsia="Arial" w:hAnsi="Arial"/>
          <w:sz w:val="22"/>
          <w:szCs w:val="22"/>
          <w:color w:val="auto"/>
        </w:rPr>
      </w:pPr>
      <w:r>
        <w:rPr>
          <w:rFonts w:ascii="Arial" w:cs="Arial" w:eastAsia="Arial" w:hAnsi="Arial"/>
          <w:sz w:val="22"/>
          <w:szCs w:val="22"/>
          <w:color w:val="auto"/>
        </w:rPr>
        <w:t>During any period not longer than two (2) consecutive years, individuals who at the beginning of such period constituted the Board cease to constitute at least a majority thereof, unless the election, or the nomination for election by Holdings stockholders, of each new Board member was approved by a vote of at least three-fourths (3/4) of the Board members then still in office who were Board members at the beginning of such period (including for these purposes, new members whose election was so approved).</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“Change in Control” under this Agreement shall, in addition to the enumerated events set forth above involving Holdings, the common stock of Holdings, or the board of directors of Holdings, include the events enumerated in items (i) through (iv) above with respect to Southwest.</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foregoing, to the extent required by Section 409A, such Change in Control must be a change in control event under Treasury Regulation Section 1.409A–3(i)(5)(i).</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Pursuant to a Plan of Reorganization entered into on December 28, 2016, by and among Southwest, Holdings, Southwest Gas Utility Group, Inc., a California corporation, and Southwest Reorganization Co., a California corporation, Southwest became a wholly owned subsidiary of Holdings, and the former stockholders of Southwest became the stockholders of Holdings (the closing of the transactions contemplated by the Plan of Reorganization, the “Reorganization”). The parties hereto agree that (i) the Reorganization did not constitute a “Change in Control” under this Agreement or any predecessor agreement with Southwest and (ii) in no event will this Agreement be construed so that the Executive becomes entitled to duplicate severance benefits from Southwest and Holdings.</w:t>
      </w:r>
    </w:p>
    <w:p>
      <w:pPr>
        <w:sectPr>
          <w:pgSz w:w="11900" w:h="16838" w:orient="portrait"/>
          <w:cols w:equalWidth="0" w:num="1">
            <w:col w:w="11240"/>
          </w:cols>
          <w:pgMar w:left="320" w:top="1414" w:right="339" w:bottom="1440" w:gutter="0" w:footer="0" w:header="0"/>
        </w:sectPr>
      </w:pPr>
    </w:p>
    <w:bookmarkStart w:id="41" w:name="page42"/>
    <w:bookmarkEnd w:id="41"/>
    <w:p>
      <w:pPr>
        <w:spacing w:after="0" w:line="218" w:lineRule="exact"/>
        <w:rPr>
          <w:sz w:val="20"/>
          <w:szCs w:val="20"/>
          <w:color w:val="auto"/>
        </w:rPr>
      </w:pPr>
    </w:p>
    <w:p>
      <w:pPr>
        <w:ind w:left="932" w:hanging="284"/>
        <w:spacing w:after="0"/>
        <w:tabs>
          <w:tab w:leader="none" w:pos="932"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the Consolidated Omnibus Budget Reconciliation Act of 1986, as amended.</w:t>
      </w:r>
    </w:p>
    <w:p>
      <w:pPr>
        <w:spacing w:after="0" w:line="233" w:lineRule="exact"/>
        <w:rPr>
          <w:rFonts w:ascii="Arial" w:cs="Arial" w:eastAsia="Arial" w:hAnsi="Arial"/>
          <w:sz w:val="22"/>
          <w:szCs w:val="22"/>
          <w:color w:val="auto"/>
        </w:rPr>
      </w:pPr>
    </w:p>
    <w:p>
      <w:pPr>
        <w:ind w:left="952" w:hanging="304"/>
        <w:spacing w:after="0"/>
        <w:tabs>
          <w:tab w:leader="none" w:pos="952"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jc w:val="both"/>
        <w:ind w:left="-8" w:firstLine="8"/>
        <w:spacing w:after="0"/>
        <w:tabs>
          <w:tab w:leader="none" w:pos="286"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that because of physical or mental illness or disability, the Executive shall have been continuously unable to perform the essential functions of her job with or without reasonable accommodation for a consecutive period of at least six (6) months.</w:t>
      </w:r>
    </w:p>
    <w:p>
      <w:pPr>
        <w:spacing w:after="0" w:line="213" w:lineRule="exact"/>
        <w:rPr>
          <w:rFonts w:ascii="Arial" w:cs="Arial" w:eastAsia="Arial" w:hAnsi="Arial"/>
          <w:sz w:val="22"/>
          <w:szCs w:val="22"/>
          <w:color w:val="auto"/>
        </w:rPr>
      </w:pPr>
    </w:p>
    <w:p>
      <w:pPr>
        <w:ind w:left="272" w:hanging="272"/>
        <w:spacing w:after="0"/>
        <w:tabs>
          <w:tab w:leader="none" w:pos="27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jc w:val="both"/>
        <w:ind w:left="-8" w:firstLine="1304"/>
        <w:spacing w:after="0"/>
        <w:tabs>
          <w:tab w:leader="none" w:pos="1573" w:val="left"/>
        </w:tabs>
        <w:numPr>
          <w:ilvl w:val="2"/>
          <w:numId w:val="20"/>
        </w:numPr>
        <w:rPr>
          <w:rFonts w:ascii="Arial" w:cs="Arial" w:eastAsia="Arial" w:hAnsi="Arial"/>
          <w:sz w:val="22"/>
          <w:szCs w:val="22"/>
          <w:color w:val="auto"/>
        </w:rPr>
      </w:pPr>
      <w:r>
        <w:rPr>
          <w:rFonts w:ascii="Arial" w:cs="Arial" w:eastAsia="Arial" w:hAnsi="Arial"/>
          <w:sz w:val="22"/>
          <w:szCs w:val="22"/>
          <w:color w:val="auto"/>
        </w:rPr>
        <w:t>without the Executive’s express written consent, the assignment to her of any duties materially inconsistent with her positions, duties, authority, responsibilities or status with the Company immediately prior to the later of (i) Executive’s termination date or (ii) a Change in Control;</w:t>
      </w:r>
    </w:p>
    <w:p>
      <w:pPr>
        <w:spacing w:after="0" w:line="213" w:lineRule="exact"/>
        <w:rPr>
          <w:rFonts w:ascii="Arial" w:cs="Arial" w:eastAsia="Arial" w:hAnsi="Arial"/>
          <w:sz w:val="22"/>
          <w:szCs w:val="22"/>
          <w:color w:val="auto"/>
        </w:rPr>
      </w:pPr>
    </w:p>
    <w:p>
      <w:pPr>
        <w:ind w:left="-8" w:firstLine="1304"/>
        <w:spacing w:after="0" w:line="250" w:lineRule="auto"/>
        <w:tabs>
          <w:tab w:leader="none" w:pos="1619" w:val="left"/>
        </w:tabs>
        <w:numPr>
          <w:ilvl w:val="2"/>
          <w:numId w:val="20"/>
        </w:numPr>
        <w:rPr>
          <w:rFonts w:ascii="Arial" w:cs="Arial" w:eastAsia="Arial" w:hAnsi="Arial"/>
          <w:sz w:val="22"/>
          <w:szCs w:val="22"/>
          <w:color w:val="auto"/>
        </w:rPr>
      </w:pPr>
      <w:r>
        <w:rPr>
          <w:rFonts w:ascii="Arial" w:cs="Arial" w:eastAsia="Arial" w:hAnsi="Arial"/>
          <w:sz w:val="22"/>
          <w:szCs w:val="22"/>
          <w:color w:val="auto"/>
        </w:rPr>
        <w:t>a material demotion or a material change in the Executive’s titles or offices as in effect immediately prior to the later of (i) Executive’s termination date or (ii) a Change in Control;</w:t>
      </w:r>
    </w:p>
    <w:p>
      <w:pPr>
        <w:spacing w:after="0" w:line="201" w:lineRule="exact"/>
        <w:rPr>
          <w:rFonts w:ascii="Arial" w:cs="Arial" w:eastAsia="Arial" w:hAnsi="Arial"/>
          <w:sz w:val="22"/>
          <w:szCs w:val="22"/>
          <w:color w:val="auto"/>
        </w:rPr>
      </w:pPr>
    </w:p>
    <w:p>
      <w:pPr>
        <w:jc w:val="both"/>
        <w:ind w:left="-8" w:firstLine="1304"/>
        <w:spacing w:after="0"/>
        <w:tabs>
          <w:tab w:leader="none" w:pos="1666" w:val="left"/>
        </w:tabs>
        <w:numPr>
          <w:ilvl w:val="2"/>
          <w:numId w:val="20"/>
        </w:numPr>
        <w:rPr>
          <w:rFonts w:ascii="Arial" w:cs="Arial" w:eastAsia="Arial" w:hAnsi="Arial"/>
          <w:sz w:val="22"/>
          <w:szCs w:val="22"/>
          <w:color w:val="auto"/>
        </w:rPr>
      </w:pPr>
      <w:r>
        <w:rPr>
          <w:rFonts w:ascii="Arial" w:cs="Arial" w:eastAsia="Arial" w:hAnsi="Arial"/>
          <w:sz w:val="22"/>
          <w:szCs w:val="22"/>
          <w:color w:val="auto"/>
        </w:rPr>
        <w:t>any removal of the Executive from or any failure to re-elect her to any of such positions; except in connection with the termination of the Executive’s employment for Cause, Disability or retirement or as a result of her death or by her other than for Good Reason;</w:t>
      </w:r>
    </w:p>
    <w:p>
      <w:pPr>
        <w:spacing w:after="0" w:line="213" w:lineRule="exact"/>
        <w:rPr>
          <w:rFonts w:ascii="Arial" w:cs="Arial" w:eastAsia="Arial" w:hAnsi="Arial"/>
          <w:sz w:val="22"/>
          <w:szCs w:val="22"/>
          <w:color w:val="auto"/>
        </w:rPr>
      </w:pPr>
    </w:p>
    <w:p>
      <w:pPr>
        <w:jc w:val="both"/>
        <w:ind w:left="-8" w:firstLine="1304"/>
        <w:spacing w:after="0" w:line="278" w:lineRule="auto"/>
        <w:tabs>
          <w:tab w:leader="none" w:pos="1654" w:val="left"/>
        </w:tabs>
        <w:numPr>
          <w:ilvl w:val="2"/>
          <w:numId w:val="20"/>
        </w:numPr>
        <w:rPr>
          <w:rFonts w:ascii="Arial" w:cs="Arial" w:eastAsia="Arial" w:hAnsi="Arial"/>
          <w:sz w:val="19"/>
          <w:szCs w:val="19"/>
          <w:color w:val="auto"/>
        </w:rPr>
      </w:pPr>
      <w:r>
        <w:rPr>
          <w:rFonts w:ascii="Arial" w:cs="Arial" w:eastAsia="Arial" w:hAnsi="Arial"/>
          <w:sz w:val="19"/>
          <w:szCs w:val="19"/>
          <w:color w:val="auto"/>
        </w:rPr>
        <w:t>without the Executive’s express written consent, a material reduction by the Company in the Executive’s base salary as in effect immediately prior to the later of (i) Executive’s termination date or (ii) a Change in Control or, if greater, such greater base salary as may be in effect from time to time subsequent to such Change in Control, provided, in each case, that a reduction by the Company in the Executive’s base salary of ten (10) percent or more shall be sufficient but not necessary to constitute a material reduction by the Company in the Executive’s base salary;</w:t>
      </w:r>
    </w:p>
    <w:p>
      <w:pPr>
        <w:spacing w:after="0" w:line="179" w:lineRule="exact"/>
        <w:rPr>
          <w:rFonts w:ascii="Arial" w:cs="Arial" w:eastAsia="Arial" w:hAnsi="Arial"/>
          <w:sz w:val="19"/>
          <w:szCs w:val="19"/>
          <w:color w:val="auto"/>
        </w:rPr>
      </w:pPr>
    </w:p>
    <w:p>
      <w:pPr>
        <w:jc w:val="both"/>
        <w:ind w:left="-8" w:firstLine="1304"/>
        <w:spacing w:after="0" w:line="249" w:lineRule="auto"/>
        <w:tabs>
          <w:tab w:leader="none" w:pos="1594" w:val="left"/>
        </w:tabs>
        <w:numPr>
          <w:ilvl w:val="2"/>
          <w:numId w:val="20"/>
        </w:numPr>
        <w:rPr>
          <w:rFonts w:ascii="Arial" w:cs="Arial" w:eastAsia="Arial" w:hAnsi="Arial"/>
          <w:sz w:val="21"/>
          <w:szCs w:val="21"/>
          <w:color w:val="auto"/>
        </w:rPr>
      </w:pPr>
      <w:r>
        <w:rPr>
          <w:rFonts w:ascii="Arial" w:cs="Arial" w:eastAsia="Arial" w:hAnsi="Arial"/>
          <w:sz w:val="21"/>
          <w:szCs w:val="21"/>
          <w:color w:val="auto"/>
        </w:rPr>
        <w:t>the failure by the Company to continue at levels materially not less than those in existence immediately prior to such Change in Control the Executive’s participation in any thrift, incentive or compensation plan, or any pension plan, in which the Executive participated immediately prior to such Change in Control, provided that the Company may provide for participation in substantially similar plans that provide benefits at levels materially not less than those in existence immediately prior to the later of (i) Executive’s termination date or (ii) a Change in Control;</w:t>
      </w:r>
    </w:p>
    <w:p>
      <w:pPr>
        <w:spacing w:after="0" w:line="205" w:lineRule="exact"/>
        <w:rPr>
          <w:rFonts w:ascii="Arial" w:cs="Arial" w:eastAsia="Arial" w:hAnsi="Arial"/>
          <w:sz w:val="21"/>
          <w:szCs w:val="21"/>
          <w:color w:val="auto"/>
        </w:rPr>
      </w:pPr>
    </w:p>
    <w:p>
      <w:pPr>
        <w:jc w:val="both"/>
        <w:ind w:left="-8" w:firstLine="1304"/>
        <w:spacing w:after="0"/>
        <w:tabs>
          <w:tab w:leader="none" w:pos="1654"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failure by the Company to provide for the Executive’s participation in any welfare, life insurance, health, and accident or disability plan on the same basis as those provided to executives of the Company who are similarly situated to the Executive;</w:t>
      </w:r>
    </w:p>
    <w:p>
      <w:pPr>
        <w:spacing w:after="0" w:line="199" w:lineRule="exact"/>
        <w:rPr>
          <w:rFonts w:ascii="Arial" w:cs="Arial" w:eastAsia="Arial" w:hAnsi="Arial"/>
          <w:sz w:val="22"/>
          <w:szCs w:val="22"/>
          <w:color w:val="auto"/>
        </w:rPr>
      </w:pPr>
    </w:p>
    <w:p>
      <w:pPr>
        <w:jc w:val="both"/>
        <w:ind w:left="-8" w:firstLine="1304"/>
        <w:spacing w:after="0"/>
        <w:tabs>
          <w:tab w:leader="none" w:pos="1781"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taking of any action by the Company which would materially adversely affect the Executive’s participation in or materially reduce her benefits under any single such plan or all such plans, when taken together, or deprive her of any material fringe</w:t>
      </w:r>
    </w:p>
    <w:p>
      <w:pPr>
        <w:sectPr>
          <w:pgSz w:w="11900" w:h="16838" w:orient="portrait"/>
          <w:cols w:equalWidth="0" w:num="1">
            <w:col w:w="11232"/>
          </w:cols>
          <w:pgMar w:left="328" w:top="1440" w:right="3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9"/>
          <w:szCs w:val="19"/>
          <w:color w:val="auto"/>
        </w:rPr>
        <w:t>benefit enjoyed by her immediately prior to the later of (i) Executive’s termination date or (ii) a Change in Control (except for the acceleration of the termination dates of stock options, restricted stock units, performance shares and other awards and rights, if applicable, as contemplated by this Agreement), provided that the taking of any action by the Company that reduces the economic value attributable to such participation, benefits or fringe benefit by ten (10) percent or more shall be sufficient but not necessary to constitute a materially adverse effect, material reduction or deprivation, as applicable;</w:t>
      </w:r>
    </w:p>
    <w:p>
      <w:pPr>
        <w:spacing w:after="0" w:line="174" w:lineRule="exact"/>
        <w:rPr>
          <w:sz w:val="20"/>
          <w:szCs w:val="20"/>
          <w:color w:val="auto"/>
        </w:rPr>
      </w:pPr>
    </w:p>
    <w:p>
      <w:pPr>
        <w:jc w:val="both"/>
        <w:ind w:firstLine="1304"/>
        <w:spacing w:after="0" w:line="236" w:lineRule="auto"/>
        <w:tabs>
          <w:tab w:leader="none" w:pos="1782"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assignment to the Executive without her consent to a new work location which would require an increase in the round-trip commute to work from the Executive’s residence immediately prior to the later of (i) Executive’s termination date or (ii) a Change in Control of more than 40 miles per day; or</w:t>
      </w:r>
    </w:p>
    <w:p>
      <w:pPr>
        <w:spacing w:after="0" w:line="212" w:lineRule="exact"/>
        <w:rPr>
          <w:rFonts w:ascii="Arial" w:cs="Arial" w:eastAsia="Arial" w:hAnsi="Arial"/>
          <w:sz w:val="22"/>
          <w:szCs w:val="22"/>
          <w:color w:val="auto"/>
        </w:rPr>
      </w:pPr>
    </w:p>
    <w:p>
      <w:pPr>
        <w:ind w:left="1660" w:hanging="356"/>
        <w:spacing w:after="0"/>
        <w:tabs>
          <w:tab w:leader="none" w:pos="1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material breach of any material provision of this Agreement.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Notwithstanding the foregoing, the Executive shall not be entitled to terminate her employment with the Company for Good Reason unless the following process is followed with respect to such termination. Within ninety (90) days following the initial occurrence of an event that purportedly constitutes Good Reason, the Executive shall give the Company written notice of the occurrence of such event, setting forth the exact nature of such event and the conduct required to cure such event. The Company shall have thirty (30) days from the receipt of such notice within which to cure such event (such period, the “</w:t>
      </w:r>
      <w:r>
        <w:rPr>
          <w:rFonts w:ascii="Arial" w:cs="Arial" w:eastAsia="Arial" w:hAnsi="Arial"/>
          <w:sz w:val="19"/>
          <w:szCs w:val="19"/>
          <w:u w:val="single" w:color="auto"/>
          <w:color w:val="auto"/>
        </w:rPr>
        <w:t>Cure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If, during the Cure Period, such event is cured, then the Executive shall not be permitted to terminate her employment with the Company for Good Reason as a result of such event. If, at the end of the Cure Period, such event is not cured, the Executive shall be entitled to terminate her employment with the Company for Good Reason as a result of such event during the sixty (60) day period following the end of the Cure Period. If the Executive does not terminate her employment with the Company for Good Reason during such sixty (60) day period, the Executive shall not be permitted to terminate her employment with the Company for Good Reason as a result of such event.</w:t>
      </w:r>
    </w:p>
    <w:p>
      <w:pPr>
        <w:spacing w:after="0" w:line="189" w:lineRule="exact"/>
        <w:rPr>
          <w:sz w:val="20"/>
          <w:szCs w:val="20"/>
          <w:color w:val="auto"/>
        </w:rPr>
      </w:pPr>
    </w:p>
    <w:p>
      <w:pPr>
        <w:ind w:firstLine="8"/>
        <w:spacing w:after="0" w:line="250" w:lineRule="auto"/>
        <w:tabs>
          <w:tab w:leader="none" w:pos="319"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corporation, partnership, joint venture or other entity in which the Company has a 50% or greater equity interest.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3. LIMITED RIGHT TO A SEVERANCE BENEFIT</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Executive shall be entitled to the severance benefits provided in this Section 3 if, within 24 months prior to a Change in Control (the “</w:t>
      </w:r>
      <w:r>
        <w:rPr>
          <w:rFonts w:ascii="Arial" w:cs="Arial" w:eastAsia="Arial" w:hAnsi="Arial"/>
          <w:sz w:val="19"/>
          <w:szCs w:val="19"/>
          <w:u w:val="single" w:color="auto"/>
          <w:color w:val="auto"/>
        </w:rPr>
        <w:t>Pre-CIC Protection Period</w:t>
      </w:r>
      <w:r>
        <w:rPr>
          <w:rFonts w:ascii="Arial" w:cs="Arial" w:eastAsia="Arial" w:hAnsi="Arial"/>
          <w:sz w:val="19"/>
          <w:szCs w:val="19"/>
          <w:color w:val="auto"/>
        </w:rPr>
        <w:t>”) and twenty-four (24) months after a Change in Control (together with the Pre-CIC Protection Period, the “</w:t>
      </w:r>
      <w:r>
        <w:rPr>
          <w:rFonts w:ascii="Arial" w:cs="Arial" w:eastAsia="Arial" w:hAnsi="Arial"/>
          <w:sz w:val="19"/>
          <w:szCs w:val="19"/>
          <w:u w:val="single" w:color="auto"/>
          <w:color w:val="auto"/>
        </w:rPr>
        <w:t>Protection Period</w:t>
      </w:r>
      <w:r>
        <w:rPr>
          <w:rFonts w:ascii="Arial" w:cs="Arial" w:eastAsia="Arial" w:hAnsi="Arial"/>
          <w:sz w:val="19"/>
          <w:szCs w:val="19"/>
          <w:color w:val="auto"/>
        </w:rPr>
        <w:t>”): (i) the Executive terminates her employment with the Company for Good Reason or</w:t>
      </w:r>
    </w:p>
    <w:p>
      <w:pPr>
        <w:spacing w:after="0" w:line="1" w:lineRule="exact"/>
        <w:rPr>
          <w:sz w:val="20"/>
          <w:szCs w:val="20"/>
          <w:color w:val="auto"/>
        </w:rPr>
      </w:pPr>
    </w:p>
    <w:p>
      <w:pPr>
        <w:jc w:val="both"/>
        <w:ind w:firstLine="8"/>
        <w:spacing w:after="0" w:line="230" w:lineRule="auto"/>
        <w:tabs>
          <w:tab w:leader="none" w:pos="35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Executive’s employment is terminated by the Company for any reason other than (x) the Executive’s death, (y) the Executive’s Disability or (z) Cause; provided that in each case, for the immediately preceding clauses (i) and (ii), the Executive executes and delivers to the Company within forty-five (45) days of the date of such termination, and lets become effective and irrevocable, a Release in the form attached hereto as Attachment A (“</w:t>
      </w: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14" w:lineRule="exact"/>
        <w:rPr>
          <w:sz w:val="20"/>
          <w:szCs w:val="20"/>
          <w:color w:val="auto"/>
        </w:rPr>
      </w:pPr>
    </w:p>
    <w:p>
      <w:pPr>
        <w:ind w:firstLine="8"/>
        <w:spacing w:after="0" w:line="250" w:lineRule="auto"/>
        <w:tabs>
          <w:tab w:leader="none" w:pos="307"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restricted stock awards, restricted stock units, stock options, stock appreciation rights or performance shares relating to the common stock of Holdings granted to</w:t>
      </w:r>
    </w:p>
    <w:p>
      <w:pPr>
        <w:sectPr>
          <w:pgSz w:w="11900" w:h="16838" w:orient="portrait"/>
          <w:cols w:equalWidth="0" w:num="1">
            <w:col w:w="11240"/>
          </w:cols>
          <w:pgMar w:left="320" w:top="1414" w:right="3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the Executive and held by the Executive on the date of such termination, which are not then currently vested or exercisable shall:</w:t>
      </w:r>
    </w:p>
    <w:p>
      <w:pPr>
        <w:spacing w:after="0" w:line="43" w:lineRule="exact"/>
        <w:rPr>
          <w:sz w:val="20"/>
          <w:szCs w:val="20"/>
          <w:color w:val="auto"/>
        </w:rPr>
      </w:pPr>
    </w:p>
    <w:p>
      <w:pPr>
        <w:jc w:val="both"/>
        <w:ind w:firstLine="8"/>
        <w:spacing w:after="0" w:line="233" w:lineRule="auto"/>
        <w:tabs>
          <w:tab w:leader="none" w:pos="2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such termination occurs following a Change in Control, become vested on the date of such termination, at the greater of target or actual performance in the case of any performance awards or (ii) if such termination occurs during the Pre-CIC Protection Period, remain outstanding subject to their original terms and become vested immediately prior to such Change in Control, at the greater of target or actual performance in the case of any performance awards, in each case subject to Section 409A.</w:t>
      </w:r>
    </w:p>
    <w:p>
      <w:pPr>
        <w:spacing w:after="0" w:line="198" w:lineRule="exact"/>
        <w:rPr>
          <w:rFonts w:ascii="Arial" w:cs="Arial" w:eastAsia="Arial" w:hAnsi="Arial"/>
          <w:sz w:val="22"/>
          <w:szCs w:val="22"/>
          <w:color w:val="auto"/>
        </w:rPr>
      </w:pPr>
    </w:p>
    <w:p>
      <w:pPr>
        <w:ind w:left="960" w:hanging="304"/>
        <w:spacing w:after="0"/>
        <w:tabs>
          <w:tab w:leader="none" w:pos="9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lump-sum severance payment equal to the sum of:</w:t>
      </w:r>
    </w:p>
    <w:p>
      <w:pPr>
        <w:spacing w:after="0" w:line="233" w:lineRule="exact"/>
        <w:rPr>
          <w:rFonts w:ascii="Arial" w:cs="Arial" w:eastAsia="Arial" w:hAnsi="Arial"/>
          <w:sz w:val="22"/>
          <w:szCs w:val="22"/>
          <w:color w:val="auto"/>
        </w:rPr>
      </w:pPr>
    </w:p>
    <w:p>
      <w:pPr>
        <w:ind w:firstLine="1304"/>
        <w:spacing w:after="0" w:line="250" w:lineRule="auto"/>
        <w:tabs>
          <w:tab w:leader="none" w:pos="1567" w:val="left"/>
        </w:tabs>
        <w:numPr>
          <w:ilvl w:val="2"/>
          <w:numId w:val="25"/>
        </w:numPr>
        <w:rPr>
          <w:rFonts w:ascii="Arial" w:cs="Arial" w:eastAsia="Arial" w:hAnsi="Arial"/>
          <w:sz w:val="22"/>
          <w:szCs w:val="22"/>
          <w:color w:val="auto"/>
        </w:rPr>
      </w:pPr>
      <w:r>
        <w:rPr>
          <w:rFonts w:ascii="Arial" w:cs="Arial" w:eastAsia="Arial" w:hAnsi="Arial"/>
          <w:sz w:val="22"/>
          <w:szCs w:val="22"/>
          <w:color w:val="auto"/>
        </w:rPr>
        <w:t>Thirty-six (36) months of the Executive’s yearly base salary in effect as of the date of such termination or, if greater, as of the date of a Change in Control, and</w:t>
      </w:r>
    </w:p>
    <w:p>
      <w:pPr>
        <w:spacing w:after="0" w:line="201" w:lineRule="exact"/>
        <w:rPr>
          <w:rFonts w:ascii="Arial" w:cs="Arial" w:eastAsia="Arial" w:hAnsi="Arial"/>
          <w:sz w:val="22"/>
          <w:szCs w:val="22"/>
          <w:color w:val="auto"/>
        </w:rPr>
      </w:pPr>
    </w:p>
    <w:p>
      <w:pPr>
        <w:jc w:val="both"/>
        <w:ind w:firstLine="1304"/>
        <w:spacing w:after="0" w:line="248" w:lineRule="auto"/>
        <w:tabs>
          <w:tab w:leader="none" w:pos="1614" w:val="left"/>
        </w:tabs>
        <w:numPr>
          <w:ilvl w:val="2"/>
          <w:numId w:val="25"/>
        </w:numPr>
        <w:rPr>
          <w:rFonts w:ascii="Arial" w:cs="Arial" w:eastAsia="Arial" w:hAnsi="Arial"/>
          <w:sz w:val="21"/>
          <w:szCs w:val="21"/>
          <w:color w:val="auto"/>
        </w:rPr>
      </w:pPr>
      <w:r>
        <w:rPr>
          <w:rFonts w:ascii="Arial" w:cs="Arial" w:eastAsia="Arial" w:hAnsi="Arial"/>
          <w:sz w:val="21"/>
          <w:szCs w:val="21"/>
          <w:color w:val="auto"/>
        </w:rPr>
        <w:t>an amount equal to any incentive compensation that would be payable to the Executive under any short-term incentive compensation plan of the Company (including the Company’s Management Incentive Plan or any successor plan thereto), calculated at the designated award opportunity for the Executive at the date of termination or, if greater, as of the date of a Change in Control, and at 100% of the target performance measures, for the period during the applicable plan year preceding the date of such termination and for the severance period of thirty-six (36) months following the date of such termination (such post-termination period, the “</w:t>
      </w:r>
      <w:r>
        <w:rPr>
          <w:rFonts w:ascii="Arial" w:cs="Arial" w:eastAsia="Arial" w:hAnsi="Arial"/>
          <w:sz w:val="21"/>
          <w:szCs w:val="21"/>
          <w:u w:val="single" w:color="auto"/>
          <w:color w:val="auto"/>
        </w:rPr>
        <w:t>Severance Period</w:t>
      </w:r>
      <w:r>
        <w:rPr>
          <w:rFonts w:ascii="Arial" w:cs="Arial" w:eastAsia="Arial" w:hAnsi="Arial"/>
          <w:sz w:val="21"/>
          <w:szCs w:val="21"/>
          <w:color w:val="auto"/>
        </w:rPr>
        <w:t>”), and</w:t>
      </w:r>
    </w:p>
    <w:p>
      <w:pPr>
        <w:spacing w:after="0" w:line="203" w:lineRule="exact"/>
        <w:rPr>
          <w:rFonts w:ascii="Arial" w:cs="Arial" w:eastAsia="Arial" w:hAnsi="Arial"/>
          <w:sz w:val="21"/>
          <w:szCs w:val="21"/>
          <w:color w:val="auto"/>
        </w:rPr>
      </w:pPr>
    </w:p>
    <w:p>
      <w:pPr>
        <w:jc w:val="both"/>
        <w:ind w:firstLine="1304"/>
        <w:spacing w:after="0" w:line="234" w:lineRule="auto"/>
        <w:tabs>
          <w:tab w:leader="none" w:pos="1674" w:val="left"/>
        </w:tabs>
        <w:numPr>
          <w:ilvl w:val="2"/>
          <w:numId w:val="25"/>
        </w:numPr>
        <w:rPr>
          <w:rFonts w:ascii="Arial" w:cs="Arial" w:eastAsia="Arial" w:hAnsi="Arial"/>
          <w:sz w:val="22"/>
          <w:szCs w:val="22"/>
          <w:color w:val="auto"/>
        </w:rPr>
      </w:pPr>
      <w:r>
        <w:rPr>
          <w:rFonts w:ascii="Arial" w:cs="Arial" w:eastAsia="Arial" w:hAnsi="Arial"/>
          <w:sz w:val="22"/>
          <w:szCs w:val="22"/>
          <w:color w:val="auto"/>
        </w:rPr>
        <w:t>an amount equal to the full cost of health and dental coverage for the Executive (and her eligible dependents) for the Severance Period, which amount shall be calculated based on the full cost of continued health and dental coverage for the Executive (and her eligible dependents) under COBRA as of the date of termination or, if greater, as of the date of such Change in Control, and</w:t>
      </w:r>
    </w:p>
    <w:p>
      <w:pPr>
        <w:spacing w:after="0" w:line="214" w:lineRule="exact"/>
        <w:rPr>
          <w:rFonts w:ascii="Arial" w:cs="Arial" w:eastAsia="Arial" w:hAnsi="Arial"/>
          <w:sz w:val="22"/>
          <w:szCs w:val="22"/>
          <w:color w:val="auto"/>
        </w:rPr>
      </w:pPr>
    </w:p>
    <w:p>
      <w:pPr>
        <w:jc w:val="both"/>
        <w:ind w:firstLine="1304"/>
        <w:spacing w:after="0"/>
        <w:tabs>
          <w:tab w:leader="none" w:pos="1662" w:val="left"/>
        </w:tabs>
        <w:numPr>
          <w:ilvl w:val="2"/>
          <w:numId w:val="25"/>
        </w:numPr>
        <w:rPr>
          <w:rFonts w:ascii="Arial" w:cs="Arial" w:eastAsia="Arial" w:hAnsi="Arial"/>
          <w:sz w:val="22"/>
          <w:szCs w:val="22"/>
          <w:color w:val="auto"/>
        </w:rPr>
      </w:pPr>
      <w:r>
        <w:rPr>
          <w:rFonts w:ascii="Arial" w:cs="Arial" w:eastAsia="Arial" w:hAnsi="Arial"/>
          <w:sz w:val="22"/>
          <w:szCs w:val="22"/>
          <w:color w:val="auto"/>
        </w:rPr>
        <w:t>an amount equal to the full cost of replacement disability and life insurance coverage for the Executive (other than travel/accident) for the Severance Period, which cost shall be calculated as of the date of termination or, if greater, as of the date of such Change in Control.</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Subject to the limits in Section 3(e) below, payment of the foregoing lump-sum severance payment shall be made in accordance with the Company’s regular payroll procedures and be made to the Executive on the first regularly scheduled Company executive pay date that occurs on the later of (i) sixty (60) days after the termination of the Executive’s employment or (ii) a Change in Control, provided that the Release has become effective and irrevocable.</w:t>
      </w:r>
    </w:p>
    <w:p>
      <w:pPr>
        <w:spacing w:after="0" w:line="201" w:lineRule="exact"/>
        <w:rPr>
          <w:sz w:val="20"/>
          <w:szCs w:val="20"/>
          <w:color w:val="auto"/>
        </w:rPr>
      </w:pPr>
    </w:p>
    <w:p>
      <w:pPr>
        <w:jc w:val="both"/>
        <w:ind w:firstLine="8"/>
        <w:spacing w:after="0" w:line="276" w:lineRule="auto"/>
        <w:tabs>
          <w:tab w:leader="none" w:pos="3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shall pay the Executive any benefits under the Company’s benefit plans, including Southwest’s Executive Deferred Compensation Plan and Southwest’s Supplemental Executive Retirement Plan (the “</w:t>
      </w:r>
      <w:r>
        <w:rPr>
          <w:rFonts w:ascii="Arial" w:cs="Arial" w:eastAsia="Arial" w:hAnsi="Arial"/>
          <w:sz w:val="19"/>
          <w:szCs w:val="19"/>
          <w:u w:val="single" w:color="auto"/>
          <w:color w:val="auto"/>
        </w:rPr>
        <w:t>SERP</w:t>
      </w:r>
      <w:r>
        <w:rPr>
          <w:rFonts w:ascii="Arial" w:cs="Arial" w:eastAsia="Arial" w:hAnsi="Arial"/>
          <w:sz w:val="19"/>
          <w:szCs w:val="19"/>
          <w:color w:val="auto"/>
        </w:rPr>
        <w:t>”), which are fully vested on the date of such termination, in accordance with their terms, including with respect to applicable payment schedules and any applicable elections; provided, however, that, if the Executive shall have reached the age of fifty (50) by the date of such termination, the Executive shall receive additional benefits under the SERP such that the Executive shall be permitted to add to the formula for purposes of eligibility for benefits, vesting and calculation of benefits, six (6) points</w:t>
      </w:r>
    </w:p>
    <w:p>
      <w:pPr>
        <w:sectPr>
          <w:pgSz w:w="11900" w:h="16838" w:orient="portrait"/>
          <w:cols w:equalWidth="0" w:num="1">
            <w:col w:w="11240"/>
          </w:cols>
          <w:pgMar w:left="320" w:top="1414" w:right="339" w:bottom="1440" w:gutter="0" w:footer="0" w:header="0"/>
        </w:sectPr>
      </w:pPr>
    </w:p>
    <w:bookmarkStart w:id="44" w:name="page45"/>
    <w:bookmarkEnd w:id="44"/>
    <w:p>
      <w:pPr>
        <w:spacing w:after="0" w:line="250" w:lineRule="auto"/>
        <w:rPr>
          <w:sz w:val="20"/>
          <w:szCs w:val="20"/>
          <w:color w:val="auto"/>
        </w:rPr>
      </w:pPr>
      <w:r>
        <w:rPr>
          <w:rFonts w:ascii="Arial" w:cs="Arial" w:eastAsia="Arial" w:hAnsi="Arial"/>
          <w:sz w:val="22"/>
          <w:szCs w:val="22"/>
          <w:color w:val="auto"/>
        </w:rPr>
        <w:t>which, at the election of the Executive, may be applied either to an age assumption or continuous length of service assumption or a combination thereof.</w:t>
      </w:r>
    </w:p>
    <w:p>
      <w:pPr>
        <w:spacing w:after="0" w:line="202" w:lineRule="exact"/>
        <w:rPr>
          <w:sz w:val="20"/>
          <w:szCs w:val="20"/>
          <w:color w:val="auto"/>
        </w:rPr>
      </w:pPr>
    </w:p>
    <w:p>
      <w:pPr>
        <w:jc w:val="both"/>
        <w:ind w:firstLine="8"/>
        <w:spacing w:after="0" w:line="273" w:lineRule="auto"/>
        <w:tabs>
          <w:tab w:leader="none" w:pos="306"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Executive shall be entitled to reimbursement of reasonable expenses actually incurred by the Executive directly related to outplacement services, which reimbursement shall not exceed Thirty Thousand Dollars ($30,000). Such reimbursement shall only be made for outplacement services directly related to such termination. Such expenses must be incurred not later than the end of the second calendar year following the calendar year of such termination. Such expense must be submitted by the Executive to the Company as promptly as practicable, and in no event later than required by the Company in order for the Company to make such reimbursement no later the last day of the third calendar year following the calendar year in which such termination occurs. In no event shall the Company make any such reimbursement later than the last day of the third calendar year following the calendar year in which such termination occurs.</w:t>
      </w:r>
    </w:p>
    <w:p>
      <w:pPr>
        <w:spacing w:after="0" w:line="185" w:lineRule="exact"/>
        <w:rPr>
          <w:rFonts w:ascii="Arial" w:cs="Arial" w:eastAsia="Arial" w:hAnsi="Arial"/>
          <w:sz w:val="19"/>
          <w:szCs w:val="19"/>
          <w:color w:val="auto"/>
        </w:rPr>
      </w:pPr>
    </w:p>
    <w:p>
      <w:pPr>
        <w:jc w:val="both"/>
        <w:ind w:firstLine="656"/>
        <w:spacing w:after="0" w:line="243" w:lineRule="auto"/>
        <w:tabs>
          <w:tab w:leader="none" w:pos="969" w:val="left"/>
        </w:tabs>
        <w:numPr>
          <w:ilvl w:val="1"/>
          <w:numId w:val="27"/>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Section 3, if the Executive is a “specified employee” within the meaning of Section 409A, during the six- (6-) month period following the Executive’s termination of employment with the Company, payments to the Executive under this Section 3 (other than reimbursements and in-kind amounts described in Treasury Regulation Section 1.409A-1(b)(9)(v) or any successor provision thereto) that constitute “non-qualified deferred compensation” under Section 409A shall be delayed and paid to the Executive on the first regularly scheduled Company executive pay date that occurs in the seventh (7th) calendar month following the calendar month in which the Executive’s termination of employment occurs; thereafter, any additional payments owed to the Executive under this Section 3 shall be paid to the Executive in the manner otherwise specified in this Section 3. With respect to any payment delayed pursuant to this Section 3(e), the Company shall pay the Executive, on the day on which such delayed payment is made to the Executive, interest on such delayed payment for the period of such delay at </w:t>
      </w:r>
      <w:r>
        <w:rPr>
          <w:rFonts w:ascii="Arial" w:cs="Arial" w:eastAsia="Arial" w:hAnsi="Arial"/>
          <w:sz w:val="19"/>
          <w:szCs w:val="19"/>
          <w:color w:val="auto"/>
        </w:rPr>
        <w:t>the applicable federal rate provided for in Section</w:t>
      </w:r>
      <w:r>
        <w:rPr>
          <w:rFonts w:ascii="Arial" w:cs="Arial" w:eastAsia="Arial" w:hAnsi="Arial"/>
          <w:sz w:val="21"/>
          <w:szCs w:val="21"/>
          <w:color w:val="auto"/>
        </w:rPr>
        <w:t xml:space="preserve"> 1274(d) of the Code for the month in which such delayed payment otherwise would have been made.</w:t>
      </w:r>
    </w:p>
    <w:p>
      <w:pPr>
        <w:spacing w:after="0" w:line="213" w:lineRule="exact"/>
        <w:rPr>
          <w:rFonts w:ascii="Arial" w:cs="Arial" w:eastAsia="Arial" w:hAnsi="Arial"/>
          <w:sz w:val="21"/>
          <w:szCs w:val="21"/>
          <w:color w:val="auto"/>
        </w:rPr>
      </w:pPr>
    </w:p>
    <w:p>
      <w:pPr>
        <w:jc w:val="both"/>
        <w:ind w:firstLine="656"/>
        <w:spacing w:after="0" w:line="270" w:lineRule="auto"/>
        <w:tabs>
          <w:tab w:leader="none" w:pos="918" w:val="left"/>
        </w:tabs>
        <w:numPr>
          <w:ilvl w:val="1"/>
          <w:numId w:val="27"/>
        </w:numPr>
        <w:rPr>
          <w:rFonts w:ascii="Arial" w:cs="Arial" w:eastAsia="Arial" w:hAnsi="Arial"/>
          <w:sz w:val="19"/>
          <w:szCs w:val="19"/>
          <w:color w:val="auto"/>
        </w:rPr>
      </w:pPr>
      <w:r>
        <w:rPr>
          <w:rFonts w:ascii="Arial" w:cs="Arial" w:eastAsia="Arial" w:hAnsi="Arial"/>
          <w:sz w:val="19"/>
          <w:szCs w:val="19"/>
          <w:color w:val="auto"/>
        </w:rPr>
        <w:t>For purposes of this Agreement, the Executive will be deemed to not have terminated employment with the Company unless the Executive has incurred a Separation from Service.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the termination of the Executive’s employment by the Company if the Executive dies, retires or otherwise has a termination of employment with the Company; provided that the Executive’s employment relationship is treated as continuing intact while on military leave, sick leave or other bona fide leave of absence if the period of such leave does not exceed six (6) months or longer, if the Executive’s right to reemployment is provided either by statute or by contract. A leave of absence constitutes a bona fide leave of absence only if there is a reasonable expectation that the Executive will return to perform services for the Company. If the period of leave exceeds six (6) months and the Executive does not retain a right to reemployment under an applicable statute or by contract, the employment relationship is deemed to terminate on the first date immediately following such six- (6-) month period. Notwithstanding the foregoing, where a leave of absence is due to any medically determinable physical or mental impairment that can be expected to result in death or can be expected to last for a continuous period of not less than six (6) months, where such impairment causes the Executive to be unable to perform the duties of her position of employment, or any substantially similar position of employment, a twenty-nine (29-) month period of absence may be substituted</w:t>
      </w:r>
    </w:p>
    <w:p>
      <w:pPr>
        <w:sectPr>
          <w:pgSz w:w="11900" w:h="16838" w:orient="portrait"/>
          <w:cols w:equalWidth="0" w:num="1">
            <w:col w:w="11240"/>
          </w:cols>
          <w:pgMar w:left="320" w:top="1414" w:right="339" w:bottom="1440" w:gutter="0" w:footer="0" w:header="0"/>
        </w:sectPr>
      </w:pPr>
    </w:p>
    <w:bookmarkStart w:id="45" w:name="page46"/>
    <w:bookmarkEnd w:id="45"/>
    <w:p>
      <w:pPr>
        <w:jc w:val="both"/>
        <w:spacing w:after="0" w:line="235" w:lineRule="auto"/>
        <w:rPr>
          <w:sz w:val="20"/>
          <w:szCs w:val="20"/>
          <w:color w:val="auto"/>
        </w:rPr>
      </w:pPr>
      <w:r>
        <w:rPr>
          <w:rFonts w:ascii="Arial" w:cs="Arial" w:eastAsia="Arial" w:hAnsi="Arial"/>
          <w:sz w:val="22"/>
          <w:szCs w:val="22"/>
          <w:color w:val="auto"/>
        </w:rPr>
        <w:t>for such six- (6-) month period. For purposes of this paragraph, the term “</w:t>
      </w:r>
      <w:r>
        <w:rPr>
          <w:rFonts w:ascii="Arial" w:cs="Arial" w:eastAsia="Arial" w:hAnsi="Arial"/>
          <w:sz w:val="22"/>
          <w:szCs w:val="22"/>
          <w:u w:val="single" w:color="auto"/>
          <w:color w:val="auto"/>
        </w:rPr>
        <w:t>Company</w:t>
      </w:r>
      <w:r>
        <w:rPr>
          <w:rFonts w:ascii="Arial" w:cs="Arial" w:eastAsia="Arial" w:hAnsi="Arial"/>
          <w:sz w:val="22"/>
          <w:szCs w:val="22"/>
          <w:color w:val="auto"/>
        </w:rPr>
        <w:t>” includes all other organizations that together with the Company are part of a control group of organizations under Section 414(b) and Section 414(c) of the Code. Whether an Executive has incurred a Separation from Service shall be determined based in accordance with Section 409A. Additionally, if the Executive ceases to work as an employee, but is retained to provide services as an independent contractor of the Company, the determination of whether the Executive has incurred a Separation from Service shall be determined based in accordance with Section 409A.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4. CERTAIN REDUCTION OF PAYMENTS BY THE COMPANY</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In the event that it is determined that any payment or distribution by the Company to the Executive or for the Executive’s benefit, whether paid or payable or distributed or distributable pursuant to the terms of this Agreement or pursuant to or by reason of any other agreement, policy, plan, program or arrangement, including without limitation any stock option or restricted stock or similar right, or the lapse or termination of any restriction on or the vesting or exercisability of any of the foregoing (a “Payment”), would be subject to the excise tax imposed by Section 4999 of the Code (or any successor provision thereto), by reason of being considered “contingent on a change in the ownership or effective control” of the Company, within the meaning of Section 280G of the Code (or any successor provision thereto) or to any similar tax imposed by state or local law, or any interest or penalties with respect to such tax (such tax or taxes, together with any such interest and penalties, being hereafter collectively referred to as the “Excise Tax”), then the Payment shall be reduced by the Company in a manner determined by the Company to be $1.00 less than three (3) times the Executive’s base amount (as defined in Section 280G of the Code) so that no portion of the Payment shall be subject to the Excise Tax, provided that the Company shall make such reduction only if such reduction would effect, on an after-tax basis, a Payment that is greater than the Payment that would be made if no such reduction were effected. The Executive shall be permitted to provide the Company with written notice specifying which of the Payments will be subject to reduction or elimination; provided, however, that to the extent that the Executive’s ability to exercise such authority would cause any Payment to become subject to any taxes or penalties pursuant to Section 409A, or if the Executive does not provide the Company with any such written notice, the Company shall reduce or eliminate the Payments by first reducing or eliminating the portion of the Payments that are payable in cash and then by reducing or eliminating the non-cash portion of the Payments, in each case in reverse order beginning with payments or benefits which are to be paid the farthest in time. Except as set forth in the preceding sentence, any notice given by the Executive pursuant to the preceding sentence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may withhold from any amounts payable under this Agreement all federal, state, local and foreign taxes as may be required to be withheld pursuant to any applicable law or regulation.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 ARBITRATION AND LITIGATION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dispute, controversy or claim arising out of or in respect to this Agreement (or its validity, interpretation or enforcement) or the subject matter hereof must be submitted to and settled by arbitration conducted before a single arbitrator or, at the election of the Company or</w:t>
      </w:r>
    </w:p>
    <w:p>
      <w:pPr>
        <w:sectPr>
          <w:pgSz w:w="11900" w:h="16838" w:orient="portrait"/>
          <w:cols w:equalWidth="0" w:num="1">
            <w:col w:w="11240"/>
          </w:cols>
          <w:pgMar w:left="320" w:top="1414" w:right="339" w:bottom="1440" w:gutter="0" w:footer="0" w:header="0"/>
        </w:sectPr>
      </w:pPr>
    </w:p>
    <w:bookmarkStart w:id="46" w:name="page47"/>
    <w:bookmarkEnd w:id="46"/>
    <w:p>
      <w:pPr>
        <w:jc w:val="both"/>
        <w:spacing w:after="0" w:line="328" w:lineRule="auto"/>
        <w:rPr>
          <w:sz w:val="20"/>
          <w:szCs w:val="20"/>
          <w:color w:val="auto"/>
        </w:rPr>
      </w:pPr>
      <w:r>
        <w:rPr>
          <w:rFonts w:ascii="Arial" w:cs="Arial" w:eastAsia="Arial" w:hAnsi="Arial"/>
          <w:sz w:val="19"/>
          <w:szCs w:val="19"/>
          <w:color w:val="auto"/>
        </w:rPr>
        <w:t>the Executive, a panel of arbitrators (chosen from a list of arbitrators provided by the American Arbitration Association with each party hereto taking alternate strikes and the remaining arbitrator or arbitrators, as applicable, hearing the dispute).</w:t>
      </w:r>
    </w:p>
    <w:p>
      <w:pPr>
        <w:spacing w:after="0" w:line="13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By agreeing to arbitrate all disputes related to this Agreement, the Company and the Executive acknowledge, among other things, that they are waiving the right to have the dispute heard by a court of law or equity and the right to a jury trial.</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The arbitration will be conducted in Clark County, Nevada, in accordance with the then current rules of the American Arbitration Association or its successor. The arbitration of such issues, including the determination of any amount of damages suffered, will be final and binding upon the parties to the maximum extent permitted by law. The decision of the arbitrator or the panel, as applicable, shall be in writing and signed by the arbitrator. A copy of the arbitrator’s or the panel’s decision, as applicable, will be provided to each party. The arbitrator or panel, as applicable, in such action will not be authorized to change or modify any provision of this Agreement. Judgment upon the award rendered by the arbitrator or the panel, as applicable, may be entered by any court having jurisdiction thereof. The parties consent to the jurisdiction of the Supreme Court of the State of Nevada and of the U.S. District Court for the District of Nevada for all purposes in connection with arbitration, including the entry of judgment of any award.</w:t>
      </w:r>
    </w:p>
    <w:p>
      <w:pPr>
        <w:spacing w:after="0" w:line="21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Company shall advance the arbitrator’s or the panel’s fees, as applicable, subject to the provisions of Section 2(a), however, the arbitrator or the panel, as applicable, will award reasonable legal fees and expenses (including arbitration costs) to the prevailing party upon application therefor. The non-prevailing party may thus incur greater expenses under arbitration than under traditional court litigation.</w:t>
      </w:r>
    </w:p>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Except as may be necessary to enter judgment upon the award or to the extent required by applicable law, all claims, defenses and proceedings (including, without limiting the generality of the foregoing, the existence of the controversy and the fact that there is an arbitration proceeding) shall be treated in a confidential manner by the arbitrator or the panel, as applicable, the parties and their counsel, and each of their agents and employees, and all others acting on behalf or in concert with them. Without limiting the generality of the foregoing, no one shall divulge to any third party or person not directly involved in the arbitration, the contents of the pleadings, papers, orders, hearings, trials, or awards in the arbitration, except as may be necessary to enter judgment upon an award as required by applicable law. Any court proceedings relating to the arbitration hereunder, including, without limiting the generality of the foregoing, to prevent or compel arbitration to perform, correct, vacate or otherwise enforce an arbitration award, shall be filed under seal with the court, to the extent permitted by law.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6. BENEFITS AND BINDING EFFECT</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Agreement shall inure to the benefit of and be binding upon the Company, its successors and assigns, including but not limited to any corporation, person or other entity which may acquire all or substantially all of the assets and business of the Company or any corporation with or into which the Company may be consolidated or merged, and the Executive, her heirs, executors, administrators and legal representatives, provided that the obligations of the Executive hereunder may not be delegated.</w:t>
      </w:r>
    </w:p>
    <w:p>
      <w:pPr>
        <w:sectPr>
          <w:pgSz w:w="11900" w:h="16838" w:orient="portrait"/>
          <w:cols w:equalWidth="0" w:num="1">
            <w:col w:w="11240"/>
          </w:cols>
          <w:pgMar w:left="320" w:top="1414"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7. OTHER AGREEMENTS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Executive represents that the execution and performance of this Agreement will not result in a breach of any of the terms and conditions of any employment or other agreement between the Executive and any third party.</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Provided that the Company duly performs all of its obligations (if any) arising by virtue of a termination of employment of the Executive, the Executive will not publicly disparage the Company or its officers, directors, employees or agents and will refrain from any action which could reasonably be expected to cause material adverse public relations or embarrassment to the Company or to any of such persons. Similarly, the Company (including its officers, directors, employees and agents) will not disparage the Executive and will refrain from any action which could reasonably be expected to result in embarrassment to the Executive or to materially and adversely affect her opportunities for employment. The preceding two (2) sentences shall not apply to disclosures required by applicable law, regulation or order of a court or governmental agency.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8. NOTICES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All notices or other communications relating to this Agreement shall be in writing and delivered personally or sent by registered or certified mail, postage prepaid and return receipt requested, to the party concerned at the address set forth below:</w:t>
      </w:r>
    </w:p>
    <w:p>
      <w:pPr>
        <w:spacing w:after="0" w:line="3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 Southwest Gas Holdings, Inc.</w:t>
      </w:r>
    </w:p>
    <w:p>
      <w:pPr>
        <w:ind w:left="1300"/>
        <w:spacing w:after="0" w:line="238" w:lineRule="auto"/>
        <w:rPr>
          <w:sz w:val="20"/>
          <w:szCs w:val="20"/>
          <w:color w:val="auto"/>
        </w:rPr>
      </w:pPr>
      <w:r>
        <w:rPr>
          <w:rFonts w:ascii="Arial" w:cs="Arial" w:eastAsia="Arial" w:hAnsi="Arial"/>
          <w:sz w:val="22"/>
          <w:szCs w:val="22"/>
          <w:color w:val="auto"/>
        </w:rPr>
        <w:t>Southwest Gas Corporation</w:t>
      </w:r>
    </w:p>
    <w:p>
      <w:pPr>
        <w:ind w:left="3240"/>
        <w:spacing w:after="0" w:line="230" w:lineRule="auto"/>
        <w:rPr>
          <w:sz w:val="20"/>
          <w:szCs w:val="20"/>
          <w:color w:val="auto"/>
        </w:rPr>
      </w:pPr>
      <w:r>
        <w:rPr>
          <w:rFonts w:ascii="Arial" w:cs="Arial" w:eastAsia="Arial" w:hAnsi="Arial"/>
          <w:sz w:val="22"/>
          <w:szCs w:val="22"/>
          <w:color w:val="auto"/>
        </w:rPr>
        <w:t>8360 S. Durango Drive</w:t>
      </w:r>
    </w:p>
    <w:p>
      <w:pPr>
        <w:ind w:left="3240"/>
        <w:spacing w:after="0" w:line="218" w:lineRule="auto"/>
        <w:rPr>
          <w:sz w:val="20"/>
          <w:szCs w:val="20"/>
          <w:color w:val="auto"/>
        </w:rPr>
      </w:pPr>
      <w:r>
        <w:rPr>
          <w:rFonts w:ascii="Arial" w:cs="Arial" w:eastAsia="Arial" w:hAnsi="Arial"/>
          <w:sz w:val="22"/>
          <w:szCs w:val="22"/>
          <w:color w:val="auto"/>
        </w:rPr>
        <w:t>Las Vegas, Nevada 89113</w:t>
      </w:r>
    </w:p>
    <w:p>
      <w:pPr>
        <w:ind w:left="3240"/>
        <w:spacing w:after="0"/>
        <w:rPr>
          <w:sz w:val="20"/>
          <w:szCs w:val="20"/>
          <w:color w:val="auto"/>
        </w:rPr>
      </w:pPr>
      <w:r>
        <w:rPr>
          <w:rFonts w:ascii="Arial" w:cs="Arial" w:eastAsia="Arial" w:hAnsi="Arial"/>
          <w:sz w:val="22"/>
          <w:szCs w:val="22"/>
          <w:color w:val="auto"/>
        </w:rPr>
        <w:t>Attn: General Counsel</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 to: Karen S. Haller</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Either party may change the address to which notices are to be sent to it by giving ten (10) days written notice of such change of address to the other party in the manner provided above for giving notice. Notices will be considered delivered on the date of personal delivery or on the date of deposit in the United States mail in the manner provided for giving notice by mail.</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9. EXECUTIVE ACKNOWLEDGMENT AND SECTION 409A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Executive acknowledges and agrees that she has consulted with and relied exclusively on her own counsel regarding the tax effects of this Agreement and that the Company shall have no liability or obligation with respect to any tax imposed by Section 409A, or other Code section, on the Executive as a result of the transactions and payments contemplated by this Agreement.</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parties agree that this Agreement shall be construed and interpreted to the maximum extent possible to comply with Section 409A.</w:t>
      </w:r>
    </w:p>
    <w:p>
      <w:pPr>
        <w:sectPr>
          <w:pgSz w:w="11900" w:h="16838" w:orient="portrait"/>
          <w:cols w:equalWidth="0" w:num="1">
            <w:col w:w="11240"/>
          </w:cols>
          <w:pgMar w:left="320" w:top="1414"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10. ENTIRE AGREEMENT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entire understanding and agreement among the parties has been incorporated into this Agreement, and this Agreement supersedes all other agreements, negotiations, and understandings between the Executive and the Company with respect to the subject matter hereof. This Agreement may not be amended orally, but only by an agreement in writing signed by both parties.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11. GOVERNING LAW</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Agreement shall be governed by and interpreted in accordance with the laws of the State of Nevada. It is intended by the parties that this Agreement be interpreted in accordance with its fair and simple meaning, not for or against either party, and neither party shall be deemed to be the drafter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12. CAPTIONS; COUNTERPARTS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section headings and captions included herein are for convenience and shall not constitute a part of this Agreement.</w:t>
      </w:r>
    </w:p>
    <w:p>
      <w:pPr>
        <w:spacing w:after="0" w:line="26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This Agreement may be executed simultaneously in two (2) or more counterparts, each of which shall be deemed an original, but all of which shall together constitute one (1) and the same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13. SEVERABILITY</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If any portion or provision of this Agreement is determined by arbitration or by a court of competent jurisdiction to be invalid, illegal or unenforceable, the remaining portions or provisions hereof shall not be affected.</w:t>
      </w: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 WITNESS WHEREOF, this Amended and Restated Change in Control Agreement has been executed by the parties hereto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SOUTHWEST GAS HOLDINGS,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Renae Conley</w:t>
      </w:r>
    </w:p>
    <w:p>
      <w:pPr>
        <w:ind w:left="2600"/>
        <w:spacing w:after="0" w:line="238" w:lineRule="auto"/>
        <w:rPr>
          <w:sz w:val="20"/>
          <w:szCs w:val="20"/>
          <w:color w:val="auto"/>
        </w:rPr>
      </w:pPr>
      <w:r>
        <w:rPr>
          <w:rFonts w:ascii="Arial" w:cs="Arial" w:eastAsia="Arial" w:hAnsi="Arial"/>
          <w:sz w:val="22"/>
          <w:szCs w:val="22"/>
          <w:color w:val="auto"/>
        </w:rPr>
        <w:t>E. Renae Conley</w:t>
      </w:r>
    </w:p>
    <w:p>
      <w:pPr>
        <w:ind w:left="2600"/>
        <w:spacing w:after="0"/>
        <w:rPr>
          <w:sz w:val="20"/>
          <w:szCs w:val="20"/>
          <w:color w:val="auto"/>
        </w:rPr>
      </w:pPr>
      <w:r>
        <w:rPr>
          <w:rFonts w:ascii="Arial" w:cs="Arial" w:eastAsia="Arial" w:hAnsi="Arial"/>
          <w:sz w:val="22"/>
          <w:szCs w:val="22"/>
          <w:color w:val="auto"/>
        </w:rPr>
        <w:t>Chair of the Board of Directors</w:t>
      </w:r>
    </w:p>
    <w:p>
      <w:pPr>
        <w:sectPr>
          <w:pgSz w:w="11900" w:h="16838" w:orient="portrait"/>
          <w:cols w:equalWidth="0" w:num="1">
            <w:col w:w="11240"/>
          </w:cols>
          <w:pgMar w:left="320" w:top="1414"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SOUTHWEST GAS CORPORATION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Tom Moran</w:t>
      </w:r>
    </w:p>
    <w:p>
      <w:pPr>
        <w:ind w:left="2600"/>
        <w:spacing w:after="0" w:line="238" w:lineRule="auto"/>
        <w:rPr>
          <w:sz w:val="20"/>
          <w:szCs w:val="20"/>
          <w:color w:val="auto"/>
        </w:rPr>
      </w:pPr>
      <w:r>
        <w:rPr>
          <w:rFonts w:ascii="Arial" w:cs="Arial" w:eastAsia="Arial" w:hAnsi="Arial"/>
          <w:sz w:val="22"/>
          <w:szCs w:val="22"/>
          <w:color w:val="auto"/>
        </w:rPr>
        <w:t>Thomas E. Moran</w:t>
      </w:r>
    </w:p>
    <w:p>
      <w:pPr>
        <w:ind w:left="2600"/>
        <w:spacing w:after="0"/>
        <w:rPr>
          <w:sz w:val="20"/>
          <w:szCs w:val="20"/>
          <w:color w:val="auto"/>
        </w:rPr>
      </w:pPr>
      <w:r>
        <w:rPr>
          <w:rFonts w:ascii="Arial" w:cs="Arial" w:eastAsia="Arial" w:hAnsi="Arial"/>
          <w:sz w:val="22"/>
          <w:szCs w:val="22"/>
          <w:color w:val="auto"/>
        </w:rPr>
        <w:t>Vice President/Corporate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/s/ Karen S. Haller</w:t>
      </w:r>
    </w:p>
    <w:p>
      <w:pPr>
        <w:spacing w:after="0"/>
        <w:rPr>
          <w:sz w:val="20"/>
          <w:szCs w:val="20"/>
          <w:color w:val="auto"/>
        </w:rPr>
      </w:pPr>
      <w:r>
        <w:rPr>
          <w:rFonts w:ascii="Arial" w:cs="Arial" w:eastAsia="Arial" w:hAnsi="Arial"/>
          <w:sz w:val="22"/>
          <w:szCs w:val="22"/>
          <w:color w:val="auto"/>
        </w:rPr>
        <w:t>Karen S. Haller</w:t>
      </w:r>
    </w:p>
    <w:p>
      <w:pPr>
        <w:sectPr>
          <w:pgSz w:w="11900" w:h="16838" w:orient="portrait"/>
          <w:cols w:equalWidth="0" w:num="1">
            <w:col w:w="10139"/>
          </w:cols>
          <w:pgMar w:left="320" w:top="1440" w:right="1440" w:bottom="1440" w:gutter="0" w:footer="0" w:header="0"/>
        </w:sectPr>
      </w:pPr>
    </w:p>
    <w:bookmarkStart w:id="50" w:name="page51"/>
    <w:bookmarkEnd w:id="50"/>
    <w:p>
      <w:pPr>
        <w:ind w:left="9538"/>
        <w:spacing w:after="0"/>
        <w:rPr>
          <w:sz w:val="20"/>
          <w:szCs w:val="20"/>
          <w:color w:val="auto"/>
        </w:rPr>
      </w:pPr>
      <w:r>
        <w:rPr>
          <w:rFonts w:ascii="Arial" w:cs="Arial" w:eastAsia="Arial" w:hAnsi="Arial"/>
          <w:sz w:val="17"/>
          <w:szCs w:val="17"/>
          <w:color w:val="auto"/>
        </w:rPr>
        <w:t>E</w:t>
      </w:r>
      <w:r>
        <w:rPr>
          <w:rFonts w:ascii="Arial" w:cs="Arial" w:eastAsia="Arial" w:hAnsi="Arial"/>
          <w:sz w:val="13"/>
          <w:szCs w:val="13"/>
          <w:color w:val="auto"/>
        </w:rPr>
        <w:t>XECUTION</w:t>
      </w:r>
      <w:r>
        <w:rPr>
          <w:rFonts w:ascii="Arial" w:cs="Arial" w:eastAsia="Arial" w:hAnsi="Arial"/>
          <w:sz w:val="17"/>
          <w:szCs w:val="17"/>
          <w:color w:val="auto"/>
        </w:rPr>
        <w:t xml:space="preserve"> V</w:t>
      </w:r>
      <w:r>
        <w:rPr>
          <w:rFonts w:ascii="Arial" w:cs="Arial" w:eastAsia="Arial" w:hAnsi="Arial"/>
          <w:sz w:val="13"/>
          <w:szCs w:val="13"/>
          <w:color w:val="auto"/>
        </w:rPr>
        <w:t>ERSION</w:t>
      </w:r>
    </w:p>
    <w:p>
      <w:pPr>
        <w:spacing w:after="0" w:line="200" w:lineRule="exact"/>
        <w:rPr>
          <w:sz w:val="20"/>
          <w:szCs w:val="20"/>
          <w:color w:val="auto"/>
        </w:rPr>
      </w:pPr>
    </w:p>
    <w:p>
      <w:pPr>
        <w:spacing w:after="0" w:line="339" w:lineRule="exact"/>
        <w:rPr>
          <w:sz w:val="20"/>
          <w:szCs w:val="20"/>
          <w:color w:val="auto"/>
        </w:rPr>
      </w:pPr>
    </w:p>
    <w:p>
      <w:pPr>
        <w:ind w:left="258"/>
        <w:spacing w:after="0"/>
        <w:rPr>
          <w:sz w:val="20"/>
          <w:szCs w:val="20"/>
          <w:color w:val="auto"/>
        </w:rPr>
      </w:pPr>
      <w:r>
        <w:rPr>
          <w:rFonts w:ascii="Arial" w:cs="Arial" w:eastAsia="Arial" w:hAnsi="Arial"/>
          <w:sz w:val="20"/>
          <w:szCs w:val="20"/>
          <w:b w:val="1"/>
          <w:bCs w:val="1"/>
          <w:u w:val="single" w:color="auto"/>
          <w:color w:val="auto"/>
        </w:rPr>
        <w:t>FIRST AMENDMENT TO SECOND AMENDED AND RESTATED CREDIT AGREEMENT</w:t>
      </w:r>
    </w:p>
    <w:p>
      <w:pPr>
        <w:spacing w:after="0" w:line="289" w:lineRule="exact"/>
        <w:rPr>
          <w:sz w:val="20"/>
          <w:szCs w:val="20"/>
          <w:color w:val="auto"/>
        </w:rPr>
      </w:pPr>
    </w:p>
    <w:p>
      <w:pPr>
        <w:jc w:val="center"/>
        <w:ind w:right="-57"/>
        <w:spacing w:after="0"/>
        <w:rPr>
          <w:sz w:val="20"/>
          <w:szCs w:val="20"/>
          <w:color w:val="auto"/>
        </w:rPr>
      </w:pPr>
      <w:r>
        <w:rPr>
          <w:rFonts w:ascii="Arial" w:cs="Arial" w:eastAsia="Arial" w:hAnsi="Arial"/>
          <w:sz w:val="20"/>
          <w:szCs w:val="20"/>
          <w:color w:val="auto"/>
        </w:rPr>
        <w:t>Dated as of November 4, 2022</w:t>
      </w:r>
    </w:p>
    <w:p>
      <w:pPr>
        <w:spacing w:after="0" w:line="191" w:lineRule="exact"/>
        <w:rPr>
          <w:sz w:val="20"/>
          <w:szCs w:val="20"/>
          <w:color w:val="auto"/>
        </w:rPr>
      </w:pPr>
    </w:p>
    <w:p>
      <w:pPr>
        <w:ind w:left="698"/>
        <w:spacing w:after="0"/>
        <w:rPr>
          <w:sz w:val="20"/>
          <w:szCs w:val="20"/>
          <w:color w:val="auto"/>
        </w:rPr>
      </w:pPr>
      <w:r>
        <w:rPr>
          <w:rFonts w:ascii="Arial" w:cs="Arial" w:eastAsia="Arial" w:hAnsi="Arial"/>
          <w:sz w:val="20"/>
          <w:szCs w:val="20"/>
          <w:color w:val="auto"/>
        </w:rPr>
        <w:t>This FIRST AMENDMENT TO SECOND AMENDED AND RESTATED CREDIT</w:t>
      </w:r>
    </w:p>
    <w:p>
      <w:pPr>
        <w:ind w:left="58" w:right="20"/>
        <w:spacing w:after="0" w:line="222" w:lineRule="auto"/>
        <w:rPr>
          <w:sz w:val="20"/>
          <w:szCs w:val="20"/>
          <w:color w:val="auto"/>
        </w:rPr>
      </w:pPr>
      <w:r>
        <w:rPr>
          <w:rFonts w:ascii="Arial" w:cs="Arial" w:eastAsia="Arial" w:hAnsi="Arial"/>
          <w:sz w:val="19"/>
          <w:szCs w:val="19"/>
          <w:color w:val="auto"/>
        </w:rPr>
        <w:t>AGREEMENT (this “Amendment”) is by and among CENTURI GROUP, INC., a Nevada corporation (the “Company”), and each Additional Borrower that becomes a party thereto in accordance with Section 5.17 thereto, as US Borrowers, CENTURI CANADA</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DIVISION INC., a corporation organized under the laws of the Province of Ontario, Canada, and each Additional Borrower that becomes a party thereto in accordance with Section 5.17 thereto, as Canadian Borrowers, the other Credit Parties party hereto, the lenders party</w:t>
      </w:r>
    </w:p>
    <w:p>
      <w:pPr>
        <w:spacing w:after="0" w:line="2"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auto"/>
        </w:rPr>
        <w:t>hereto (the “Lenders”) and WELLS FARGO BANK, NATIONAL ASSOCIATION, as administrative agent for the Lenders (in such capacity, the “Administrative Agent”).</w:t>
      </w:r>
    </w:p>
    <w:p>
      <w:pPr>
        <w:spacing w:after="0" w:line="264" w:lineRule="exact"/>
        <w:rPr>
          <w:sz w:val="20"/>
          <w:szCs w:val="20"/>
          <w:color w:val="auto"/>
        </w:rPr>
      </w:pPr>
    </w:p>
    <w:p>
      <w:pPr>
        <w:jc w:val="center"/>
        <w:ind w:right="-57"/>
        <w:spacing w:after="0"/>
        <w:rPr>
          <w:sz w:val="20"/>
          <w:szCs w:val="20"/>
          <w:color w:val="auto"/>
        </w:rPr>
      </w:pPr>
      <w:r>
        <w:rPr>
          <w:rFonts w:ascii="Arial" w:cs="Arial" w:eastAsia="Arial" w:hAnsi="Arial"/>
          <w:sz w:val="20"/>
          <w:szCs w:val="20"/>
          <w:color w:val="auto"/>
        </w:rPr>
        <w:t>Statement of Purpose</w:t>
      </w:r>
    </w:p>
    <w:p>
      <w:pPr>
        <w:spacing w:after="0" w:line="283" w:lineRule="exact"/>
        <w:rPr>
          <w:sz w:val="20"/>
          <w:szCs w:val="20"/>
          <w:color w:val="auto"/>
        </w:rPr>
      </w:pPr>
    </w:p>
    <w:p>
      <w:pPr>
        <w:jc w:val="both"/>
        <w:ind w:left="58" w:firstLine="648"/>
        <w:spacing w:after="0" w:line="265" w:lineRule="auto"/>
        <w:rPr>
          <w:sz w:val="20"/>
          <w:szCs w:val="20"/>
          <w:color w:val="auto"/>
        </w:rPr>
      </w:pPr>
      <w:r>
        <w:rPr>
          <w:rFonts w:ascii="Arial" w:cs="Arial" w:eastAsia="Arial" w:hAnsi="Arial"/>
          <w:sz w:val="16"/>
          <w:szCs w:val="16"/>
          <w:color w:val="auto"/>
        </w:rPr>
        <w:t>WHEREAS, the Company, the Lenders party thereto, the other Credit Parties party thereto and the Administrative Agent are parties to the Second Amended and Restated Credit Agreement dated as of August 27, 2021 (as amended hereby and as further amended,</w:t>
      </w:r>
    </w:p>
    <w:p>
      <w:pPr>
        <w:ind w:left="58"/>
        <w:spacing w:after="0" w:line="236" w:lineRule="auto"/>
        <w:rPr>
          <w:sz w:val="20"/>
          <w:szCs w:val="20"/>
          <w:color w:val="auto"/>
        </w:rPr>
      </w:pPr>
      <w:r>
        <w:rPr>
          <w:rFonts w:ascii="Arial" w:cs="Arial" w:eastAsia="Arial" w:hAnsi="Arial"/>
          <w:sz w:val="18"/>
          <w:szCs w:val="18"/>
          <w:color w:val="auto"/>
        </w:rPr>
        <w:t>restated, extended, supplemented or otherwise modified from time to time, the “Credit Agreement” and the Credit Agreement prior to</w:t>
      </w:r>
    </w:p>
    <w:p>
      <w:pPr>
        <w:ind w:left="58"/>
        <w:spacing w:after="0" w:line="220" w:lineRule="auto"/>
        <w:rPr>
          <w:sz w:val="20"/>
          <w:szCs w:val="20"/>
          <w:color w:val="auto"/>
        </w:rPr>
      </w:pPr>
      <w:r>
        <w:rPr>
          <w:rFonts w:ascii="Arial" w:cs="Arial" w:eastAsia="Arial" w:hAnsi="Arial"/>
          <w:sz w:val="20"/>
          <w:szCs w:val="20"/>
          <w:color w:val="auto"/>
        </w:rPr>
        <w:t>giving effect to this Amendment being referred to as the “Existing Credit Agreement”), pursuant to which the Lenders have extended certain credit facilities to the Borrowers.</w:t>
      </w:r>
    </w:p>
    <w:p>
      <w:pPr>
        <w:spacing w:after="0" w:line="210" w:lineRule="exact"/>
        <w:rPr>
          <w:sz w:val="20"/>
          <w:szCs w:val="20"/>
          <w:color w:val="auto"/>
        </w:rPr>
      </w:pPr>
    </w:p>
    <w:p>
      <w:pPr>
        <w:ind w:left="58" w:right="20" w:firstLine="648"/>
        <w:spacing w:after="0" w:line="242" w:lineRule="auto"/>
        <w:rPr>
          <w:sz w:val="20"/>
          <w:szCs w:val="20"/>
          <w:color w:val="auto"/>
        </w:rPr>
      </w:pPr>
      <w:r>
        <w:rPr>
          <w:rFonts w:ascii="Arial" w:cs="Arial" w:eastAsia="Arial" w:hAnsi="Arial"/>
          <w:sz w:val="19"/>
          <w:szCs w:val="19"/>
          <w:color w:val="auto"/>
        </w:rPr>
        <w:t>WHEREAS, the Company and the Administrative Agent have elected to make an Early Opt-in Election to transition from LIBOR to Term SOFR solely with respect to the Revolving Credit Facility, pursuant to the terms of the Existing Credit Agreement.</w:t>
      </w:r>
    </w:p>
    <w:p>
      <w:pPr>
        <w:spacing w:after="0" w:line="207" w:lineRule="exact"/>
        <w:rPr>
          <w:sz w:val="20"/>
          <w:szCs w:val="20"/>
          <w:color w:val="auto"/>
        </w:rPr>
      </w:pPr>
    </w:p>
    <w:p>
      <w:pPr>
        <w:ind w:left="58" w:firstLine="648"/>
        <w:spacing w:after="0" w:line="229" w:lineRule="auto"/>
        <w:rPr>
          <w:sz w:val="20"/>
          <w:szCs w:val="20"/>
          <w:color w:val="auto"/>
        </w:rPr>
      </w:pPr>
      <w:r>
        <w:rPr>
          <w:rFonts w:ascii="Arial" w:cs="Arial" w:eastAsia="Arial" w:hAnsi="Arial"/>
          <w:sz w:val="20"/>
          <w:szCs w:val="20"/>
          <w:color w:val="auto"/>
        </w:rPr>
        <w:t>WHEREAS, the Company has requested that the Administrative Agent and the Revolving Credit Lenders and Issuing Lenders agree to amend the Existing Credit Agreement as more specifically set forth herein.</w:t>
      </w:r>
    </w:p>
    <w:p>
      <w:pPr>
        <w:spacing w:after="0" w:line="196"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NOW, THEREFORE, for good and valuable consideration, the receipt and sufficiency of which is hereby acknowledged, the parties hereto hereby agree as follows:</w:t>
      </w:r>
    </w:p>
    <w:p>
      <w:pPr>
        <w:spacing w:after="0" w:line="196" w:lineRule="exact"/>
        <w:rPr>
          <w:sz w:val="20"/>
          <w:szCs w:val="20"/>
          <w:color w:val="auto"/>
        </w:rPr>
      </w:pPr>
    </w:p>
    <w:p>
      <w:pPr>
        <w:jc w:val="both"/>
        <w:ind w:left="58" w:right="20" w:firstLine="644"/>
        <w:spacing w:after="0" w:line="227" w:lineRule="auto"/>
        <w:tabs>
          <w:tab w:leader="none" w:pos="1246" w:val="left"/>
        </w:tabs>
        <w:numPr>
          <w:ilvl w:val="0"/>
          <w:numId w:val="28"/>
        </w:numPr>
        <w:rPr>
          <w:rFonts w:ascii="Arial" w:cs="Arial" w:eastAsia="Arial" w:hAnsi="Arial"/>
          <w:sz w:val="20"/>
          <w:szCs w:val="20"/>
          <w:color w:val="auto"/>
        </w:rPr>
      </w:pPr>
      <w:r>
        <w:rPr>
          <w:rFonts w:ascii="Arial" w:cs="Arial" w:eastAsia="Arial" w:hAnsi="Arial"/>
          <w:sz w:val="20"/>
          <w:szCs w:val="20"/>
          <w:color w:val="auto"/>
        </w:rPr>
        <w:t>Capitalized Terms. All capitalized terms not otherwise defined in this Amendment (including without limitation in the introductory paragraph and the Preliminary Statements hereto) shall have the meanings as specified in the Credit Agreement (as set forth on Annex A attached hereto).</w:t>
      </w:r>
    </w:p>
    <w:p>
      <w:pPr>
        <w:spacing w:after="0" w:line="265" w:lineRule="exact"/>
        <w:rPr>
          <w:rFonts w:ascii="Arial" w:cs="Arial" w:eastAsia="Arial" w:hAnsi="Arial"/>
          <w:sz w:val="20"/>
          <w:szCs w:val="20"/>
          <w:color w:val="auto"/>
        </w:rPr>
      </w:pPr>
    </w:p>
    <w:p>
      <w:pPr>
        <w:ind w:left="58" w:right="240" w:firstLine="644"/>
        <w:spacing w:after="0" w:line="229" w:lineRule="auto"/>
        <w:tabs>
          <w:tab w:leader="none" w:pos="1246"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Amendments to the Credit Agreement. As of the Effective Date (as defined below) and subject to and in accordance with the terms and conditions set forth herein:</w:t>
      </w:r>
    </w:p>
    <w:p>
      <w:pPr>
        <w:spacing w:after="0" w:line="209" w:lineRule="exact"/>
        <w:rPr>
          <w:rFonts w:ascii="Arial" w:cs="Arial" w:eastAsia="Arial" w:hAnsi="Arial"/>
          <w:sz w:val="20"/>
          <w:szCs w:val="20"/>
          <w:color w:val="auto"/>
        </w:rPr>
      </w:pPr>
    </w:p>
    <w:p>
      <w:pPr>
        <w:jc w:val="both"/>
        <w:ind w:left="698" w:firstLine="652"/>
        <w:spacing w:after="0" w:line="239" w:lineRule="auto"/>
        <w:tabs>
          <w:tab w:leader="none" w:pos="18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body of the Existing Credit Agreement (excluding the Schedules and Exhibits thereto, other than as set forth in clause (b) of this Section 2) are hereby amended to (i)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(ii) add the double-underlined text (indicated textually in the same manner as the following example: </w:t>
      </w:r>
      <w:r>
        <w:rPr>
          <w:rFonts w:ascii="Arial" w:cs="Arial" w:eastAsia="Arial" w:hAnsi="Arial"/>
          <w:sz w:val="18"/>
          <w:szCs w:val="18"/>
          <w:color w:val="0000FF"/>
        </w:rPr>
        <w:t>double-underlined text</w:t>
      </w:r>
      <w:r>
        <w:rPr>
          <w:rFonts w:ascii="Arial" w:cs="Arial" w:eastAsia="Arial" w:hAnsi="Arial"/>
          <w:sz w:val="18"/>
          <w:szCs w:val="18"/>
          <w:color w:val="auto"/>
        </w:rPr>
        <w:t xml:space="preserve">) and (iii) move the green double-underlined text (indicated textually in the same manner as the following example: </w:t>
      </w:r>
      <w:r>
        <w:rPr>
          <w:rFonts w:ascii="Arial" w:cs="Arial" w:eastAsia="Arial" w:hAnsi="Arial"/>
          <w:sz w:val="18"/>
          <w:szCs w:val="18"/>
          <w:color w:val="00B050"/>
        </w:rPr>
        <w:t>double-underlined text</w:t>
      </w:r>
      <w:r>
        <w:rPr>
          <w:rFonts w:ascii="Arial" w:cs="Arial" w:eastAsia="Arial" w:hAnsi="Arial"/>
          <w:sz w:val="18"/>
          <w:szCs w:val="18"/>
          <w:color w:val="auto"/>
        </w:rPr>
        <w:t>), in each case, as set forth in the Credit Agreement attached hereto as Annex A.</w:t>
      </w:r>
    </w:p>
    <w:p>
      <w:pPr>
        <w:spacing w:after="0" w:line="265" w:lineRule="exact"/>
        <w:rPr>
          <w:rFonts w:ascii="Arial" w:cs="Arial" w:eastAsia="Arial" w:hAnsi="Arial"/>
          <w:sz w:val="18"/>
          <w:szCs w:val="18"/>
          <w:color w:val="auto"/>
        </w:rPr>
      </w:pPr>
    </w:p>
    <w:p>
      <w:pPr>
        <w:jc w:val="both"/>
        <w:ind w:left="698" w:firstLine="652"/>
        <w:spacing w:after="0" w:line="223" w:lineRule="auto"/>
        <w:tabs>
          <w:tab w:leader="none" w:pos="1874" w:val="left"/>
        </w:tabs>
        <w:numPr>
          <w:ilvl w:val="1"/>
          <w:numId w:val="28"/>
        </w:numPr>
        <w:rPr>
          <w:rFonts w:ascii="Arial" w:cs="Arial" w:eastAsia="Arial" w:hAnsi="Arial"/>
          <w:sz w:val="20"/>
          <w:szCs w:val="20"/>
          <w:color w:val="auto"/>
        </w:rPr>
      </w:pPr>
      <w:r>
        <w:rPr>
          <w:rFonts w:ascii="Arial" w:cs="Arial" w:eastAsia="Arial" w:hAnsi="Arial"/>
          <w:sz w:val="20"/>
          <w:szCs w:val="20"/>
          <w:color w:val="auto"/>
        </w:rPr>
        <w:t>Exhibit B (Form of Notice of Borrowing), Exhibit D (Form of Notice of Prepayment) and Exhibit E (Form of Notice of Conversion/Continuation) to the Existing Credit Agreement are each hereby amended and restated in its entirety as set forth as Annex B hereto.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18" w:hanging="218"/>
        <w:spacing w:after="0"/>
        <w:tabs>
          <w:tab w:leader="none" w:pos="218" w:val="left"/>
        </w:tabs>
        <w:numPr>
          <w:ilvl w:val="0"/>
          <w:numId w:val="29"/>
        </w:numPr>
        <w:rPr>
          <w:rFonts w:ascii="Arial" w:cs="Arial" w:eastAsia="Arial" w:hAnsi="Arial"/>
          <w:sz w:val="22"/>
          <w:szCs w:val="22"/>
          <w:color w:val="auto"/>
        </w:rPr>
      </w:pPr>
      <w:r>
        <w:rPr>
          <w:rFonts w:ascii="Arial" w:cs="Arial" w:eastAsia="Arial" w:hAnsi="Arial"/>
          <w:sz w:val="14"/>
          <w:szCs w:val="14"/>
          <w:color w:val="auto"/>
        </w:rPr>
        <w:t>165310015_4</w:t>
      </w:r>
    </w:p>
    <w:p>
      <w:pPr>
        <w:sectPr>
          <w:pgSz w:w="11900" w:h="16838" w:orient="portrait"/>
          <w:cols w:equalWidth="0" w:num="1">
            <w:col w:w="11078"/>
          </w:cols>
          <w:pgMar w:left="382" w:top="814" w:right="439" w:bottom="1440" w:gutter="0" w:footer="0" w:header="0"/>
        </w:sectPr>
      </w:pPr>
    </w:p>
    <w:bookmarkStart w:id="51" w:name="page52"/>
    <w:bookmarkEnd w:id="51"/>
    <w:p>
      <w:pPr>
        <w:jc w:val="both"/>
        <w:ind w:left="40" w:firstLine="646"/>
        <w:spacing w:after="0" w:line="234" w:lineRule="auto"/>
        <w:tabs>
          <w:tab w:leader="none" w:pos="1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Early Opt-in Election. Pursuant to Section 5.8(c) of the Existing Credit Agreement, the Company and the Administrative Agent have made an Early Opt-in Election to replace the LIBOR Rate with Term SOFR solely with respect to Revolving Credit Loans and Swingline Loans. The Early Opt-in Effective Date shall be the Effective Date. On and after the Effective Date, all outstanding Revolving Credit Loans that are LIBOR Rate Loans denominated in Dollars shall continue as LIBOR Rate Loans under the Credit Agreement (and, notwithstanding anything in this Amendment including Annex A hereto to the contrary, subject to the terms and conditions and applicable interest rate terms (including breakage) with respect to LIBOR Rate Loans under the Existing Credit Agreement) solely for the remainder of the Interest Periods applicable thereto immediately prior to the effectiveness of this Amendment; it being understood that such LIBOR Rate Loans and Interest Periods are not being renewed or extended as a result of this Amendment and, upon the expiration or earlier termination of such Interest Periods, such LIBOR Rate Loans shall be (i) repaid or (ii) converted to Base Rate Loans or SOFR Loans (in each case, as defined in the Credit Agreement) as the Borrowers may elect (which election in the case of clause (ii) shall be made in accordance with the notice requirements set forth in Section 5.2 of the Credit Agreement as though the Borrowers were requesting a borrowing to be made on the effective date of such conversion). This Amendment shall constitute notice to the Revolving Credit Lenders of an Early Opt-In Election and each Revolving Credit Lender hereby waives any notice period in connection therewith.</w:t>
      </w:r>
    </w:p>
    <w:p>
      <w:pPr>
        <w:spacing w:after="0" w:line="197" w:lineRule="exact"/>
        <w:rPr>
          <w:rFonts w:ascii="Arial" w:cs="Arial" w:eastAsia="Arial" w:hAnsi="Arial"/>
          <w:sz w:val="18"/>
          <w:szCs w:val="18"/>
          <w:color w:val="auto"/>
        </w:rPr>
      </w:pPr>
    </w:p>
    <w:p>
      <w:pPr>
        <w:ind w:left="40" w:right="20" w:firstLine="646"/>
        <w:spacing w:after="0" w:line="236" w:lineRule="auto"/>
        <w:tabs>
          <w:tab w:leader="none" w:pos="1241"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Conditions to Effectiveness. The effectiveness of this Amendment is subject to the satisfaction or waiver of the following conditions (the date of such satisfaction or waiver, the “Effective Date”):</w:t>
      </w:r>
    </w:p>
    <w:p>
      <w:pPr>
        <w:spacing w:after="0" w:line="263" w:lineRule="exact"/>
        <w:rPr>
          <w:rFonts w:ascii="Arial" w:cs="Arial" w:eastAsia="Arial" w:hAnsi="Arial"/>
          <w:sz w:val="20"/>
          <w:szCs w:val="20"/>
          <w:color w:val="auto"/>
        </w:rPr>
      </w:pPr>
    </w:p>
    <w:p>
      <w:pPr>
        <w:ind w:left="200" w:firstLine="648"/>
        <w:spacing w:after="0" w:line="236" w:lineRule="auto"/>
        <w:tabs>
          <w:tab w:leader="none" w:pos="1243" w:val="left"/>
        </w:tabs>
        <w:numPr>
          <w:ilvl w:val="1"/>
          <w:numId w:val="30"/>
        </w:numPr>
        <w:rPr>
          <w:rFonts w:ascii="Arial" w:cs="Arial" w:eastAsia="Arial" w:hAnsi="Arial"/>
          <w:sz w:val="20"/>
          <w:szCs w:val="20"/>
          <w:color w:val="auto"/>
        </w:rPr>
      </w:pPr>
      <w:r>
        <w:rPr>
          <w:rFonts w:ascii="Arial" w:cs="Arial" w:eastAsia="Arial" w:hAnsi="Arial"/>
          <w:sz w:val="20"/>
          <w:szCs w:val="20"/>
          <w:color w:val="auto"/>
        </w:rPr>
        <w:t>Amendment. The Administrative Agent shall have received counterparts of this Amendment executed by the Administrative Agent, the Revolving Credit Lenders, the Issuing Lenders and the Credit Parties.</w:t>
      </w:r>
    </w:p>
    <w:p>
      <w:pPr>
        <w:spacing w:after="0" w:line="195" w:lineRule="exact"/>
        <w:rPr>
          <w:rFonts w:ascii="Arial" w:cs="Arial" w:eastAsia="Arial" w:hAnsi="Arial"/>
          <w:sz w:val="20"/>
          <w:szCs w:val="20"/>
          <w:color w:val="auto"/>
        </w:rPr>
      </w:pPr>
    </w:p>
    <w:p>
      <w:pPr>
        <w:jc w:val="both"/>
        <w:ind w:left="200" w:firstLine="648"/>
        <w:spacing w:after="0" w:line="246" w:lineRule="auto"/>
        <w:tabs>
          <w:tab w:leader="none" w:pos="12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Certified Resolutions. The Administrative Agent shall have received a certificate of a Responsible Officer of each Credit Party certifying that attached thereto is a true, correct and complete copy of resolutions duly adopted by the board of directors (or other governing body) of such Credit Party authorizing and approving the transactions contemplated hereunder and the execution, delivery and performance of this Amendment, in form and substance reasonably satisfactory to the Administrative Agent.</w:t>
      </w:r>
    </w:p>
    <w:p>
      <w:pPr>
        <w:spacing w:after="0" w:line="190" w:lineRule="exact"/>
        <w:rPr>
          <w:rFonts w:ascii="Arial" w:cs="Arial" w:eastAsia="Arial" w:hAnsi="Arial"/>
          <w:sz w:val="18"/>
          <w:szCs w:val="18"/>
          <w:color w:val="auto"/>
        </w:rPr>
      </w:pPr>
    </w:p>
    <w:p>
      <w:pPr>
        <w:jc w:val="right"/>
        <w:ind w:left="400" w:firstLine="710"/>
        <w:spacing w:after="0" w:line="261" w:lineRule="auto"/>
        <w:tabs>
          <w:tab w:leader="none" w:pos="1506" w:val="left"/>
        </w:tabs>
        <w:numPr>
          <w:ilvl w:val="2"/>
          <w:numId w:val="30"/>
        </w:numPr>
        <w:rPr>
          <w:rFonts w:ascii="Arial" w:cs="Arial" w:eastAsia="Arial" w:hAnsi="Arial"/>
          <w:sz w:val="16"/>
          <w:szCs w:val="16"/>
          <w:color w:val="auto"/>
        </w:rPr>
      </w:pPr>
      <w:r>
        <w:rPr>
          <w:rFonts w:ascii="Arial" w:cs="Arial" w:eastAsia="Arial" w:hAnsi="Arial"/>
          <w:sz w:val="16"/>
          <w:szCs w:val="16"/>
          <w:color w:val="auto"/>
        </w:rPr>
        <w:t>Payment at Closing. The Borrowers shall have paid or made arrangements to pay contemporaneously with closing (A) to the Administrative Agent, Wells Fargo Securities, LLC and the Lenders the fees as separately agreed among the Administrative Agent, Wells Fargo Securities, LLC, the Lenders and the Borrowers and any other accrued and unpaid fees or commissions due hereunder, including an amendment fee equal to 10.0 basis points of the aggregate amount of Revolving Credit Commitments of each Revolving Credit Lender party hereto on the Effective Date, (B) all fees, charges and disbursements of counsel to the Administrative Agent (directly to such counsel if requested by the Administrative Agent) to the extent accrued and unpaid prior to or on the Effective Date,</w:t>
      </w:r>
    </w:p>
    <w:p>
      <w:pPr>
        <w:spacing w:after="0" w:line="3" w:lineRule="exact"/>
        <w:rPr>
          <w:sz w:val="20"/>
          <w:szCs w:val="20"/>
          <w:color w:val="auto"/>
        </w:rPr>
      </w:pPr>
    </w:p>
    <w:p>
      <w:pPr>
        <w:jc w:val="right"/>
        <w:ind w:left="240"/>
        <w:spacing w:after="0" w:line="264" w:lineRule="auto"/>
        <w:rPr>
          <w:sz w:val="20"/>
          <w:szCs w:val="20"/>
          <w:color w:val="auto"/>
        </w:rPr>
      </w:pPr>
      <w:r>
        <w:rPr>
          <w:rFonts w:ascii="Arial" w:cs="Arial" w:eastAsia="Arial" w:hAnsi="Arial"/>
          <w:sz w:val="16"/>
          <w:szCs w:val="16"/>
          <w:color w:val="auto"/>
        </w:rPr>
        <w:t>plus such additional amounts of such fees, charges and disbursements as shall constitute its reasonable estimate of such fees, charges and disbursements incurred or to be incurred by it through the closing proceedings (provided that such estimate shall not thereafter preclude</w:t>
      </w:r>
    </w:p>
    <w:p>
      <w:pPr>
        <w:ind w:left="480" w:firstLine="43"/>
        <w:spacing w:after="0" w:line="255" w:lineRule="auto"/>
        <w:rPr>
          <w:sz w:val="20"/>
          <w:szCs w:val="20"/>
          <w:color w:val="auto"/>
        </w:rPr>
      </w:pPr>
      <w:r>
        <w:rPr>
          <w:rFonts w:ascii="Arial" w:cs="Arial" w:eastAsia="Arial" w:hAnsi="Arial"/>
          <w:sz w:val="16"/>
          <w:szCs w:val="16"/>
          <w:color w:val="auto"/>
        </w:rPr>
        <w:t>a final settling of accounts between the Borrowers and the Administrative Agent) and (C) to any other Person such amount as may be due thereto in connection with the transactions contemplated hereby, including all taxes, fees and other charges in connection with the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delivery, recording, filing and registration of any of the Loan Documents.</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Without limiting the generality of the provisions of Section 11.3 of the Credit Agreement, for purposes of determining compliance</w:t>
      </w:r>
    </w:p>
    <w:p>
      <w:pPr>
        <w:spacing w:after="0" w:line="12" w:lineRule="exact"/>
        <w:rPr>
          <w:sz w:val="20"/>
          <w:szCs w:val="20"/>
          <w:color w:val="auto"/>
        </w:rPr>
      </w:pPr>
    </w:p>
    <w:p>
      <w:pPr>
        <w:ind w:left="40"/>
        <w:spacing w:after="0" w:line="220" w:lineRule="auto"/>
        <w:rPr>
          <w:sz w:val="20"/>
          <w:szCs w:val="20"/>
          <w:color w:val="auto"/>
        </w:rPr>
      </w:pPr>
      <w:r>
        <w:rPr>
          <w:rFonts w:ascii="Arial" w:cs="Arial" w:eastAsia="Arial" w:hAnsi="Arial"/>
          <w:sz w:val="20"/>
          <w:szCs w:val="20"/>
          <w:color w:val="auto"/>
        </w:rPr>
        <w:t>with the conditions specified in this Section 4 or otherwise, each Lender that has signed this Amendment shall be deemed to have consented to, approved or accepted or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hanging="218"/>
        <w:spacing w:after="0"/>
        <w:tabs>
          <w:tab w:leader="none" w:pos="220" w:val="left"/>
        </w:tabs>
        <w:numPr>
          <w:ilvl w:val="0"/>
          <w:numId w:val="31"/>
        </w:numPr>
        <w:rPr>
          <w:rFonts w:ascii="Arial" w:cs="Arial" w:eastAsia="Arial" w:hAnsi="Arial"/>
          <w:sz w:val="22"/>
          <w:szCs w:val="22"/>
          <w:color w:val="auto"/>
        </w:rPr>
      </w:pPr>
      <w:r>
        <w:rPr>
          <w:rFonts w:ascii="Arial" w:cs="Arial" w:eastAsia="Arial" w:hAnsi="Arial"/>
          <w:sz w:val="14"/>
          <w:szCs w:val="14"/>
          <w:color w:val="auto"/>
        </w:rPr>
        <w:t>165310015_4</w:t>
      </w:r>
    </w:p>
    <w:p>
      <w:pPr>
        <w:sectPr>
          <w:pgSz w:w="11900" w:h="16838" w:orient="portrait"/>
          <w:cols w:equalWidth="0" w:num="1">
            <w:col w:w="11080"/>
          </w:cols>
          <w:pgMar w:left="380" w:top="1405" w:right="439" w:bottom="1440" w:gutter="0" w:footer="0" w:header="0"/>
        </w:sectPr>
      </w:pPr>
    </w:p>
    <w:bookmarkStart w:id="52" w:name="page53"/>
    <w:bookmarkEnd w:id="52"/>
    <w:p>
      <w:pPr>
        <w:ind w:left="58"/>
        <w:spacing w:after="0"/>
        <w:rPr>
          <w:sz w:val="20"/>
          <w:szCs w:val="20"/>
          <w:color w:val="auto"/>
        </w:rPr>
      </w:pPr>
      <w:r>
        <w:rPr>
          <w:rFonts w:ascii="Arial" w:cs="Arial" w:eastAsia="Arial" w:hAnsi="Arial"/>
          <w:sz w:val="18"/>
          <w:szCs w:val="18"/>
          <w:color w:val="auto"/>
        </w:rPr>
        <w:t>be satisfied with, each document or other matter required thereunder to be consented to or approved by or acceptable or satisfactory to a</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Lender unless the Administrative Agent shall have received written notice from such Lender prior to the proposed Effective Date specifying its objection thereto.</w:t>
      </w:r>
    </w:p>
    <w:p>
      <w:pPr>
        <w:spacing w:after="0" w:line="210" w:lineRule="exact"/>
        <w:rPr>
          <w:sz w:val="20"/>
          <w:szCs w:val="20"/>
          <w:color w:val="auto"/>
        </w:rPr>
      </w:pPr>
    </w:p>
    <w:p>
      <w:pPr>
        <w:ind w:left="1358" w:hanging="656"/>
        <w:spacing w:after="0"/>
        <w:tabs>
          <w:tab w:leader="none" w:pos="1358" w:val="left"/>
        </w:tabs>
        <w:numPr>
          <w:ilvl w:val="1"/>
          <w:numId w:val="32"/>
        </w:numPr>
        <w:rPr>
          <w:rFonts w:ascii="Arial" w:cs="Arial" w:eastAsia="Arial" w:hAnsi="Arial"/>
          <w:sz w:val="20"/>
          <w:szCs w:val="20"/>
          <w:color w:val="auto"/>
        </w:rPr>
      </w:pPr>
      <w:r>
        <w:rPr>
          <w:rFonts w:ascii="Arial" w:cs="Arial" w:eastAsia="Arial" w:hAnsi="Arial"/>
          <w:sz w:val="20"/>
          <w:szCs w:val="20"/>
          <w:color w:val="auto"/>
        </w:rPr>
        <w:t>Representations and Warranties. Each Credit Party represents and warrants as follows:</w:t>
      </w:r>
    </w:p>
    <w:p>
      <w:pPr>
        <w:spacing w:after="0" w:line="283" w:lineRule="exact"/>
        <w:rPr>
          <w:rFonts w:ascii="Arial" w:cs="Arial" w:eastAsia="Arial" w:hAnsi="Arial"/>
          <w:sz w:val="20"/>
          <w:szCs w:val="20"/>
          <w:color w:val="auto"/>
        </w:rPr>
      </w:pPr>
    </w:p>
    <w:p>
      <w:pPr>
        <w:jc w:val="both"/>
        <w:ind w:left="58" w:firstLine="1292"/>
        <w:spacing w:after="0" w:line="215" w:lineRule="auto"/>
        <w:tabs>
          <w:tab w:leader="none" w:pos="1884" w:val="left"/>
        </w:tabs>
        <w:numPr>
          <w:ilvl w:val="2"/>
          <w:numId w:val="32"/>
        </w:numPr>
        <w:rPr>
          <w:rFonts w:ascii="Arial" w:cs="Arial" w:eastAsia="Arial" w:hAnsi="Arial"/>
          <w:sz w:val="20"/>
          <w:szCs w:val="20"/>
          <w:color w:val="auto"/>
        </w:rPr>
      </w:pPr>
      <w:r>
        <w:rPr>
          <w:rFonts w:ascii="Arial" w:cs="Arial" w:eastAsia="Arial" w:hAnsi="Arial"/>
          <w:sz w:val="20"/>
          <w:szCs w:val="20"/>
          <w:color w:val="auto"/>
        </w:rPr>
        <w:t>Each Credit Party has the right, power, and authority and has taken all necessary corporate or other action to authorize the execution, delivery and performance of this Amendment. This Amendment constitutes a legal, valid and binding obligation of such Credit Party, enforceable against each Credit Party that is party 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1" w:lineRule="exact"/>
        <w:rPr>
          <w:rFonts w:ascii="Arial" w:cs="Arial" w:eastAsia="Arial" w:hAnsi="Arial"/>
          <w:sz w:val="20"/>
          <w:szCs w:val="20"/>
          <w:color w:val="auto"/>
        </w:rPr>
      </w:pPr>
    </w:p>
    <w:p>
      <w:pPr>
        <w:jc w:val="both"/>
        <w:ind w:left="58" w:firstLine="1292"/>
        <w:spacing w:after="0" w:line="229" w:lineRule="auto"/>
        <w:tabs>
          <w:tab w:leader="none" w:pos="1882"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execution, delivery and performance by each Credit Party of this Amendment and the transactions contemplated hereby do not and will not, by the passage of time, the giving of notice or otherwise, (i) require any Governmental Approval or violate any Applicable Law relating to any Credit Party or any Subsidiary thereof where the failure to obtain such Governmental Approval or such violation could reasonably be expected to have a Material Adverse Effect, (ii) conflict with, result in a breach of or constitute a default under the articles of incorporation, bylaws or other organizational documents of any Credit Party or any Subsidiary thereof, (iii)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(iv) result in or require the creation or imposition of any Lien upon or with respect to any property now owned or hereafter acquired by such Person other than Permitted Liens or</w:t>
      </w:r>
    </w:p>
    <w:p>
      <w:pPr>
        <w:spacing w:after="0" w:line="7" w:lineRule="exact"/>
        <w:rPr>
          <w:rFonts w:ascii="Arial" w:cs="Arial" w:eastAsia="Arial" w:hAnsi="Arial"/>
          <w:sz w:val="18"/>
          <w:szCs w:val="18"/>
          <w:color w:val="auto"/>
        </w:rPr>
      </w:pPr>
    </w:p>
    <w:p>
      <w:pPr>
        <w:ind w:left="338" w:hanging="284"/>
        <w:spacing w:after="0" w:line="234" w:lineRule="auto"/>
        <w:tabs>
          <w:tab w:leader="none" w:pos="3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any consent or authorization of, filing with, or other act in respect of, an arbitrator or Governmental Authority and no consent</w:t>
      </w:r>
    </w:p>
    <w:p>
      <w:pPr>
        <w:ind w:left="58"/>
        <w:spacing w:after="0" w:line="235" w:lineRule="auto"/>
        <w:rPr>
          <w:sz w:val="20"/>
          <w:szCs w:val="20"/>
          <w:color w:val="auto"/>
        </w:rPr>
      </w:pPr>
      <w:r>
        <w:rPr>
          <w:rFonts w:ascii="Arial" w:cs="Arial" w:eastAsia="Arial" w:hAnsi="Arial"/>
          <w:sz w:val="18"/>
          <w:szCs w:val="18"/>
          <w:color w:val="auto"/>
        </w:rPr>
        <w:t>of any other Person is required in connection with the execution, delivery, performance, validity or enforceability of this Amendment other</w:t>
      </w:r>
    </w:p>
    <w:p>
      <w:pPr>
        <w:spacing w:after="0" w:line="1" w:lineRule="exact"/>
        <w:rPr>
          <w:sz w:val="20"/>
          <w:szCs w:val="20"/>
          <w:color w:val="auto"/>
        </w:rPr>
      </w:pPr>
    </w:p>
    <w:p>
      <w:pPr>
        <w:ind w:left="58"/>
        <w:spacing w:after="0" w:line="220" w:lineRule="auto"/>
        <w:rPr>
          <w:sz w:val="20"/>
          <w:szCs w:val="20"/>
          <w:color w:val="auto"/>
        </w:rPr>
      </w:pPr>
      <w:r>
        <w:rPr>
          <w:rFonts w:ascii="Arial" w:cs="Arial" w:eastAsia="Arial" w:hAnsi="Arial"/>
          <w:sz w:val="20"/>
          <w:szCs w:val="20"/>
          <w:color w:val="auto"/>
        </w:rPr>
        <w:t>than consents, authorizations, filings or other acts or consents for which the failure to obtain or make could not, individually or in the aggregate, reasonably be expected to have a Material Adverse Effect.</w:t>
      </w:r>
    </w:p>
    <w:p>
      <w:pPr>
        <w:spacing w:after="0" w:line="210" w:lineRule="exact"/>
        <w:rPr>
          <w:sz w:val="20"/>
          <w:szCs w:val="20"/>
          <w:color w:val="auto"/>
        </w:rPr>
      </w:pPr>
    </w:p>
    <w:p>
      <w:pPr>
        <w:jc w:val="both"/>
        <w:ind w:left="58" w:firstLine="1292"/>
        <w:spacing w:after="0" w:line="215" w:lineRule="auto"/>
        <w:tabs>
          <w:tab w:leader="none" w:pos="1884" w:val="left"/>
        </w:tabs>
        <w:numPr>
          <w:ilvl w:val="1"/>
          <w:numId w:val="34"/>
        </w:numPr>
        <w:rPr>
          <w:rFonts w:ascii="Arial" w:cs="Arial" w:eastAsia="Arial" w:hAnsi="Arial"/>
          <w:sz w:val="20"/>
          <w:szCs w:val="20"/>
          <w:color w:val="auto"/>
        </w:rPr>
      </w:pPr>
      <w:r>
        <w:rPr>
          <w:rFonts w:ascii="Arial" w:cs="Arial" w:eastAsia="Arial" w:hAnsi="Arial"/>
          <w:sz w:val="20"/>
          <w:szCs w:val="20"/>
          <w:color w:val="auto"/>
        </w:rPr>
        <w:t>After giving effect to this Amendment, the representations and warranties contained in each of the Loan Documents are true and correct in all material respects, except for any representation and warranty that is qualified by materiality or reference to Material Adverse Effect, which such representation and warranty are true and correct in all respects, on and as of the date hereof as though made on and as of such date (other than any such representations or warranties that, by their terms, refer to a specific date, in which case as of such specific date).</w:t>
      </w:r>
    </w:p>
    <w:p>
      <w:pPr>
        <w:spacing w:after="0" w:line="211" w:lineRule="exact"/>
        <w:rPr>
          <w:rFonts w:ascii="Arial" w:cs="Arial" w:eastAsia="Arial" w:hAnsi="Arial"/>
          <w:sz w:val="20"/>
          <w:szCs w:val="20"/>
          <w:color w:val="auto"/>
        </w:rPr>
      </w:pPr>
    </w:p>
    <w:p>
      <w:pPr>
        <w:ind w:left="1978" w:hanging="628"/>
        <w:spacing w:after="0"/>
        <w:tabs>
          <w:tab w:leader="none" w:pos="1978" w:val="left"/>
        </w:tabs>
        <w:numPr>
          <w:ilvl w:val="1"/>
          <w:numId w:val="34"/>
        </w:numPr>
        <w:rPr>
          <w:rFonts w:ascii="Arial" w:cs="Arial" w:eastAsia="Arial" w:hAnsi="Arial"/>
          <w:sz w:val="20"/>
          <w:szCs w:val="20"/>
          <w:color w:val="auto"/>
        </w:rPr>
      </w:pPr>
      <w:r>
        <w:rPr>
          <w:rFonts w:ascii="Arial" w:cs="Arial" w:eastAsia="Arial" w:hAnsi="Arial"/>
          <w:sz w:val="20"/>
          <w:szCs w:val="20"/>
          <w:color w:val="auto"/>
        </w:rPr>
        <w:t>No Default or Event of Default shall exist after giving effect to this Amendment.</w:t>
      </w:r>
    </w:p>
    <w:p>
      <w:pPr>
        <w:spacing w:after="0" w:line="215" w:lineRule="exact"/>
        <w:rPr>
          <w:rFonts w:ascii="Arial" w:cs="Arial" w:eastAsia="Arial" w:hAnsi="Arial"/>
          <w:sz w:val="20"/>
          <w:szCs w:val="20"/>
          <w:color w:val="auto"/>
        </w:rPr>
      </w:pPr>
    </w:p>
    <w:p>
      <w:pPr>
        <w:jc w:val="both"/>
        <w:ind w:left="58" w:firstLine="644"/>
        <w:spacing w:after="0" w:line="223" w:lineRule="auto"/>
        <w:tabs>
          <w:tab w:leader="none" w:pos="1246" w:val="left"/>
        </w:tabs>
        <w:numPr>
          <w:ilvl w:val="0"/>
          <w:numId w:val="35"/>
        </w:numPr>
        <w:rPr>
          <w:rFonts w:ascii="Arial" w:cs="Arial" w:eastAsia="Arial" w:hAnsi="Arial"/>
          <w:sz w:val="19"/>
          <w:szCs w:val="19"/>
          <w:color w:val="auto"/>
        </w:rPr>
      </w:pPr>
      <w:r>
        <w:rPr>
          <w:rFonts w:ascii="Arial" w:cs="Arial" w:eastAsia="Arial" w:hAnsi="Arial"/>
          <w:sz w:val="19"/>
          <w:szCs w:val="19"/>
          <w:color w:val="auto"/>
        </w:rPr>
        <w:t>Limited Effect. Except as expressly provided herein, the Credit Agreement and the other Loan Documents shall remain unmodified and in full force and effect. This Amendment shall not be deemed (a) to be a waiver of,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Credit Parties or any of their respective Subsidiaries or any other Person with respect to any other waiver, amendment, modification or any other change to the Credit Agreement or the Loan Documents or any rights or remedies arising in favor of the Lenders or the Administrative Agent, or any of them, under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18" w:hanging="218"/>
        <w:spacing w:after="0"/>
        <w:tabs>
          <w:tab w:leader="none" w:pos="218" w:val="left"/>
        </w:tabs>
        <w:numPr>
          <w:ilvl w:val="0"/>
          <w:numId w:val="36"/>
        </w:numPr>
        <w:rPr>
          <w:rFonts w:ascii="Arial" w:cs="Arial" w:eastAsia="Arial" w:hAnsi="Arial"/>
          <w:sz w:val="22"/>
          <w:szCs w:val="22"/>
          <w:color w:val="auto"/>
        </w:rPr>
      </w:pPr>
      <w:r>
        <w:rPr>
          <w:rFonts w:ascii="Arial" w:cs="Arial" w:eastAsia="Arial" w:hAnsi="Arial"/>
          <w:sz w:val="14"/>
          <w:szCs w:val="14"/>
          <w:color w:val="auto"/>
        </w:rPr>
        <w:t>165310015_4</w:t>
      </w:r>
    </w:p>
    <w:p>
      <w:pPr>
        <w:sectPr>
          <w:pgSz w:w="11900" w:h="16838" w:orient="portrait"/>
          <w:cols w:equalWidth="0" w:num="1">
            <w:col w:w="11078"/>
          </w:cols>
          <w:pgMar w:left="382" w:top="1405" w:right="439" w:bottom="1440" w:gutter="0" w:footer="0" w:header="0"/>
        </w:sectPr>
      </w:pPr>
    </w:p>
    <w:bookmarkStart w:id="53" w:name="page54"/>
    <w:bookmarkEnd w:id="53"/>
    <w:p>
      <w:pPr>
        <w:ind w:left="60"/>
        <w:spacing w:after="0"/>
        <w:rPr>
          <w:sz w:val="20"/>
          <w:szCs w:val="20"/>
          <w:color w:val="auto"/>
        </w:rPr>
      </w:pPr>
      <w:r>
        <w:rPr>
          <w:rFonts w:ascii="Arial" w:cs="Arial" w:eastAsia="Arial" w:hAnsi="Arial"/>
          <w:sz w:val="19"/>
          <w:szCs w:val="19"/>
          <w:color w:val="auto"/>
        </w:rPr>
        <w:t>or with respect to any such documents or (d) to be a waiver of, or consent to, or a modification or amendment of, any other term or</w:t>
      </w:r>
    </w:p>
    <w:p>
      <w:pPr>
        <w:jc w:val="both"/>
        <w:ind w:left="60"/>
        <w:spacing w:after="0" w:line="226" w:lineRule="auto"/>
        <w:rPr>
          <w:sz w:val="20"/>
          <w:szCs w:val="20"/>
          <w:color w:val="auto"/>
        </w:rPr>
      </w:pPr>
      <w:r>
        <w:rPr>
          <w:rFonts w:ascii="Arial" w:cs="Arial" w:eastAsia="Arial" w:hAnsi="Arial"/>
          <w:sz w:val="18"/>
          <w:szCs w:val="18"/>
          <w:color w:val="auto"/>
        </w:rPr>
        <w:t>condition of any other agreement by and among the Credit Parties, on the one hand, and the Administrative Agent or any other Lender, on the other hand. References in the Credit Agreement to “this Agreement” (and indirect references such as “hereunder”, “hereby”, “herein”,</w:t>
      </w:r>
    </w:p>
    <w:p>
      <w:pPr>
        <w:ind w:left="60"/>
        <w:spacing w:after="0" w:line="236" w:lineRule="auto"/>
        <w:rPr>
          <w:sz w:val="20"/>
          <w:szCs w:val="20"/>
          <w:color w:val="auto"/>
        </w:rPr>
      </w:pPr>
      <w:r>
        <w:rPr>
          <w:rFonts w:ascii="Arial" w:cs="Arial" w:eastAsia="Arial" w:hAnsi="Arial"/>
          <w:sz w:val="18"/>
          <w:szCs w:val="18"/>
          <w:color w:val="auto"/>
        </w:rPr>
        <w:t>“hereof” or other words of like import) and in any other Loan Document to the “Credit Agreement” shall be deemed to be references to the</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Credit Agreement as modified hereby. Without limiting the generality of the foregoing, the execution and delivery of this Amendment (including the annexes hereto) shall not constitute a novation of any indebtedness or other obligations owing to the Lenders or the</w:t>
      </w:r>
    </w:p>
    <w:p>
      <w:pPr>
        <w:spacing w:after="0" w:line="2" w:lineRule="exact"/>
        <w:rPr>
          <w:sz w:val="20"/>
          <w:szCs w:val="20"/>
          <w:color w:val="auto"/>
        </w:rPr>
      </w:pPr>
    </w:p>
    <w:p>
      <w:pPr>
        <w:ind w:left="60"/>
        <w:spacing w:after="0" w:line="227" w:lineRule="auto"/>
        <w:rPr>
          <w:sz w:val="20"/>
          <w:szCs w:val="20"/>
          <w:color w:val="auto"/>
        </w:rPr>
      </w:pPr>
      <w:r>
        <w:rPr>
          <w:rFonts w:ascii="Arial" w:cs="Arial" w:eastAsia="Arial" w:hAnsi="Arial"/>
          <w:sz w:val="20"/>
          <w:szCs w:val="20"/>
          <w:color w:val="auto"/>
        </w:rPr>
        <w:t>Administrative Agent under the Credit Agreement based on facts or events occurring or existing prior to the execution and delivery of this Amendment.</w:t>
      </w:r>
    </w:p>
    <w:p>
      <w:pPr>
        <w:spacing w:after="0" w:line="183" w:lineRule="exact"/>
        <w:rPr>
          <w:sz w:val="20"/>
          <w:szCs w:val="20"/>
          <w:color w:val="auto"/>
        </w:rPr>
      </w:pPr>
    </w:p>
    <w:p>
      <w:pPr>
        <w:jc w:val="both"/>
        <w:ind w:left="60" w:firstLine="644"/>
        <w:spacing w:after="0" w:line="211" w:lineRule="auto"/>
        <w:tabs>
          <w:tab w:leader="none" w:pos="1248" w:val="left"/>
        </w:tabs>
        <w:numPr>
          <w:ilvl w:val="1"/>
          <w:numId w:val="37"/>
        </w:numPr>
        <w:rPr>
          <w:rFonts w:ascii="Arial" w:cs="Arial" w:eastAsia="Arial" w:hAnsi="Arial"/>
          <w:sz w:val="20"/>
          <w:szCs w:val="20"/>
          <w:color w:val="auto"/>
        </w:rPr>
      </w:pPr>
      <w:r>
        <w:rPr>
          <w:rFonts w:ascii="Arial" w:cs="Arial" w:eastAsia="Arial" w:hAnsi="Arial"/>
          <w:sz w:val="20"/>
          <w:szCs w:val="20"/>
          <w:color w:val="auto"/>
        </w:rPr>
        <w:t>Reaffirmation. By its execution hereof, each Credit Party (a) consents to this Amendment and agrees that the transactions contemplated by this Amendment shall not limit or diminish the obligations of such Person, or release such Person from any obligations, under any of the Loan Documents to which it is a party, (b) confirms and reaffirms its obligations under each of the Loan Documents to which it is a party and</w:t>
      </w:r>
    </w:p>
    <w:p>
      <w:pPr>
        <w:spacing w:after="0" w:line="3" w:lineRule="exact"/>
        <w:rPr>
          <w:rFonts w:ascii="Arial" w:cs="Arial" w:eastAsia="Arial" w:hAnsi="Arial"/>
          <w:sz w:val="20"/>
          <w:szCs w:val="20"/>
          <w:color w:val="auto"/>
        </w:rPr>
      </w:pPr>
    </w:p>
    <w:p>
      <w:pPr>
        <w:ind w:left="320" w:hanging="26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agrees that each of the Loan Documents to which it is a party remain in full force and effect and are hereby ratified and confirmed.</w:t>
      </w:r>
    </w:p>
    <w:p>
      <w:pPr>
        <w:spacing w:after="0" w:line="222" w:lineRule="exact"/>
        <w:rPr>
          <w:rFonts w:ascii="Arial" w:cs="Arial" w:eastAsia="Arial" w:hAnsi="Arial"/>
          <w:sz w:val="18"/>
          <w:szCs w:val="18"/>
          <w:color w:val="auto"/>
        </w:rPr>
      </w:pPr>
    </w:p>
    <w:p>
      <w:pPr>
        <w:jc w:val="both"/>
        <w:ind w:left="60" w:firstLine="644"/>
        <w:spacing w:after="0" w:line="224" w:lineRule="auto"/>
        <w:tabs>
          <w:tab w:leader="none" w:pos="1249" w:val="left"/>
        </w:tabs>
        <w:numPr>
          <w:ilvl w:val="1"/>
          <w:numId w:val="38"/>
        </w:numPr>
        <w:rPr>
          <w:rFonts w:ascii="Arial" w:cs="Arial" w:eastAsia="Arial" w:hAnsi="Arial"/>
          <w:sz w:val="19"/>
          <w:szCs w:val="19"/>
          <w:color w:val="auto"/>
        </w:rPr>
      </w:pPr>
      <w:r>
        <w:rPr>
          <w:rFonts w:ascii="Arial" w:cs="Arial" w:eastAsia="Arial" w:hAnsi="Arial"/>
          <w:sz w:val="19"/>
          <w:szCs w:val="19"/>
          <w:color w:val="auto"/>
        </w:rPr>
        <w:t>Execution in Counterparts.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Arial" w:cs="Arial" w:eastAsia="Arial" w:hAnsi="Arial"/>
          <w:sz w:val="19"/>
          <w:szCs w:val="19"/>
          <w:i w:val="1"/>
          <w:iCs w:val="1"/>
          <w:color w:val="auto"/>
        </w:rPr>
        <w:t>i.e.</w:t>
      </w:r>
      <w:r>
        <w:rPr>
          <w:rFonts w:ascii="Arial" w:cs="Arial" w:eastAsia="Arial" w:hAnsi="Arial"/>
          <w:sz w:val="19"/>
          <w:szCs w:val="19"/>
          <w:color w:val="auto"/>
        </w:rPr>
        <w:t>, “pdf” or “tif”) format shall be effective as delivery of a manually executed counterpart of this Amendment. The execution and delivery of this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upon the request of any party hereto, such Electronic Signature shall be promptly followed by the original thereof</w:t>
      </w:r>
    </w:p>
    <w:p>
      <w:pPr>
        <w:spacing w:after="0" w:line="189" w:lineRule="exact"/>
        <w:rPr>
          <w:rFonts w:ascii="Arial" w:cs="Arial" w:eastAsia="Arial" w:hAnsi="Arial"/>
          <w:sz w:val="19"/>
          <w:szCs w:val="19"/>
          <w:color w:val="auto"/>
        </w:rPr>
      </w:pPr>
    </w:p>
    <w:p>
      <w:pPr>
        <w:jc w:val="both"/>
        <w:ind w:left="60" w:firstLine="644"/>
        <w:spacing w:after="0" w:line="220" w:lineRule="auto"/>
        <w:tabs>
          <w:tab w:leader="none" w:pos="1248" w:val="left"/>
        </w:tabs>
        <w:numPr>
          <w:ilvl w:val="1"/>
          <w:numId w:val="38"/>
        </w:numPr>
        <w:rPr>
          <w:rFonts w:ascii="Arial" w:cs="Arial" w:eastAsia="Arial" w:hAnsi="Arial"/>
          <w:sz w:val="20"/>
          <w:szCs w:val="20"/>
          <w:color w:val="auto"/>
        </w:rPr>
      </w:pPr>
      <w:r>
        <w:rPr>
          <w:rFonts w:ascii="Arial" w:cs="Arial" w:eastAsia="Arial" w:hAnsi="Arial"/>
          <w:sz w:val="20"/>
          <w:szCs w:val="20"/>
          <w:color w:val="auto"/>
        </w:rPr>
        <w:t>Governing Law. 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209" w:lineRule="exact"/>
        <w:rPr>
          <w:rFonts w:ascii="Arial" w:cs="Arial" w:eastAsia="Arial" w:hAnsi="Arial"/>
          <w:sz w:val="20"/>
          <w:szCs w:val="20"/>
          <w:color w:val="auto"/>
        </w:rPr>
      </w:pPr>
    </w:p>
    <w:p>
      <w:pPr>
        <w:jc w:val="both"/>
        <w:ind w:left="60" w:firstLine="644"/>
        <w:spacing w:after="0" w:line="298" w:lineRule="auto"/>
        <w:tabs>
          <w:tab w:leader="none" w:pos="12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Entire Agreement. This Amendment and the other Loan Documents, and any separate letter agreements with respect to fees payable to the Administrative Agent and/or the Lead Arrangers, constitute the entire agreement among the parties relating to the subject matter hereof and supersede any and all previous agreements and understandings, oral or written, relating to the subject matter hereof.</w:t>
      </w:r>
    </w:p>
    <w:p>
      <w:pPr>
        <w:spacing w:after="0" w:line="151" w:lineRule="exact"/>
        <w:rPr>
          <w:rFonts w:ascii="Arial" w:cs="Arial" w:eastAsia="Arial" w:hAnsi="Arial"/>
          <w:sz w:val="16"/>
          <w:szCs w:val="16"/>
          <w:color w:val="auto"/>
        </w:rPr>
      </w:pPr>
    </w:p>
    <w:p>
      <w:pPr>
        <w:ind w:left="60" w:firstLine="643"/>
        <w:spacing w:after="0" w:line="236" w:lineRule="auto"/>
        <w:tabs>
          <w:tab w:leader="none" w:pos="1230" w:val="left"/>
        </w:tabs>
        <w:numPr>
          <w:ilvl w:val="1"/>
          <w:numId w:val="38"/>
        </w:numPr>
        <w:rPr>
          <w:rFonts w:ascii="Arial" w:cs="Arial" w:eastAsia="Arial" w:hAnsi="Arial"/>
          <w:sz w:val="20"/>
          <w:szCs w:val="20"/>
          <w:color w:val="auto"/>
        </w:rPr>
      </w:pPr>
      <w:r>
        <w:rPr>
          <w:rFonts w:ascii="Arial" w:cs="Arial" w:eastAsia="Arial" w:hAnsi="Arial"/>
          <w:sz w:val="20"/>
          <w:szCs w:val="20"/>
          <w:color w:val="auto"/>
        </w:rPr>
        <w:t>Successors and Assigns. This Amendment shall be binding on and inure to the benefit of the parties and their heirs, beneficiaries, successors and permitted assigns.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 </w:t>
      </w:r>
      <w:r>
        <w:rPr>
          <w:rFonts w:ascii="Arial" w:cs="Arial" w:eastAsia="Arial" w:hAnsi="Arial"/>
          <w:sz w:val="14"/>
          <w:szCs w:val="14"/>
          <w:color w:val="auto"/>
        </w:rPr>
        <w:t>165310015_4</w:t>
      </w:r>
    </w:p>
    <w:p>
      <w:pPr>
        <w:sectPr>
          <w:pgSz w:w="11900" w:h="16838" w:orient="portrait"/>
          <w:cols w:equalWidth="0" w:num="1">
            <w:col w:w="11080"/>
          </w:cols>
          <w:pgMar w:left="380" w:top="1405" w:right="439" w:bottom="1440" w:gutter="0" w:footer="0" w:header="0"/>
        </w:sectPr>
      </w:pPr>
    </w:p>
    <w:bookmarkStart w:id="54" w:name="page55"/>
    <w:bookmarkEnd w:id="54"/>
    <w:p>
      <w:pPr>
        <w:spacing w:after="0" w:line="33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IN WITNESS WHEREOF, the parties hereto have caused this Amendment to be executed under seal by their duly authorized officers, all as of the day and year first written above.</w:t>
      </w:r>
    </w:p>
    <w:p>
      <w:pPr>
        <w:spacing w:after="0" w:line="200" w:lineRule="exact"/>
        <w:rPr>
          <w:sz w:val="20"/>
          <w:szCs w:val="20"/>
          <w:color w:val="auto"/>
        </w:rPr>
      </w:pP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BORROWERS:</w:t>
      </w:r>
    </w:p>
    <w:p>
      <w:pPr>
        <w:spacing w:after="0" w:line="200" w:lineRule="exact"/>
        <w:rPr>
          <w:sz w:val="20"/>
          <w:szCs w:val="20"/>
          <w:color w:val="auto"/>
        </w:rPr>
      </w:pPr>
    </w:p>
    <w:p>
      <w:pPr>
        <w:spacing w:after="0" w:line="27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CENTURI GROUP, INC.</w:t>
      </w:r>
    </w:p>
    <w:p>
      <w:pPr>
        <w:spacing w:after="0" w:line="20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/s/ Kevin L. Neill Name: Kevin L. Neill</w:t>
      </w:r>
    </w:p>
    <w:p>
      <w:pPr>
        <w:ind w:left="3880"/>
        <w:spacing w:after="0"/>
        <w:rPr>
          <w:sz w:val="20"/>
          <w:szCs w:val="20"/>
          <w:color w:val="auto"/>
        </w:rPr>
      </w:pPr>
      <w:r>
        <w:rPr>
          <w:rFonts w:ascii="Arial" w:cs="Arial" w:eastAsia="Arial" w:hAnsi="Arial"/>
          <w:sz w:val="20"/>
          <w:szCs w:val="20"/>
          <w:color w:val="auto"/>
        </w:rPr>
        <w:t>Title: Executive Vice President/Asst. Chief Financial Officer and Treasurer</w:t>
      </w:r>
    </w:p>
    <w:p>
      <w:pPr>
        <w:spacing w:after="0" w:line="200" w:lineRule="exact"/>
        <w:rPr>
          <w:sz w:val="20"/>
          <w:szCs w:val="20"/>
          <w:color w:val="auto"/>
        </w:rPr>
      </w:pPr>
    </w:p>
    <w:p>
      <w:pPr>
        <w:spacing w:after="0" w:line="24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CENTURI CANADA DIVISION INC.</w:t>
      </w:r>
    </w:p>
    <w:p>
      <w:pPr>
        <w:spacing w:after="0" w:line="19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/s/ Kevin L. Neill Name: Kevin L. Neill Title:</w:t>
      </w:r>
    </w:p>
    <w:p>
      <w:pPr>
        <w:ind w:left="388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800"/>
        <w:spacing w:after="0"/>
        <w:rPr>
          <w:sz w:val="20"/>
          <w:szCs w:val="20"/>
          <w:color w:val="auto"/>
        </w:rPr>
      </w:pPr>
      <w:r>
        <w:rPr>
          <w:rFonts w:ascii="Arial" w:cs="Arial" w:eastAsia="Arial" w:hAnsi="Arial"/>
          <w:sz w:val="16"/>
          <w:szCs w:val="16"/>
          <w:color w:val="auto"/>
        </w:rPr>
        <w:t>Centuri Group, Inc.</w:t>
      </w:r>
    </w:p>
    <w:p>
      <w:pPr>
        <w:spacing w:after="0" w:line="6" w:lineRule="exact"/>
        <w:rPr>
          <w:sz w:val="20"/>
          <w:szCs w:val="20"/>
          <w:color w:val="auto"/>
        </w:rPr>
      </w:pPr>
    </w:p>
    <w:p>
      <w:pPr>
        <w:jc w:val="center"/>
        <w:ind w:right="4800"/>
        <w:spacing w:after="0"/>
        <w:rPr>
          <w:sz w:val="20"/>
          <w:szCs w:val="20"/>
          <w:color w:val="auto"/>
        </w:rPr>
      </w:pPr>
      <w:r>
        <w:rPr>
          <w:rFonts w:ascii="Arial" w:cs="Arial" w:eastAsia="Arial" w:hAnsi="Arial"/>
          <w:sz w:val="15"/>
          <w:szCs w:val="15"/>
          <w:color w:val="auto"/>
        </w:rPr>
        <w:t>First Amendment to Second Amended and Restated Credit Agreement Signature Page</w:t>
      </w:r>
    </w:p>
    <w:p>
      <w:pPr>
        <w:sectPr>
          <w:pgSz w:w="11900" w:h="16838" w:orient="portrait"/>
          <w:cols w:equalWidth="0" w:num="1">
            <w:col w:w="10580"/>
          </w:cols>
          <w:pgMar w:left="440" w:top="1440" w:right="879" w:bottom="1440" w:gutter="0" w:footer="0" w:header="0"/>
        </w:sectPr>
      </w:pPr>
    </w:p>
    <w:bookmarkStart w:id="55" w:name="page56"/>
    <w:bookmarkEnd w:id="55"/>
    <w:p>
      <w:pPr>
        <w:ind w:left="4440"/>
        <w:spacing w:after="0"/>
        <w:rPr>
          <w:sz w:val="20"/>
          <w:szCs w:val="20"/>
          <w:color w:val="auto"/>
        </w:rPr>
      </w:pPr>
      <w:r>
        <w:rPr>
          <w:rFonts w:ascii="Arial" w:cs="Arial" w:eastAsia="Arial" w:hAnsi="Arial"/>
          <w:sz w:val="20"/>
          <w:szCs w:val="20"/>
          <w:color w:val="auto"/>
        </w:rPr>
        <w:t>GUARANTORS:</w:t>
      </w:r>
    </w:p>
    <w:p>
      <w:pPr>
        <w:spacing w:after="0" w:line="283"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CANYON PIPELINE CONSTRUCTION, INC.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CANYON SPECIAL PROJECTS LLC</w:t>
      </w:r>
    </w:p>
    <w:p>
      <w:pPr>
        <w:spacing w:after="0" w:line="191"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Gregory A. Izenstark Name: Gregory A. Izenstark Title:</w:t>
      </w:r>
    </w:p>
    <w:p>
      <w:pPr>
        <w:ind w:left="3160"/>
        <w:spacing w:after="0"/>
        <w:rPr>
          <w:sz w:val="20"/>
          <w:szCs w:val="20"/>
          <w:color w:val="auto"/>
        </w:rPr>
      </w:pPr>
      <w:r>
        <w:rPr>
          <w:rFonts w:ascii="Arial" w:cs="Arial" w:eastAsia="Arial" w:hAnsi="Arial"/>
          <w:sz w:val="20"/>
          <w:szCs w:val="20"/>
          <w:color w:val="auto"/>
        </w:rPr>
        <w:t>Treasurer</w:t>
      </w:r>
    </w:p>
    <w:p>
      <w:pPr>
        <w:spacing w:after="0" w:line="213"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CANYON TRAFFIC CONTROL LLC</w:t>
      </w:r>
    </w:p>
    <w:p>
      <w:pPr>
        <w:spacing w:after="0" w:line="202"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CENTURI OIL &amp; GAS GROUP LLC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202"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CENTURI POWER GROUP LLC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CENTURI SERVICES GROUP LLC</w:t>
      </w:r>
    </w:p>
    <w:p>
      <w:pPr>
        <w:spacing w:after="0" w:line="202"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CENTURI U.S. DIVISION, INC.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ELECTRIC T&amp;D DIVISION LLC</w:t>
      </w:r>
    </w:p>
    <w:p>
      <w:pPr>
        <w:spacing w:after="0" w:line="204"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ind w:left="3160"/>
        <w:spacing w:after="0"/>
        <w:rPr>
          <w:sz w:val="20"/>
          <w:szCs w:val="20"/>
          <w:color w:val="auto"/>
        </w:rPr>
      </w:pPr>
      <w:r>
        <w:rPr>
          <w:rFonts w:ascii="Arial" w:cs="Arial" w:eastAsia="Arial" w:hAnsi="Arial"/>
          <w:sz w:val="20"/>
          <w:szCs w:val="20"/>
          <w:color w:val="auto"/>
        </w:rPr>
        <w:t>ELECTRIC T&amp;D HOLDINGS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05" w:right="1440" w:bottom="1440" w:gutter="0" w:footer="0" w:header="0"/>
        </w:sectPr>
      </w:pPr>
    </w:p>
    <w:bookmarkStart w:id="56" w:name="page57"/>
    <w:bookmarkEnd w:id="56"/>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INTELLICHOICE ENERGY, LLC</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By: /s/ Gregory A. Izenstark Name: Gregory A. Izenstark Title:</w:t>
      </w:r>
    </w:p>
    <w:p>
      <w:pPr>
        <w:ind w:left="322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INTELLICHOICE ENERGY OF CALIFORNIA, LLC</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By: /s/ Gregory A. Izenstark Name: Gregory A. Izenstark Title:</w:t>
      </w:r>
    </w:p>
    <w:p>
      <w:pPr>
        <w:ind w:left="322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LINETEC SERVICES, LLC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MERITUS ELECTRIC T&amp;D DIVISION LLC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MERITUS OIL &amp; GAS DIVISION LLC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MERITUS SERVICES DIVISION LLC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NATIONAL BARRICADE LLC</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139"/>
        <w:spacing w:after="0"/>
        <w:rPr>
          <w:sz w:val="20"/>
          <w:szCs w:val="20"/>
          <w:color w:val="auto"/>
        </w:rPr>
      </w:pPr>
      <w:r>
        <w:rPr>
          <w:rFonts w:ascii="Arial" w:cs="Arial" w:eastAsia="Arial" w:hAnsi="Arial"/>
          <w:sz w:val="16"/>
          <w:szCs w:val="16"/>
          <w:color w:val="auto"/>
        </w:rPr>
        <w:t>Centuri Group, Inc.</w:t>
      </w:r>
    </w:p>
    <w:p>
      <w:pPr>
        <w:spacing w:after="0" w:line="6" w:lineRule="exact"/>
        <w:rPr>
          <w:sz w:val="20"/>
          <w:szCs w:val="20"/>
          <w:color w:val="auto"/>
        </w:rPr>
      </w:pPr>
    </w:p>
    <w:p>
      <w:pPr>
        <w:jc w:val="center"/>
        <w:ind w:right="413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719"/>
          </w:cols>
          <w:pgMar w:left="740" w:top="1405" w:right="1440" w:bottom="1440" w:gutter="0" w:footer="0" w:header="0"/>
        </w:sectPr>
      </w:pPr>
    </w:p>
    <w:bookmarkStart w:id="57" w:name="page58"/>
    <w:bookmarkEnd w:id="57"/>
    <w:p>
      <w:pPr>
        <w:ind w:left="3220"/>
        <w:spacing w:after="0"/>
        <w:rPr>
          <w:sz w:val="20"/>
          <w:szCs w:val="20"/>
          <w:color w:val="auto"/>
        </w:rPr>
      </w:pPr>
      <w:r>
        <w:rPr>
          <w:rFonts w:ascii="Arial" w:cs="Arial" w:eastAsia="Arial" w:hAnsi="Arial"/>
          <w:sz w:val="20"/>
          <w:szCs w:val="20"/>
          <w:color w:val="auto"/>
        </w:rPr>
        <w:t>NATIONAL POWERLINE LLC</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NEUCO EQUIPMENT LLC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By: /s/ Gregory A. Izenstark Name: Gregory A. Izenstark Title:</w:t>
      </w:r>
    </w:p>
    <w:p>
      <w:pPr>
        <w:ind w:left="322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NEW ENGLAND UTILITY CONSTRUCTORS, INC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NPL CONSTRUCTION CO.</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NPL EAST LLC</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NPL GREAT LAKES LLC</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NPL MID-AMERICA LLC</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NPL WEST LLC</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/s/ Kevin L. Neill Name: Kevin L. Neill Title: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3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13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719"/>
          </w:cols>
          <w:pgMar w:left="740" w:top="1405" w:right="1440" w:bottom="1440" w:gutter="0" w:footer="0" w:header="0"/>
        </w:sectPr>
      </w:pPr>
    </w:p>
    <w:bookmarkStart w:id="58" w:name="page59"/>
    <w:bookmarkEnd w:id="58"/>
    <w:p>
      <w:pPr>
        <w:spacing w:after="0" w:line="330"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OIL &amp; GAS DIVISION LLC</w:t>
      </w:r>
    </w:p>
    <w:p>
      <w:pPr>
        <w:spacing w:after="0" w:line="216" w:lineRule="exact"/>
        <w:rPr>
          <w:sz w:val="20"/>
          <w:szCs w:val="20"/>
          <w:color w:val="auto"/>
        </w:rPr>
      </w:pPr>
    </w:p>
    <w:p>
      <w:pPr>
        <w:jc w:val="right"/>
        <w:ind w:right="1719"/>
        <w:spacing w:after="0"/>
        <w:rPr>
          <w:sz w:val="20"/>
          <w:szCs w:val="20"/>
          <w:color w:val="auto"/>
        </w:rPr>
      </w:pPr>
      <w:r>
        <w:rPr>
          <w:rFonts w:ascii="Arial" w:cs="Arial" w:eastAsia="Arial" w:hAnsi="Arial"/>
          <w:sz w:val="20"/>
          <w:szCs w:val="20"/>
          <w:color w:val="auto"/>
        </w:rPr>
        <w:t>By: /s/ Kevin L. Neill Name: Kevin L. Neill Title: Treasurer</w:t>
      </w:r>
    </w:p>
    <w:p>
      <w:pPr>
        <w:spacing w:after="0" w:line="200" w:lineRule="exact"/>
        <w:rPr>
          <w:sz w:val="20"/>
          <w:szCs w:val="20"/>
          <w:color w:val="auto"/>
        </w:rPr>
      </w:pPr>
    </w:p>
    <w:p>
      <w:pPr>
        <w:spacing w:after="0" w:line="272"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SERVICES DIVISION LLC</w:t>
      </w:r>
    </w:p>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 /s/ Kevin L. Neill Name: Kevin L. Neill Title: Treasurer</w:t>
      </w:r>
    </w:p>
    <w:p>
      <w:pPr>
        <w:spacing w:after="0" w:line="252"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SOUTHWEST ADMINISTRATORS, INC.</w:t>
      </w:r>
    </w:p>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 /s/ Kevin L. Neill Name: Kevin L. Neill Title: Treasurer</w:t>
      </w:r>
    </w:p>
    <w:p>
      <w:pPr>
        <w:spacing w:after="0" w:line="239"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DRUM PARENT LLC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 /s/ Kevin L. Neill Name: Kevin L. Neill Title: Treasurer</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NAPEC INC.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/s/ Kevin L. Neill Name: Kevin L. Neill Title: Assistant</w:t>
      </w:r>
    </w:p>
    <w:p>
      <w:pPr>
        <w:ind w:left="3160"/>
        <w:spacing w:after="0"/>
        <w:rPr>
          <w:sz w:val="20"/>
          <w:szCs w:val="20"/>
          <w:color w:val="auto"/>
        </w:rPr>
      </w:pPr>
      <w:r>
        <w:rPr>
          <w:rFonts w:ascii="Arial" w:cs="Arial" w:eastAsia="Arial" w:hAnsi="Arial"/>
          <w:sz w:val="20"/>
          <w:szCs w:val="20"/>
          <w:color w:val="auto"/>
        </w:rPr>
        <w:t>Treasurer</w:t>
      </w:r>
    </w:p>
    <w:p>
      <w:pPr>
        <w:spacing w:after="0" w:line="18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CVTECH HOLDING INC.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/s/ Kevin L. Neill Name: Kevin L. Neill Title: Assistant</w:t>
      </w:r>
    </w:p>
    <w:p>
      <w:pPr>
        <w:ind w:left="3160"/>
        <w:spacing w:after="0"/>
        <w:rPr>
          <w:sz w:val="20"/>
          <w:szCs w:val="20"/>
          <w:color w:val="auto"/>
        </w:rPr>
      </w:pPr>
      <w:r>
        <w:rPr>
          <w:rFonts w:ascii="Arial" w:cs="Arial" w:eastAsia="Arial" w:hAnsi="Arial"/>
          <w:sz w:val="20"/>
          <w:szCs w:val="20"/>
          <w:color w:val="auto"/>
        </w:rPr>
        <w:t>Treasurer</w:t>
      </w:r>
    </w:p>
    <w:p>
      <w:pPr>
        <w:spacing w:after="0" w:line="18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RIGGS DISTLER &amp; COMPANY, INC.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/s/ Kevin L. Neill Name: Kevin L. Neill Title: Assistant</w:t>
      </w:r>
    </w:p>
    <w:p>
      <w:pPr>
        <w:ind w:left="31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SHELBY MECHANICAL LLC</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/s/ Kevin L. Neill Name: Kevin L. Neill Title: Assistant</w:t>
      </w:r>
    </w:p>
    <w:p>
      <w:pPr>
        <w:ind w:left="31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59" w:name="page60"/>
    <w:bookmarkEnd w:id="59"/>
    <w:p>
      <w:pPr>
        <w:spacing w:after="0" w:line="200" w:lineRule="exact"/>
        <w:rPr>
          <w:sz w:val="20"/>
          <w:szCs w:val="20"/>
          <w:color w:val="auto"/>
        </w:rPr>
      </w:pPr>
    </w:p>
    <w:p>
      <w:pPr>
        <w:spacing w:after="0" w:line="373"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SHELBY PLUMBING, LLC</w:t>
      </w:r>
    </w:p>
    <w:p>
      <w:pPr>
        <w:spacing w:after="0" w:line="204"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Assistant</w:t>
      </w:r>
    </w:p>
    <w:p>
      <w:pPr>
        <w:ind w:left="31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NPL CANADA LTD</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 /s/ Kevin L. Neill Name: Kevin L. Neill Title: Treasurer</w:t>
      </w:r>
    </w:p>
    <w:p>
      <w:pPr>
        <w:spacing w:after="0" w:line="135" w:lineRule="exact"/>
        <w:rPr>
          <w:sz w:val="20"/>
          <w:szCs w:val="20"/>
          <w:color w:val="auto"/>
        </w:rPr>
      </w:pPr>
    </w:p>
    <w:p>
      <w:pPr>
        <w:jc w:val="right"/>
        <w:ind w:right="1299"/>
        <w:spacing w:after="0"/>
        <w:rPr>
          <w:sz w:val="20"/>
          <w:szCs w:val="20"/>
          <w:color w:val="auto"/>
        </w:rPr>
      </w:pPr>
      <w:r>
        <w:rPr>
          <w:rFonts w:ascii="Arial" w:cs="Arial" w:eastAsia="Arial" w:hAnsi="Arial"/>
          <w:sz w:val="20"/>
          <w:szCs w:val="20"/>
          <w:color w:val="auto"/>
        </w:rPr>
        <w:t>W.S. NICHOLLS CONSTRUCTION INC. By: /s/ Kevin L. Neill</w:t>
      </w:r>
    </w:p>
    <w:p>
      <w:pPr>
        <w:spacing w:after="0" w:line="69"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Name: Kevin L. Neill</w:t>
      </w:r>
    </w:p>
    <w:p>
      <w:pPr>
        <w:ind w:left="45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6"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60" w:name="page61"/>
    <w:bookmarkEnd w:id="60"/>
    <w:p>
      <w:pPr>
        <w:ind w:left="3300"/>
        <w:spacing w:after="0"/>
        <w:rPr>
          <w:sz w:val="20"/>
          <w:szCs w:val="20"/>
          <w:color w:val="auto"/>
        </w:rPr>
      </w:pPr>
      <w:r>
        <w:rPr>
          <w:rFonts w:ascii="Arial" w:cs="Arial" w:eastAsia="Arial" w:hAnsi="Arial"/>
          <w:sz w:val="20"/>
          <w:szCs w:val="20"/>
          <w:color w:val="auto"/>
        </w:rPr>
        <w:t>ADMINISTRATIVE AGENT AND LENDERS:</w:t>
      </w:r>
    </w:p>
    <w:p>
      <w:pPr>
        <w:spacing w:after="0" w:line="283"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WELLS FARGO BANK, NATIONAL ASSOCIATION,</w:t>
      </w:r>
    </w:p>
    <w:p>
      <w:pPr>
        <w:ind w:left="3300"/>
        <w:spacing w:after="0"/>
        <w:rPr>
          <w:sz w:val="20"/>
          <w:szCs w:val="20"/>
          <w:color w:val="auto"/>
        </w:rPr>
      </w:pPr>
      <w:r>
        <w:rPr>
          <w:rFonts w:ascii="Arial" w:cs="Arial" w:eastAsia="Arial" w:hAnsi="Arial"/>
          <w:sz w:val="19"/>
          <w:szCs w:val="19"/>
          <w:color w:val="auto"/>
        </w:rPr>
        <w:t>as Administrative Agent, Lender and Issuing Lender</w:t>
      </w:r>
    </w:p>
    <w:p>
      <w:pPr>
        <w:spacing w:after="0" w:line="200" w:lineRule="exact"/>
        <w:rPr>
          <w:sz w:val="20"/>
          <w:szCs w:val="20"/>
          <w:color w:val="auto"/>
        </w:rPr>
      </w:pPr>
    </w:p>
    <w:p>
      <w:pPr>
        <w:spacing w:after="0" w:line="243"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By: /s/ John Hancey Name: John Hancey</w:t>
      </w:r>
    </w:p>
    <w:p>
      <w:pPr>
        <w:ind w:left="33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19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19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799"/>
          </w:cols>
          <w:pgMar w:left="660" w:top="1405" w:right="1440"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20"/>
          <w:szCs w:val="20"/>
          <w:color w:val="auto"/>
        </w:rPr>
        <w:t>BANK OF AMERICA, N.A., as Lender</w:t>
      </w:r>
    </w:p>
    <w:p>
      <w:pPr>
        <w:spacing w:after="0" w:line="200" w:lineRule="exact"/>
        <w:rPr>
          <w:sz w:val="20"/>
          <w:szCs w:val="20"/>
          <w:color w:val="auto"/>
        </w:rPr>
      </w:pPr>
    </w:p>
    <w:p>
      <w:pPr>
        <w:spacing w:after="0" w:line="247"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Brendan Kelly Name: Brendan Kelly Title: Vice</w:t>
      </w:r>
    </w:p>
    <w:p>
      <w:pPr>
        <w:ind w:left="316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05" w:right="1440" w:bottom="1440" w:gutter="0" w:footer="0" w:header="0"/>
        </w:sectPr>
      </w:pPr>
    </w:p>
    <w:bookmarkStart w:id="62" w:name="page63"/>
    <w:bookmarkEnd w:id="62"/>
    <w:p>
      <w:pPr>
        <w:ind w:left="3240"/>
        <w:spacing w:after="0"/>
        <w:rPr>
          <w:sz w:val="20"/>
          <w:szCs w:val="20"/>
          <w:color w:val="auto"/>
        </w:rPr>
      </w:pPr>
      <w:r>
        <w:rPr>
          <w:rFonts w:ascii="Arial" w:cs="Arial" w:eastAsia="Arial" w:hAnsi="Arial"/>
          <w:sz w:val="20"/>
          <w:szCs w:val="20"/>
          <w:color w:val="auto"/>
        </w:rPr>
        <w:t>CANADIAN IMPERIAL BANK OF COMMERCE, as</w:t>
      </w:r>
    </w:p>
    <w:p>
      <w:pPr>
        <w:ind w:left="3240"/>
        <w:spacing w:after="0"/>
        <w:rPr>
          <w:sz w:val="20"/>
          <w:szCs w:val="20"/>
          <w:color w:val="auto"/>
        </w:rPr>
      </w:pPr>
      <w:r>
        <w:rPr>
          <w:rFonts w:ascii="Arial" w:cs="Arial" w:eastAsia="Arial" w:hAnsi="Arial"/>
          <w:sz w:val="20"/>
          <w:szCs w:val="20"/>
          <w:color w:val="auto"/>
        </w:rPr>
        <w:t>Lender and Issuing Lender</w:t>
      </w:r>
    </w:p>
    <w:p>
      <w:pPr>
        <w:spacing w:after="0" w:line="200" w:lineRule="exact"/>
        <w:rPr>
          <w:sz w:val="20"/>
          <w:szCs w:val="20"/>
          <w:color w:val="auto"/>
        </w:rPr>
      </w:pPr>
    </w:p>
    <w:p>
      <w:pPr>
        <w:spacing w:after="0" w:line="243" w:lineRule="exact"/>
        <w:rPr>
          <w:sz w:val="20"/>
          <w:szCs w:val="20"/>
          <w:color w:val="auto"/>
        </w:rPr>
      </w:pPr>
    </w:p>
    <w:p>
      <w:pPr>
        <w:ind w:left="3240" w:right="1139"/>
        <w:spacing w:after="0" w:line="236" w:lineRule="auto"/>
        <w:rPr>
          <w:sz w:val="20"/>
          <w:szCs w:val="20"/>
          <w:color w:val="auto"/>
        </w:rPr>
      </w:pPr>
      <w:r>
        <w:rPr>
          <w:rFonts w:ascii="Arial" w:cs="Arial" w:eastAsia="Arial" w:hAnsi="Arial"/>
          <w:sz w:val="20"/>
          <w:szCs w:val="20"/>
          <w:color w:val="auto"/>
        </w:rPr>
        <w:t>By: /s/ Josh Spagnoletti Name: Josh Spagnoletti Title: Authorized Signatory</w:t>
      </w:r>
    </w:p>
    <w:p>
      <w:pPr>
        <w:spacing w:after="0" w:line="200" w:lineRule="exact"/>
        <w:rPr>
          <w:sz w:val="20"/>
          <w:szCs w:val="20"/>
          <w:color w:val="auto"/>
        </w:rPr>
      </w:pPr>
    </w:p>
    <w:p>
      <w:pPr>
        <w:spacing w:after="0" w:line="227"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Cameron Scott Name: Cameron Scott</w:t>
      </w:r>
    </w:p>
    <w:p>
      <w:pPr>
        <w:ind w:left="32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15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15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739"/>
          </w:cols>
          <w:pgMar w:left="720" w:top="1394" w:right="1440" w:bottom="1440" w:gutter="0" w:footer="0" w:header="0"/>
        </w:sectPr>
      </w:pPr>
    </w:p>
    <w:bookmarkStart w:id="63" w:name="page64"/>
    <w:bookmarkEnd w:id="63"/>
    <w:p>
      <w:pPr>
        <w:ind w:left="3160"/>
        <w:spacing w:after="0"/>
        <w:rPr>
          <w:sz w:val="20"/>
          <w:szCs w:val="20"/>
          <w:color w:val="auto"/>
        </w:rPr>
      </w:pPr>
      <w:r>
        <w:rPr>
          <w:rFonts w:ascii="Arial" w:cs="Arial" w:eastAsia="Arial" w:hAnsi="Arial"/>
          <w:sz w:val="20"/>
          <w:szCs w:val="20"/>
          <w:color w:val="auto"/>
        </w:rPr>
        <w:t>PNC BANK, NATIONAL ASSOCIATION, as Lender</w:t>
      </w:r>
    </w:p>
    <w:p>
      <w:pPr>
        <w:spacing w:after="0" w:line="200" w:lineRule="exact"/>
        <w:rPr>
          <w:sz w:val="20"/>
          <w:szCs w:val="20"/>
          <w:color w:val="auto"/>
        </w:rPr>
      </w:pPr>
    </w:p>
    <w:p>
      <w:pPr>
        <w:spacing w:after="0" w:line="247"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Ben Snodgrass Name: Ben Snodgrass Title: Vice</w:t>
      </w:r>
    </w:p>
    <w:p>
      <w:pPr>
        <w:ind w:left="316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05" w:right="1440" w:bottom="1440" w:gutter="0" w:footer="0" w:header="0"/>
        </w:sectPr>
      </w:pPr>
    </w:p>
    <w:bookmarkStart w:id="64" w:name="page65"/>
    <w:bookmarkEnd w:id="64"/>
    <w:p>
      <w:pPr>
        <w:spacing w:after="0" w:line="209"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TRUIST BANK, as Lender</w:t>
      </w:r>
    </w:p>
    <w:p>
      <w:pPr>
        <w:spacing w:after="0" w:line="200" w:lineRule="exact"/>
        <w:rPr>
          <w:sz w:val="20"/>
          <w:szCs w:val="20"/>
          <w:color w:val="auto"/>
        </w:rPr>
      </w:pPr>
    </w:p>
    <w:p>
      <w:pPr>
        <w:spacing w:after="0" w:line="247"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P. Rutkowski Name: William P. Rutkowski Title:</w:t>
      </w:r>
    </w:p>
    <w:p>
      <w:pPr>
        <w:ind w:left="316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65" w:name="page66"/>
    <w:bookmarkEnd w:id="65"/>
    <w:p>
      <w:pPr>
        <w:spacing w:after="0" w:line="209"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U.S. BANK NATIONAL ASSOCIATION, as Lender</w:t>
      </w:r>
    </w:p>
    <w:p>
      <w:pPr>
        <w:spacing w:after="0" w:line="200" w:lineRule="exact"/>
        <w:rPr>
          <w:sz w:val="20"/>
          <w:szCs w:val="20"/>
          <w:color w:val="auto"/>
        </w:rPr>
      </w:pPr>
    </w:p>
    <w:p>
      <w:pPr>
        <w:spacing w:after="0" w:line="259" w:lineRule="exact"/>
        <w:rPr>
          <w:sz w:val="20"/>
          <w:szCs w:val="20"/>
          <w:color w:val="auto"/>
        </w:rPr>
      </w:pPr>
    </w:p>
    <w:p>
      <w:pPr>
        <w:ind w:left="3160" w:right="879"/>
        <w:spacing w:after="0" w:line="236" w:lineRule="auto"/>
        <w:rPr>
          <w:sz w:val="20"/>
          <w:szCs w:val="20"/>
          <w:color w:val="auto"/>
        </w:rPr>
      </w:pPr>
      <w:r>
        <w:rPr>
          <w:rFonts w:ascii="Arial" w:cs="Arial" w:eastAsia="Arial" w:hAnsi="Arial"/>
          <w:sz w:val="20"/>
          <w:szCs w:val="20"/>
          <w:color w:val="auto"/>
        </w:rPr>
        <w:t>By: /s/ John M. Eyerman Name: John M. Eyerman 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66" w:name="page67"/>
    <w:bookmarkEnd w:id="66"/>
    <w:p>
      <w:pPr>
        <w:spacing w:after="0" w:line="209"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BANK OF MONTREAL, as Lender</w:t>
      </w:r>
    </w:p>
    <w:p>
      <w:pPr>
        <w:spacing w:after="0" w:line="200" w:lineRule="exact"/>
        <w:rPr>
          <w:sz w:val="20"/>
          <w:szCs w:val="20"/>
          <w:color w:val="auto"/>
        </w:rPr>
      </w:pPr>
    </w:p>
    <w:p>
      <w:pPr>
        <w:spacing w:after="0" w:line="247"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Armstrong Name: John Armstrong</w:t>
      </w:r>
    </w:p>
    <w:p>
      <w:pPr>
        <w:ind w:left="3160"/>
        <w:spacing w:after="0"/>
        <w:rPr>
          <w:sz w:val="20"/>
          <w:szCs w:val="20"/>
          <w:color w:val="auto"/>
        </w:rPr>
      </w:pPr>
      <w:r>
        <w:rPr>
          <w:rFonts w:ascii="Arial" w:cs="Arial" w:eastAsia="Arial" w:hAnsi="Arial"/>
          <w:sz w:val="20"/>
          <w:szCs w:val="20"/>
          <w:color w:val="auto"/>
        </w:rPr>
        <w:t>Title: Managing Director, Chicago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Helen Alvarez-Hernandez Name: Helen Alvarez-Hernandez</w:t>
      </w:r>
    </w:p>
    <w:p>
      <w:pPr>
        <w:ind w:left="3160"/>
        <w:spacing w:after="0"/>
        <w:rPr>
          <w:sz w:val="20"/>
          <w:szCs w:val="20"/>
          <w:color w:val="auto"/>
        </w:rPr>
      </w:pPr>
      <w:r>
        <w:rPr>
          <w:rFonts w:ascii="Arial" w:cs="Arial" w:eastAsia="Arial" w:hAnsi="Arial"/>
          <w:sz w:val="20"/>
          <w:szCs w:val="20"/>
          <w:color w:val="auto"/>
        </w:rPr>
        <w:t>Title: Managing Director, Canadian Branch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7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4079"/>
        <w:spacing w:after="0"/>
        <w:rPr>
          <w:sz w:val="20"/>
          <w:szCs w:val="20"/>
          <w:color w:val="auto"/>
        </w:rPr>
      </w:pPr>
      <w:r>
        <w:rPr>
          <w:rFonts w:ascii="Arial" w:cs="Arial" w:eastAsia="Arial" w:hAnsi="Arial"/>
          <w:sz w:val="14"/>
          <w:szCs w:val="14"/>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Credit Agreement (See attached)</w:t>
      </w:r>
    </w:p>
    <w:p>
      <w:pPr>
        <w:sectPr>
          <w:pgSz w:w="11900" w:h="16838" w:orient="portrait"/>
          <w:cols w:equalWidth="0" w:num="1">
            <w:col w:w="9019"/>
          </w:cols>
          <w:pgMar w:left="1440" w:top="1405" w:right="1440" w:bottom="1440" w:gutter="0" w:footer="0" w:header="0"/>
        </w:sectPr>
      </w:pPr>
    </w:p>
    <w:bookmarkStart w:id="68" w:name="page69"/>
    <w:bookmarkEnd w:id="68"/>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ANNEX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Exhibits B, D and E (See Attached)</w:t>
      </w:r>
    </w:p>
    <w:p>
      <w:pPr>
        <w:sectPr>
          <w:pgSz w:w="11900" w:h="16838" w:orient="portrait"/>
          <w:cols w:equalWidth="0" w:num="1">
            <w:col w:w="9019"/>
          </w:cols>
          <w:pgMar w:left="1440" w:top="1440" w:right="1440" w:bottom="1440" w:gutter="0" w:footer="0" w:header="0"/>
        </w:sectPr>
      </w:pPr>
    </w:p>
    <w:bookmarkStart w:id="69" w:name="page70"/>
    <w:bookmarkEnd w:id="69"/>
    <w:p>
      <w:pPr>
        <w:ind w:left="3720"/>
        <w:spacing w:after="0"/>
        <w:rPr>
          <w:sz w:val="20"/>
          <w:szCs w:val="20"/>
          <w:color w:val="auto"/>
        </w:rPr>
      </w:pPr>
      <w:r>
        <w:rPr>
          <w:rFonts w:ascii="Arial" w:cs="Arial" w:eastAsia="Arial" w:hAnsi="Arial"/>
          <w:sz w:val="20"/>
          <w:szCs w:val="20"/>
          <w:b w:val="1"/>
          <w:bCs w:val="1"/>
          <w:color w:val="FF0000"/>
          <w:strike w:val="1"/>
        </w:rPr>
        <w:t>E</w:t>
      </w:r>
      <w:r>
        <w:rPr>
          <w:rFonts w:ascii="Arial" w:cs="Arial" w:eastAsia="Arial" w:hAnsi="Arial"/>
          <w:sz w:val="16"/>
          <w:szCs w:val="16"/>
          <w:b w:val="1"/>
          <w:bCs w:val="1"/>
          <w:color w:val="FF0000"/>
          <w:strike w:val="1"/>
        </w:rPr>
        <w:t>XECUTION</w:t>
      </w:r>
      <w:r>
        <w:rPr>
          <w:rFonts w:ascii="Arial" w:cs="Arial" w:eastAsia="Arial" w:hAnsi="Arial"/>
          <w:sz w:val="20"/>
          <w:szCs w:val="20"/>
          <w:b w:val="1"/>
          <w:bCs w:val="1"/>
          <w:color w:val="FF0000"/>
          <w:strike w:val="1"/>
        </w:rPr>
        <w:t xml:space="preserve"> V</w:t>
      </w:r>
      <w:r>
        <w:rPr>
          <w:rFonts w:ascii="Arial" w:cs="Arial" w:eastAsia="Arial" w:hAnsi="Arial"/>
          <w:sz w:val="16"/>
          <w:szCs w:val="16"/>
          <w:b w:val="1"/>
          <w:bCs w:val="1"/>
          <w:color w:val="FF0000"/>
          <w:strike w:val="1"/>
        </w:rPr>
        <w:t>ERSION</w:t>
      </w:r>
      <w:r>
        <w:rPr>
          <w:rFonts w:ascii="Arial" w:cs="Arial" w:eastAsia="Arial" w:hAnsi="Arial"/>
          <w:sz w:val="20"/>
          <w:szCs w:val="20"/>
          <w:b w:val="1"/>
          <w:bCs w:val="1"/>
          <w:u w:val="single" w:color="auto"/>
          <w:color w:val="0000FF"/>
          <w:strike w:val="1"/>
        </w:rPr>
        <w:t>E</w:t>
      </w:r>
      <w:r>
        <w:rPr>
          <w:rFonts w:ascii="Arial" w:cs="Arial" w:eastAsia="Arial" w:hAnsi="Arial"/>
          <w:sz w:val="16"/>
          <w:szCs w:val="16"/>
          <w:b w:val="1"/>
          <w:bCs w:val="1"/>
          <w:u w:val="single" w:color="auto"/>
          <w:color w:val="0000FF"/>
          <w:strike w:val="1"/>
        </w:rPr>
        <w:t>XHIBIT</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A</w:t>
      </w:r>
      <w:r>
        <w:rPr>
          <w:rFonts w:ascii="Arial" w:cs="Arial" w:eastAsia="Arial" w:hAnsi="Arial"/>
          <w:sz w:val="20"/>
          <w:szCs w:val="20"/>
          <w:b w:val="1"/>
          <w:bCs w:val="1"/>
          <w:color w:val="FF0000"/>
          <w:strike w:val="1"/>
        </w:rPr>
        <w:t xml:space="preserve"> </w:t>
      </w:r>
      <w:r>
        <w:rPr>
          <w:rFonts w:ascii="Arial" w:cs="Arial" w:eastAsia="Arial" w:hAnsi="Arial"/>
          <w:sz w:val="16"/>
          <w:szCs w:val="16"/>
          <w:b w:val="1"/>
          <w:bCs w:val="1"/>
          <w:u w:val="single" w:color="auto"/>
          <w:color w:val="0000FF"/>
          <w:strike w:val="1"/>
        </w:rPr>
        <w:t>TO</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F</w:t>
      </w:r>
      <w:r>
        <w:rPr>
          <w:rFonts w:ascii="Arial" w:cs="Arial" w:eastAsia="Arial" w:hAnsi="Arial"/>
          <w:sz w:val="16"/>
          <w:szCs w:val="16"/>
          <w:b w:val="1"/>
          <w:bCs w:val="1"/>
          <w:u w:val="single" w:color="auto"/>
          <w:color w:val="0000FF"/>
          <w:strike w:val="1"/>
        </w:rPr>
        <w:t>IRST</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A</w:t>
      </w:r>
      <w:r>
        <w:rPr>
          <w:rFonts w:ascii="Arial" w:cs="Arial" w:eastAsia="Arial" w:hAnsi="Arial"/>
          <w:sz w:val="16"/>
          <w:szCs w:val="16"/>
          <w:b w:val="1"/>
          <w:bCs w:val="1"/>
          <w:u w:val="single" w:color="auto"/>
          <w:color w:val="0000FF"/>
          <w:strike w:val="1"/>
        </w:rPr>
        <w:t>MENDMENT</w:t>
      </w: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Published  CUSIP  Number:  15643XAA6  Revolving  Credit  CUSIP</w:t>
      </w:r>
    </w:p>
    <w:p>
      <w:pPr>
        <w:ind w:left="4580"/>
        <w:spacing w:after="0"/>
        <w:rPr>
          <w:sz w:val="20"/>
          <w:szCs w:val="20"/>
          <w:color w:val="auto"/>
        </w:rPr>
      </w:pPr>
      <w:r>
        <w:rPr>
          <w:rFonts w:ascii="Arial" w:cs="Arial" w:eastAsia="Arial" w:hAnsi="Arial"/>
          <w:sz w:val="20"/>
          <w:szCs w:val="20"/>
          <w:color w:val="auto"/>
        </w:rPr>
        <w:t>Number: 15643XAB4 Initial Term Loan CUSIP Number: 15643XAC2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as of August 27, 2021</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000FF"/>
        </w:rPr>
        <w:t>(as amended by the First Amendment to Second Amended and Restated Credit Agreement dated as of November 4, 2022)</w:t>
      </w:r>
    </w:p>
    <w:p>
      <w:pPr>
        <w:spacing w:after="0" w:line="267"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 and among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CENTURI GROUP, INC.,</w:t>
      </w:r>
    </w:p>
    <w:p>
      <w:pPr>
        <w:jc w:val="center"/>
        <w:ind w:right="-19"/>
        <w:spacing w:after="0"/>
        <w:rPr>
          <w:sz w:val="20"/>
          <w:szCs w:val="20"/>
          <w:color w:val="auto"/>
        </w:rPr>
      </w:pPr>
      <w:r>
        <w:rPr>
          <w:rFonts w:ascii="Arial" w:cs="Arial" w:eastAsia="Arial" w:hAnsi="Arial"/>
          <w:sz w:val="20"/>
          <w:szCs w:val="20"/>
          <w:color w:val="auto"/>
        </w:rPr>
        <w:t>and</w:t>
      </w:r>
    </w:p>
    <w:p>
      <w:pPr>
        <w:jc w:val="center"/>
        <w:ind w:right="-19"/>
        <w:spacing w:after="0" w:line="225" w:lineRule="auto"/>
        <w:rPr>
          <w:sz w:val="20"/>
          <w:szCs w:val="20"/>
          <w:color w:val="auto"/>
        </w:rPr>
      </w:pPr>
      <w:r>
        <w:rPr>
          <w:rFonts w:ascii="Arial" w:cs="Arial" w:eastAsia="Arial" w:hAnsi="Arial"/>
          <w:sz w:val="20"/>
          <w:szCs w:val="20"/>
          <w:b w:val="1"/>
          <w:bCs w:val="1"/>
          <w:color w:val="auto"/>
        </w:rPr>
        <w:t>each Additional Borrower,</w:t>
      </w:r>
    </w:p>
    <w:p>
      <w:pPr>
        <w:jc w:val="center"/>
        <w:ind w:right="-19"/>
        <w:spacing w:after="0"/>
        <w:rPr>
          <w:sz w:val="20"/>
          <w:szCs w:val="20"/>
          <w:color w:val="auto"/>
        </w:rPr>
      </w:pPr>
      <w:r>
        <w:rPr>
          <w:rFonts w:ascii="Arial" w:cs="Arial" w:eastAsia="Arial" w:hAnsi="Arial"/>
          <w:sz w:val="20"/>
          <w:szCs w:val="20"/>
          <w:color w:val="auto"/>
        </w:rPr>
        <w:t>as US Borrowers,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CENTURI CANADA DIVISION INC.,</w:t>
      </w:r>
    </w:p>
    <w:p>
      <w:pPr>
        <w:jc w:val="center"/>
        <w:ind w:right="-19"/>
        <w:spacing w:after="0"/>
        <w:rPr>
          <w:sz w:val="20"/>
          <w:szCs w:val="20"/>
          <w:color w:val="auto"/>
        </w:rPr>
      </w:pPr>
      <w:r>
        <w:rPr>
          <w:rFonts w:ascii="Arial" w:cs="Arial" w:eastAsia="Arial" w:hAnsi="Arial"/>
          <w:sz w:val="20"/>
          <w:szCs w:val="20"/>
          <w:color w:val="auto"/>
        </w:rPr>
        <w:t>and</w:t>
      </w:r>
    </w:p>
    <w:p>
      <w:pPr>
        <w:jc w:val="center"/>
        <w:ind w:right="-19"/>
        <w:spacing w:after="0" w:line="225" w:lineRule="auto"/>
        <w:rPr>
          <w:sz w:val="20"/>
          <w:szCs w:val="20"/>
          <w:color w:val="auto"/>
        </w:rPr>
      </w:pPr>
      <w:r>
        <w:rPr>
          <w:rFonts w:ascii="Arial" w:cs="Arial" w:eastAsia="Arial" w:hAnsi="Arial"/>
          <w:sz w:val="20"/>
          <w:szCs w:val="20"/>
          <w:b w:val="1"/>
          <w:bCs w:val="1"/>
          <w:color w:val="auto"/>
        </w:rPr>
        <w:t>each Additional Borrower,</w:t>
      </w:r>
    </w:p>
    <w:p>
      <w:pPr>
        <w:jc w:val="center"/>
        <w:ind w:right="-19"/>
        <w:spacing w:after="0"/>
        <w:rPr>
          <w:sz w:val="20"/>
          <w:szCs w:val="20"/>
          <w:color w:val="auto"/>
        </w:rPr>
      </w:pPr>
      <w:r>
        <w:rPr>
          <w:rFonts w:ascii="Arial" w:cs="Arial" w:eastAsia="Arial" w:hAnsi="Arial"/>
          <w:sz w:val="20"/>
          <w:szCs w:val="20"/>
          <w:color w:val="auto"/>
        </w:rPr>
        <w:t>as Canadian Borrowers,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Lenders referred to herein, as Lenders,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WELLS FARGO BANK, NATIONAL ASSOCIATION,</w:t>
      </w:r>
    </w:p>
    <w:p>
      <w:pPr>
        <w:jc w:val="center"/>
        <w:ind w:right="-19"/>
        <w:spacing w:after="0"/>
        <w:rPr>
          <w:sz w:val="20"/>
          <w:szCs w:val="20"/>
          <w:color w:val="auto"/>
        </w:rPr>
      </w:pPr>
      <w:r>
        <w:rPr>
          <w:rFonts w:ascii="Arial" w:cs="Arial" w:eastAsia="Arial" w:hAnsi="Arial"/>
          <w:sz w:val="20"/>
          <w:szCs w:val="20"/>
          <w:color w:val="auto"/>
        </w:rPr>
        <w:t>as Administrative Agent, Swingline Lender and Issuing Lender,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WELLS FARGO SECURITIES, LLC and BOFA SECURITIES,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Joint Lead Arrangers and Joint Bookrunners</w:t>
      </w:r>
    </w:p>
    <w:p>
      <w:pPr>
        <w:spacing w:after="0" w:line="207"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11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as Syndication Agent and</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CANADIAN IMPERIAL BANK OF COMMERCE, PNC BANK, NATIONAL</w:t>
      </w:r>
    </w:p>
    <w:p>
      <w:pPr>
        <w:jc w:val="center"/>
        <w:ind w:right="-19"/>
        <w:spacing w:after="0" w:line="225" w:lineRule="auto"/>
        <w:rPr>
          <w:sz w:val="20"/>
          <w:szCs w:val="20"/>
          <w:color w:val="auto"/>
        </w:rPr>
      </w:pPr>
      <w:r>
        <w:rPr>
          <w:rFonts w:ascii="Arial" w:cs="Arial" w:eastAsia="Arial" w:hAnsi="Arial"/>
          <w:sz w:val="20"/>
          <w:szCs w:val="20"/>
          <w:b w:val="1"/>
          <w:bCs w:val="1"/>
          <w:color w:val="auto"/>
        </w:rPr>
        <w:t>ASSOCIATION, TRUIST BANK,</w:t>
      </w:r>
    </w:p>
    <w:p>
      <w:pPr>
        <w:jc w:val="center"/>
        <w:ind w:right="-19"/>
        <w:spacing w:after="0" w:line="225" w:lineRule="auto"/>
        <w:rPr>
          <w:sz w:val="20"/>
          <w:szCs w:val="20"/>
          <w:color w:val="auto"/>
        </w:rPr>
      </w:pPr>
      <w:r>
        <w:rPr>
          <w:rFonts w:ascii="Arial" w:cs="Arial" w:eastAsia="Arial" w:hAnsi="Arial"/>
          <w:sz w:val="20"/>
          <w:szCs w:val="20"/>
          <w:b w:val="1"/>
          <w:bCs w:val="1"/>
          <w:color w:val="auto"/>
        </w:rPr>
        <w:t xml:space="preserve">U.S. BANK NATIONAL ASSOCIATION </w:t>
      </w:r>
      <w:r>
        <w:rPr>
          <w:rFonts w:ascii="Arial" w:cs="Arial" w:eastAsia="Arial" w:hAnsi="Arial"/>
          <w:sz w:val="20"/>
          <w:szCs w:val="20"/>
          <w:color w:val="auto"/>
        </w:rPr>
        <w:t>and</w:t>
      </w:r>
    </w:p>
    <w:p>
      <w:pPr>
        <w:jc w:val="center"/>
        <w:ind w:right="-19"/>
        <w:spacing w:after="0" w:line="226" w:lineRule="auto"/>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w:t>
      </w:r>
    </w:p>
    <w:p>
      <w:pPr>
        <w:jc w:val="center"/>
        <w:ind w:right="-19"/>
        <w:spacing w:after="0"/>
        <w:rPr>
          <w:sz w:val="20"/>
          <w:szCs w:val="20"/>
          <w:color w:val="auto"/>
        </w:rPr>
      </w:pPr>
      <w:r>
        <w:rPr>
          <w:rFonts w:ascii="Arial" w:cs="Arial" w:eastAsia="Arial" w:hAnsi="Arial"/>
          <w:sz w:val="20"/>
          <w:szCs w:val="20"/>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r>
        <w:rPr>
          <w:rFonts w:ascii="Arial" w:cs="Arial" w:eastAsia="Arial" w:hAnsi="Arial"/>
          <w:sz w:val="14"/>
          <w:szCs w:val="14"/>
          <w:u w:val="single" w:color="auto"/>
          <w:color w:val="0000FF"/>
          <w:strike w:val="1"/>
        </w:rPr>
        <w:t>165457743_4</w:t>
      </w:r>
    </w:p>
    <w:p>
      <w:pPr>
        <w:sectPr>
          <w:pgSz w:w="11900" w:h="16838" w:orient="portrait"/>
          <w:cols w:equalWidth="0" w:num="1">
            <w:col w:w="10960"/>
          </w:cols>
          <w:pgMar w:left="460" w:top="751" w:right="479" w:bottom="1440" w:gutter="0" w:footer="0" w:header="0"/>
        </w:sectPr>
      </w:pPr>
    </w:p>
    <w:bookmarkStart w:id="70" w:name="page71"/>
    <w:bookmarkEnd w:id="70"/>
    <w:tbl>
      <w:tblPr>
        <w:tblLayout w:type="fixed"/>
        <w:tblInd w:w="700" w:type="dxa"/>
        <w:tblCellMar>
          <w:top w:w="0" w:type="dxa"/>
          <w:left w:w="0" w:type="dxa"/>
          <w:bottom w:w="0" w:type="dxa"/>
          <w:right w:w="0" w:type="dxa"/>
        </w:tblCellMar>
      </w:tblPr>
      <w:tr>
        <w:trPr>
          <w:trHeight w:val="256"/>
        </w:trPr>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760" w:type="dxa"/>
            <w:vAlign w:val="bottom"/>
            <w:gridSpan w:val="13"/>
          </w:tcPr>
          <w:p>
            <w:pPr>
              <w:jc w:val="center"/>
              <w:ind w:right="181"/>
              <w:spacing w:after="0"/>
              <w:rPr>
                <w:sz w:val="20"/>
                <w:szCs w:val="20"/>
                <w:color w:val="auto"/>
              </w:rPr>
            </w:pPr>
            <w:r>
              <w:rPr>
                <w:rFonts w:ascii="Arial" w:cs="Arial" w:eastAsia="Arial" w:hAnsi="Arial"/>
                <w:sz w:val="20"/>
                <w:szCs w:val="20"/>
                <w:b w:val="1"/>
                <w:bCs w:val="1"/>
                <w:color w:val="auto"/>
                <w:w w:val="98"/>
              </w:rPr>
              <w:t>TABLE OF CONTENTS</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635"/>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ind w:left="60"/>
              <w:spacing w:after="0"/>
              <w:rPr>
                <w:sz w:val="20"/>
                <w:szCs w:val="20"/>
                <w:color w:val="auto"/>
              </w:rPr>
            </w:pPr>
            <w:r>
              <w:rPr>
                <w:rFonts w:ascii="Arial" w:cs="Arial" w:eastAsia="Arial" w:hAnsi="Arial"/>
                <w:sz w:val="20"/>
                <w:szCs w:val="20"/>
                <w:color w:val="auto"/>
              </w:rPr>
              <w:t>ARTICLE I</w:t>
            </w: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DEFINITIONS  1</w:t>
            </w:r>
          </w:p>
        </w:tc>
        <w:tc>
          <w:tcPr>
            <w:tcW w:w="0" w:type="dxa"/>
            <w:vAlign w:val="bottom"/>
          </w:tcPr>
          <w:p>
            <w:pPr>
              <w:spacing w:after="0"/>
              <w:rPr>
                <w:sz w:val="1"/>
                <w:szCs w:val="1"/>
                <w:color w:val="auto"/>
              </w:rPr>
            </w:pPr>
          </w:p>
        </w:tc>
      </w:tr>
      <w:tr>
        <w:trPr>
          <w:trHeight w:val="297"/>
        </w:trPr>
        <w:tc>
          <w:tcPr>
            <w:tcW w:w="3640" w:type="dxa"/>
            <w:vAlign w:val="bottom"/>
            <w:gridSpan w:val="6"/>
          </w:tcPr>
          <w:p>
            <w:pPr>
              <w:spacing w:after="0"/>
              <w:rPr>
                <w:sz w:val="20"/>
                <w:szCs w:val="20"/>
                <w:color w:val="auto"/>
              </w:rPr>
            </w:pPr>
            <w:r>
              <w:rPr>
                <w:rFonts w:ascii="Arial" w:cs="Arial" w:eastAsia="Arial" w:hAnsi="Arial"/>
                <w:sz w:val="20"/>
                <w:szCs w:val="20"/>
                <w:color w:val="auto"/>
              </w:rPr>
              <w:t>SECTION 1.1 Definitions  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0" w:type="dxa"/>
            <w:vAlign w:val="bottom"/>
            <w:gridSpan w:val="16"/>
          </w:tcPr>
          <w:p>
            <w:pPr>
              <w:spacing w:after="0"/>
              <w:rPr>
                <w:sz w:val="20"/>
                <w:szCs w:val="20"/>
                <w:color w:val="auto"/>
              </w:rPr>
            </w:pPr>
            <w:r>
              <w:rPr>
                <w:rFonts w:ascii="Arial" w:cs="Arial" w:eastAsia="Arial" w:hAnsi="Arial"/>
                <w:sz w:val="20"/>
                <w:szCs w:val="20"/>
                <w:color w:val="auto"/>
                <w:w w:val="70"/>
              </w:rPr>
              <w:t>SECTION 1.2 Other Definitions and Provisions .............................................................</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5"/>
          </w:tcPr>
          <w:p>
            <w:pPr>
              <w:ind w:left="20"/>
              <w:spacing w:after="0"/>
              <w:rPr>
                <w:sz w:val="20"/>
                <w:szCs w:val="20"/>
                <w:color w:val="auto"/>
              </w:rPr>
            </w:pPr>
            <w:r>
              <w:rPr>
                <w:rFonts w:ascii="Arial" w:cs="Arial" w:eastAsia="Arial" w:hAnsi="Arial"/>
                <w:sz w:val="20"/>
                <w:szCs w:val="20"/>
                <w:color w:val="FF0000"/>
                <w:strike w:val="1"/>
                <w:w w:val="80"/>
              </w:rPr>
              <w:t>49</w:t>
            </w:r>
          </w:p>
        </w:tc>
        <w:tc>
          <w:tcPr>
            <w:tcW w:w="340" w:type="dxa"/>
            <w:vAlign w:val="bottom"/>
            <w:gridSpan w:val="4"/>
          </w:tcPr>
          <w:p>
            <w:pPr>
              <w:spacing w:after="0"/>
              <w:rPr>
                <w:sz w:val="20"/>
                <w:szCs w:val="20"/>
                <w:color w:val="auto"/>
              </w:rPr>
            </w:pPr>
            <w:r>
              <w:rPr>
                <w:rFonts w:ascii="Arial" w:cs="Arial" w:eastAsia="Arial" w:hAnsi="Arial"/>
                <w:sz w:val="20"/>
                <w:szCs w:val="20"/>
                <w:color w:val="0000FF"/>
              </w:rPr>
              <w:t>53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40" w:type="dxa"/>
            <w:vAlign w:val="bottom"/>
            <w:gridSpan w:val="6"/>
          </w:tcPr>
          <w:p>
            <w:pPr>
              <w:spacing w:after="0"/>
              <w:rPr>
                <w:sz w:val="20"/>
                <w:szCs w:val="20"/>
                <w:color w:val="auto"/>
              </w:rPr>
            </w:pPr>
            <w:r>
              <w:rPr>
                <w:rFonts w:ascii="Arial" w:cs="Arial" w:eastAsia="Arial" w:hAnsi="Arial"/>
                <w:sz w:val="13"/>
                <w:szCs w:val="13"/>
                <w:color w:val="auto"/>
                <w:w w:val="73"/>
              </w:rPr>
              <w:t>SECTION 1.3 Accounting Terms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50</w:t>
            </w:r>
          </w:p>
        </w:tc>
        <w:tc>
          <w:tcPr>
            <w:tcW w:w="360" w:type="dxa"/>
            <w:vAlign w:val="bottom"/>
            <w:gridSpan w:val="5"/>
          </w:tcPr>
          <w:p>
            <w:pPr>
              <w:spacing w:after="0"/>
              <w:rPr>
                <w:sz w:val="20"/>
                <w:szCs w:val="20"/>
                <w:color w:val="auto"/>
              </w:rPr>
            </w:pPr>
            <w:r>
              <w:rPr>
                <w:rFonts w:ascii="Arial" w:cs="Arial" w:eastAsia="Arial" w:hAnsi="Arial"/>
                <w:sz w:val="20"/>
                <w:szCs w:val="20"/>
                <w:color w:val="0000FF"/>
              </w:rPr>
              <w:t>54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gridSpan w:val="6"/>
          </w:tcPr>
          <w:p>
            <w:pPr>
              <w:spacing w:after="0"/>
              <w:rPr>
                <w:sz w:val="20"/>
                <w:szCs w:val="20"/>
                <w:color w:val="auto"/>
              </w:rPr>
            </w:pPr>
            <w:r>
              <w:rPr>
                <w:rFonts w:ascii="Arial" w:cs="Arial" w:eastAsia="Arial" w:hAnsi="Arial"/>
                <w:sz w:val="13"/>
                <w:szCs w:val="13"/>
                <w:color w:val="auto"/>
                <w:w w:val="72"/>
              </w:rPr>
              <w:t>SECTION 1.4 UCC and PPSA Terms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50</w:t>
            </w:r>
          </w:p>
        </w:tc>
        <w:tc>
          <w:tcPr>
            <w:tcW w:w="360" w:type="dxa"/>
            <w:vAlign w:val="bottom"/>
            <w:gridSpan w:val="5"/>
          </w:tcPr>
          <w:p>
            <w:pPr>
              <w:spacing w:after="0"/>
              <w:rPr>
                <w:sz w:val="20"/>
                <w:szCs w:val="20"/>
                <w:color w:val="auto"/>
              </w:rPr>
            </w:pPr>
            <w:r>
              <w:rPr>
                <w:rFonts w:ascii="Arial" w:cs="Arial" w:eastAsia="Arial" w:hAnsi="Arial"/>
                <w:sz w:val="20"/>
                <w:szCs w:val="20"/>
                <w:color w:val="0000FF"/>
              </w:rPr>
              <w:t>54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0" w:type="dxa"/>
            <w:vAlign w:val="bottom"/>
          </w:tcPr>
          <w:p>
            <w:pPr>
              <w:spacing w:after="0"/>
              <w:rPr>
                <w:sz w:val="20"/>
                <w:szCs w:val="20"/>
                <w:color w:val="auto"/>
              </w:rPr>
            </w:pPr>
            <w:r>
              <w:rPr>
                <w:rFonts w:ascii="Arial" w:cs="Arial" w:eastAsia="Arial" w:hAnsi="Arial"/>
                <w:sz w:val="20"/>
                <w:szCs w:val="20"/>
                <w:color w:val="auto"/>
              </w:rPr>
              <w:t>SECTION</w:t>
            </w:r>
          </w:p>
        </w:tc>
        <w:tc>
          <w:tcPr>
            <w:tcW w:w="280" w:type="dxa"/>
            <w:vAlign w:val="bottom"/>
          </w:tcPr>
          <w:p>
            <w:pPr>
              <w:jc w:val="right"/>
              <w:spacing w:after="0"/>
              <w:rPr>
                <w:sz w:val="20"/>
                <w:szCs w:val="20"/>
                <w:color w:val="auto"/>
              </w:rPr>
            </w:pPr>
            <w:r>
              <w:rPr>
                <w:rFonts w:ascii="Arial" w:cs="Arial" w:eastAsia="Arial" w:hAnsi="Arial"/>
                <w:sz w:val="20"/>
                <w:szCs w:val="20"/>
                <w:color w:val="auto"/>
                <w:w w:val="86"/>
              </w:rPr>
              <w:t>1.5</w:t>
            </w:r>
          </w:p>
        </w:tc>
        <w:tc>
          <w:tcPr>
            <w:tcW w:w="2380" w:type="dxa"/>
            <w:vAlign w:val="bottom"/>
            <w:gridSpan w:val="4"/>
          </w:tcPr>
          <w:p>
            <w:pPr>
              <w:jc w:val="right"/>
              <w:spacing w:after="0"/>
              <w:rPr>
                <w:sz w:val="20"/>
                <w:szCs w:val="20"/>
                <w:color w:val="auto"/>
              </w:rPr>
            </w:pPr>
            <w:r>
              <w:rPr>
                <w:rFonts w:ascii="Arial" w:cs="Arial" w:eastAsia="Arial" w:hAnsi="Arial"/>
                <w:sz w:val="11"/>
                <w:szCs w:val="11"/>
                <w:color w:val="auto"/>
                <w:w w:val="73"/>
              </w:rPr>
              <w:t>Rounding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50</w:t>
            </w:r>
          </w:p>
        </w:tc>
        <w:tc>
          <w:tcPr>
            <w:tcW w:w="2900" w:type="dxa"/>
            <w:vAlign w:val="bottom"/>
            <w:gridSpan w:val="9"/>
          </w:tcPr>
          <w:p>
            <w:pPr>
              <w:jc w:val="right"/>
              <w:spacing w:after="0"/>
              <w:rPr>
                <w:sz w:val="20"/>
                <w:szCs w:val="20"/>
                <w:color w:val="auto"/>
              </w:rPr>
            </w:pPr>
            <w:r>
              <w:rPr>
                <w:rFonts w:ascii="Arial" w:cs="Arial" w:eastAsia="Arial" w:hAnsi="Arial"/>
                <w:sz w:val="20"/>
                <w:szCs w:val="20"/>
                <w:color w:val="0000FF"/>
                <w:w w:val="95"/>
              </w:rPr>
              <w:t xml:space="preserve">54  </w:t>
            </w:r>
            <w:r>
              <w:rPr>
                <w:rFonts w:ascii="Arial" w:cs="Arial" w:eastAsia="Arial" w:hAnsi="Arial"/>
                <w:sz w:val="20"/>
                <w:szCs w:val="20"/>
                <w:color w:val="000000"/>
                <w:w w:val="95"/>
              </w:rPr>
              <w:t>SECTION  1.6  References  to</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Arial" w:cs="Arial" w:eastAsia="Arial" w:hAnsi="Arial"/>
                <w:sz w:val="20"/>
                <w:szCs w:val="20"/>
                <w:color w:val="auto"/>
                <w:w w:val="98"/>
              </w:rPr>
              <w:t>Agreement</w:t>
            </w:r>
          </w:p>
        </w:tc>
        <w:tc>
          <w:tcPr>
            <w:tcW w:w="2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w w:val="83"/>
              </w:rPr>
              <w:t>and</w:t>
            </w:r>
          </w:p>
        </w:tc>
        <w:tc>
          <w:tcPr>
            <w:tcW w:w="2060" w:type="dxa"/>
            <w:vAlign w:val="bottom"/>
            <w:gridSpan w:val="3"/>
          </w:tcPr>
          <w:p>
            <w:pPr>
              <w:jc w:val="right"/>
              <w:spacing w:after="0"/>
              <w:rPr>
                <w:sz w:val="20"/>
                <w:szCs w:val="20"/>
                <w:color w:val="auto"/>
              </w:rPr>
            </w:pPr>
            <w:r>
              <w:rPr>
                <w:rFonts w:ascii="Arial" w:cs="Arial" w:eastAsia="Arial" w:hAnsi="Arial"/>
                <w:sz w:val="20"/>
                <w:szCs w:val="20"/>
                <w:color w:val="auto"/>
                <w:w w:val="77"/>
              </w:rPr>
              <w:t>Laws</w:t>
            </w:r>
            <w:r>
              <w:rPr>
                <w:rFonts w:ascii="Arial" w:cs="Arial" w:eastAsia="Arial" w:hAnsi="Arial"/>
                <w:sz w:val="9"/>
                <w:szCs w:val="9"/>
                <w:color w:val="auto"/>
                <w:w w:val="77"/>
              </w:rPr>
              <w: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FF0000"/>
                <w:strike w:val="1"/>
                <w:w w:val="80"/>
              </w:rPr>
              <w:t>51</w:t>
            </w:r>
          </w:p>
        </w:tc>
        <w:tc>
          <w:tcPr>
            <w:tcW w:w="240" w:type="dxa"/>
            <w:vAlign w:val="bottom"/>
            <w:gridSpan w:val="3"/>
            <w:vMerge w:val="restart"/>
          </w:tcPr>
          <w:p>
            <w:pPr>
              <w:jc w:val="center"/>
              <w:spacing w:after="0"/>
              <w:rPr>
                <w:sz w:val="20"/>
                <w:szCs w:val="20"/>
                <w:color w:val="auto"/>
              </w:rPr>
            </w:pPr>
            <w:r>
              <w:rPr>
                <w:rFonts w:ascii="Arial" w:cs="Arial" w:eastAsia="Arial" w:hAnsi="Arial"/>
                <w:sz w:val="20"/>
                <w:szCs w:val="20"/>
                <w:color w:val="0000FF"/>
                <w:w w:val="89"/>
              </w:rPr>
              <w:t>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FF0000"/>
                <w:strike w:val="1"/>
              </w:rPr>
              <w:t>51</w:t>
            </w:r>
          </w:p>
        </w:tc>
        <w:tc>
          <w:tcPr>
            <w:tcW w:w="220" w:type="dxa"/>
            <w:vAlign w:val="bottom"/>
          </w:tcPr>
          <w:p>
            <w:pPr>
              <w:jc w:val="right"/>
              <w:spacing w:after="0"/>
              <w:rPr>
                <w:sz w:val="20"/>
                <w:szCs w:val="20"/>
                <w:color w:val="auto"/>
              </w:rPr>
            </w:pPr>
            <w:r>
              <w:rPr>
                <w:rFonts w:ascii="Arial" w:cs="Arial" w:eastAsia="Arial" w:hAnsi="Arial"/>
                <w:sz w:val="20"/>
                <w:szCs w:val="20"/>
                <w:color w:val="0000FF"/>
                <w:w w:val="80"/>
              </w:rPr>
              <w:t>54</w:t>
            </w:r>
          </w:p>
        </w:tc>
        <w:tc>
          <w:tcPr>
            <w:tcW w:w="320" w:type="dxa"/>
            <w:vAlign w:val="bottom"/>
          </w:tcPr>
          <w:p>
            <w:pPr>
              <w:spacing w:after="0"/>
              <w:rPr>
                <w:sz w:val="24"/>
                <w:szCs w:val="24"/>
                <w:color w:val="auto"/>
              </w:rPr>
            </w:pPr>
          </w:p>
        </w:tc>
        <w:tc>
          <w:tcPr>
            <w:tcW w:w="960" w:type="dxa"/>
            <w:vAlign w:val="bottom"/>
            <w:gridSpan w:val="14"/>
          </w:tcPr>
          <w:p>
            <w:pPr>
              <w:jc w:val="center"/>
              <w:spacing w:after="0"/>
              <w:rPr>
                <w:sz w:val="20"/>
                <w:szCs w:val="20"/>
                <w:color w:val="auto"/>
              </w:rPr>
            </w:pPr>
            <w:r>
              <w:rPr>
                <w:rFonts w:ascii="Arial" w:cs="Arial" w:eastAsia="Arial" w:hAnsi="Arial"/>
                <w:sz w:val="20"/>
                <w:szCs w:val="20"/>
                <w:color w:val="auto"/>
                <w:w w:val="94"/>
              </w:rPr>
              <w:t>SECTION</w:t>
            </w:r>
          </w:p>
        </w:tc>
        <w:tc>
          <w:tcPr>
            <w:tcW w:w="720" w:type="dxa"/>
            <w:vAlign w:val="bottom"/>
            <w:gridSpan w:val="3"/>
          </w:tcPr>
          <w:p>
            <w:pPr>
              <w:jc w:val="right"/>
              <w:ind w:right="61"/>
              <w:spacing w:after="0"/>
              <w:rPr>
                <w:sz w:val="20"/>
                <w:szCs w:val="20"/>
                <w:color w:val="auto"/>
              </w:rPr>
            </w:pPr>
            <w:r>
              <w:rPr>
                <w:rFonts w:ascii="Arial" w:cs="Arial" w:eastAsia="Arial" w:hAnsi="Arial"/>
                <w:sz w:val="20"/>
                <w:szCs w:val="20"/>
                <w:color w:val="auto"/>
              </w:rPr>
              <w:t>1.7</w:t>
            </w:r>
          </w:p>
        </w:tc>
        <w:tc>
          <w:tcPr>
            <w:tcW w:w="940" w:type="dxa"/>
            <w:vAlign w:val="bottom"/>
            <w:gridSpan w:val="2"/>
          </w:tcPr>
          <w:p>
            <w:pPr>
              <w:jc w:val="center"/>
              <w:spacing w:after="0"/>
              <w:rPr>
                <w:sz w:val="20"/>
                <w:szCs w:val="20"/>
                <w:color w:val="auto"/>
              </w:rPr>
            </w:pPr>
            <w:r>
              <w:rPr>
                <w:rFonts w:ascii="Arial" w:cs="Arial" w:eastAsia="Arial" w:hAnsi="Arial"/>
                <w:sz w:val="20"/>
                <w:szCs w:val="20"/>
                <w:color w:val="auto"/>
                <w:w w:val="88"/>
              </w:rPr>
              <w:t>Times</w:t>
            </w:r>
          </w:p>
        </w:tc>
        <w:tc>
          <w:tcPr>
            <w:tcW w:w="480" w:type="dxa"/>
            <w:vAlign w:val="bottom"/>
          </w:tcPr>
          <w:p>
            <w:pPr>
              <w:ind w:left="180"/>
              <w:spacing w:after="0"/>
              <w:rPr>
                <w:sz w:val="20"/>
                <w:szCs w:val="20"/>
                <w:color w:val="auto"/>
              </w:rPr>
            </w:pPr>
            <w:r>
              <w:rPr>
                <w:rFonts w:ascii="Arial" w:cs="Arial" w:eastAsia="Arial" w:hAnsi="Arial"/>
                <w:sz w:val="20"/>
                <w:szCs w:val="20"/>
                <w:color w:val="auto"/>
              </w:rPr>
              <w:t>of</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Day</w:t>
            </w:r>
          </w:p>
        </w:tc>
        <w:tc>
          <w:tcPr>
            <w:tcW w:w="0" w:type="dxa"/>
            <w:vAlign w:val="bottom"/>
          </w:tcPr>
          <w:p>
            <w:pPr>
              <w:spacing w:after="0"/>
              <w:rPr>
                <w:sz w:val="1"/>
                <w:szCs w:val="1"/>
                <w:color w:val="auto"/>
              </w:rPr>
            </w:pPr>
          </w:p>
        </w:tc>
      </w:tr>
      <w:tr>
        <w:trPr>
          <w:trHeight w:val="338"/>
        </w:trPr>
        <w:tc>
          <w:tcPr>
            <w:tcW w:w="3640" w:type="dxa"/>
            <w:vAlign w:val="bottom"/>
            <w:gridSpan w:val="6"/>
            <w:vMerge w:val="restart"/>
          </w:tcPr>
          <w:p>
            <w:pPr>
              <w:spacing w:after="0"/>
              <w:rPr>
                <w:sz w:val="20"/>
                <w:szCs w:val="20"/>
                <w:color w:val="auto"/>
              </w:rPr>
            </w:pPr>
            <w:r>
              <w:rPr>
                <w:rFonts w:ascii="Arial" w:cs="Arial" w:eastAsia="Arial" w:hAnsi="Arial"/>
                <w:sz w:val="9"/>
                <w:szCs w:val="9"/>
                <w:color w:val="auto"/>
                <w:vertAlign w:val="subscript"/>
              </w:rPr>
              <w:t>SECTION</w:t>
            </w:r>
            <w:r>
              <w:rPr>
                <w:rFonts w:ascii="Arial" w:cs="Arial" w:eastAsia="Arial" w:hAnsi="Arial"/>
                <w:sz w:val="5"/>
                <w:szCs w:val="5"/>
                <w:color w:val="auto"/>
              </w:rPr>
              <w:t>............................................................................................</w:t>
            </w:r>
            <w:r>
              <w:rPr>
                <w:rFonts w:ascii="Arial" w:cs="Arial" w:eastAsia="Arial" w:hAnsi="Arial"/>
                <w:sz w:val="9"/>
                <w:szCs w:val="9"/>
                <w:color w:val="auto"/>
                <w:vertAlign w:val="subscript"/>
              </w:rPr>
              <w:t>1.8LetterofCreditAmounts</w:t>
            </w:r>
            <w:r>
              <w:rPr>
                <w:rFonts w:ascii="Arial" w:cs="Arial" w:eastAsia="Arial" w:hAnsi="Arial"/>
                <w:sz w:val="5"/>
                <w:szCs w:val="5"/>
                <w:color w:val="auto"/>
              </w:rPr>
              <w: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color w:val="FF0000"/>
                <w:strike w:val="1"/>
                <w:w w:val="80"/>
              </w:rPr>
              <w:t>51</w:t>
            </w:r>
          </w:p>
        </w:tc>
        <w:tc>
          <w:tcPr>
            <w:tcW w:w="360" w:type="dxa"/>
            <w:vAlign w:val="bottom"/>
            <w:gridSpan w:val="5"/>
            <w:vMerge w:val="restart"/>
          </w:tcPr>
          <w:p>
            <w:pPr>
              <w:spacing w:after="0"/>
              <w:rPr>
                <w:sz w:val="20"/>
                <w:szCs w:val="20"/>
                <w:color w:val="auto"/>
              </w:rPr>
            </w:pPr>
            <w:r>
              <w:rPr>
                <w:rFonts w:ascii="Arial" w:cs="Arial" w:eastAsia="Arial" w:hAnsi="Arial"/>
                <w:sz w:val="20"/>
                <w:szCs w:val="20"/>
                <w:color w:val="0000FF"/>
              </w:rPr>
              <w:t>55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gridSpan w:val="6"/>
            <w:vMerge w:val="continue"/>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4"/>
            <w:vMerge w:val="continue"/>
          </w:tcPr>
          <w:p>
            <w:pPr>
              <w:spacing w:after="0"/>
              <w:rPr>
                <w:sz w:val="23"/>
                <w:szCs w:val="23"/>
                <w:color w:val="auto"/>
              </w:rPr>
            </w:pPr>
          </w:p>
        </w:tc>
        <w:tc>
          <w:tcPr>
            <w:tcW w:w="360" w:type="dxa"/>
            <w:vAlign w:val="bottom"/>
            <w:gridSpan w:val="5"/>
            <w:vMerge w:val="continue"/>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640" w:type="dxa"/>
            <w:vAlign w:val="bottom"/>
            <w:gridSpan w:val="6"/>
          </w:tcPr>
          <w:p>
            <w:pPr>
              <w:spacing w:after="0"/>
              <w:rPr>
                <w:sz w:val="20"/>
                <w:szCs w:val="20"/>
                <w:color w:val="auto"/>
              </w:rPr>
            </w:pPr>
            <w:r>
              <w:rPr>
                <w:rFonts w:ascii="Arial" w:cs="Arial" w:eastAsia="Arial" w:hAnsi="Arial"/>
                <w:sz w:val="13"/>
                <w:szCs w:val="13"/>
                <w:color w:val="auto"/>
                <w:w w:val="72"/>
              </w:rPr>
              <w:t>SECTION 1.9 Guarantees/Earn-Outs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51</w:t>
            </w:r>
          </w:p>
        </w:tc>
        <w:tc>
          <w:tcPr>
            <w:tcW w:w="360" w:type="dxa"/>
            <w:vAlign w:val="bottom"/>
            <w:gridSpan w:val="5"/>
          </w:tcPr>
          <w:p>
            <w:pPr>
              <w:spacing w:after="0"/>
              <w:rPr>
                <w:sz w:val="20"/>
                <w:szCs w:val="20"/>
                <w:color w:val="auto"/>
              </w:rPr>
            </w:pPr>
            <w:r>
              <w:rPr>
                <w:rFonts w:ascii="Arial" w:cs="Arial" w:eastAsia="Arial" w:hAnsi="Arial"/>
                <w:sz w:val="20"/>
                <w:szCs w:val="20"/>
                <w:color w:val="0000FF"/>
              </w:rPr>
              <w:t>55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0" w:type="dxa"/>
            <w:vAlign w:val="bottom"/>
          </w:tcPr>
          <w:p>
            <w:pPr>
              <w:spacing w:after="0"/>
              <w:rPr>
                <w:sz w:val="20"/>
                <w:szCs w:val="20"/>
                <w:color w:val="auto"/>
              </w:rPr>
            </w:pPr>
            <w:r>
              <w:rPr>
                <w:rFonts w:ascii="Arial" w:cs="Arial" w:eastAsia="Arial" w:hAnsi="Arial"/>
                <w:sz w:val="20"/>
                <w:szCs w:val="20"/>
                <w:color w:val="auto"/>
              </w:rPr>
              <w:t>SECTION</w:t>
            </w:r>
          </w:p>
        </w:tc>
        <w:tc>
          <w:tcPr>
            <w:tcW w:w="600" w:type="dxa"/>
            <w:vAlign w:val="bottom"/>
            <w:gridSpan w:val="2"/>
          </w:tcPr>
          <w:p>
            <w:pPr>
              <w:jc w:val="right"/>
              <w:ind w:right="96"/>
              <w:spacing w:after="0"/>
              <w:rPr>
                <w:sz w:val="20"/>
                <w:szCs w:val="20"/>
                <w:color w:val="auto"/>
              </w:rPr>
            </w:pPr>
            <w:r>
              <w:rPr>
                <w:rFonts w:ascii="Arial" w:cs="Arial" w:eastAsia="Arial" w:hAnsi="Arial"/>
                <w:sz w:val="20"/>
                <w:szCs w:val="20"/>
                <w:color w:val="auto"/>
              </w:rPr>
              <w:t>1.10</w:t>
            </w:r>
          </w:p>
        </w:tc>
        <w:tc>
          <w:tcPr>
            <w:tcW w:w="2060" w:type="dxa"/>
            <w:vAlign w:val="bottom"/>
            <w:gridSpan w:val="3"/>
          </w:tcPr>
          <w:p>
            <w:pPr>
              <w:jc w:val="right"/>
              <w:ind w:right="101"/>
              <w:spacing w:after="0"/>
              <w:rPr>
                <w:sz w:val="20"/>
                <w:szCs w:val="20"/>
                <w:color w:val="auto"/>
              </w:rPr>
            </w:pPr>
            <w:r>
              <w:rPr>
                <w:rFonts w:ascii="Arial" w:cs="Arial" w:eastAsia="Arial" w:hAnsi="Arial"/>
                <w:sz w:val="20"/>
                <w:szCs w:val="20"/>
                <w:color w:val="auto"/>
                <w:w w:val="98"/>
              </w:rPr>
              <w:t>Alternative  Currency</w:t>
            </w:r>
          </w:p>
        </w:tc>
        <w:tc>
          <w:tcPr>
            <w:tcW w:w="1760" w:type="dxa"/>
            <w:vAlign w:val="bottom"/>
            <w:gridSpan w:val="10"/>
          </w:tcPr>
          <w:p>
            <w:pPr>
              <w:jc w:val="right"/>
              <w:spacing w:after="0"/>
              <w:rPr>
                <w:sz w:val="20"/>
                <w:szCs w:val="20"/>
                <w:color w:val="auto"/>
              </w:rPr>
            </w:pPr>
            <w:r>
              <w:rPr>
                <w:rFonts w:ascii="Arial" w:cs="Arial" w:eastAsia="Arial" w:hAnsi="Arial"/>
                <w:sz w:val="11"/>
                <w:szCs w:val="11"/>
                <w:color w:val="auto"/>
                <w:w w:val="72"/>
              </w:rPr>
              <w:t>Matters...................................................................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51</w:t>
            </w:r>
          </w:p>
        </w:tc>
        <w:tc>
          <w:tcPr>
            <w:tcW w:w="2440" w:type="dxa"/>
            <w:vAlign w:val="bottom"/>
            <w:gridSpan w:val="6"/>
          </w:tcPr>
          <w:p>
            <w:pPr>
              <w:jc w:val="right"/>
              <w:spacing w:after="0"/>
              <w:rPr>
                <w:sz w:val="20"/>
                <w:szCs w:val="20"/>
                <w:color w:val="auto"/>
              </w:rPr>
            </w:pPr>
            <w:r>
              <w:rPr>
                <w:rFonts w:ascii="Arial" w:cs="Arial" w:eastAsia="Arial" w:hAnsi="Arial"/>
                <w:sz w:val="20"/>
                <w:szCs w:val="20"/>
                <w:color w:val="0000FF"/>
              </w:rPr>
              <w:t xml:space="preserve">55  </w:t>
            </w:r>
            <w:r>
              <w:rPr>
                <w:rFonts w:ascii="Arial" w:cs="Arial" w:eastAsia="Arial" w:hAnsi="Arial"/>
                <w:sz w:val="20"/>
                <w:szCs w:val="20"/>
                <w:color w:val="000000"/>
              </w:rPr>
              <w:t>SECTION  1.11  Rates</w:t>
            </w:r>
          </w:p>
        </w:tc>
        <w:tc>
          <w:tcPr>
            <w:tcW w:w="0" w:type="dxa"/>
            <w:vAlign w:val="bottom"/>
          </w:tcPr>
          <w:p>
            <w:pPr>
              <w:spacing w:after="0"/>
              <w:rPr>
                <w:sz w:val="1"/>
                <w:szCs w:val="1"/>
                <w:color w:val="auto"/>
              </w:rPr>
            </w:pPr>
          </w:p>
        </w:tc>
      </w:tr>
      <w:tr>
        <w:trPr>
          <w:trHeight w:val="225"/>
        </w:trPr>
        <w:tc>
          <w:tcPr>
            <w:tcW w:w="1260" w:type="dxa"/>
            <w:vAlign w:val="bottom"/>
            <w:gridSpan w:val="2"/>
          </w:tcPr>
          <w:p>
            <w:pPr>
              <w:spacing w:after="0"/>
              <w:rPr>
                <w:sz w:val="20"/>
                <w:szCs w:val="20"/>
                <w:color w:val="auto"/>
              </w:rPr>
            </w:pPr>
            <w:r>
              <w:rPr>
                <w:rFonts w:ascii="Arial" w:cs="Arial" w:eastAsia="Arial" w:hAnsi="Arial"/>
                <w:sz w:val="5"/>
                <w:szCs w:val="5"/>
                <w:color w:val="auto"/>
                <w:w w:val="84"/>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vMerge w:val="restart"/>
          </w:tcPr>
          <w:p>
            <w:pPr>
              <w:spacing w:after="0"/>
              <w:rPr>
                <w:sz w:val="20"/>
                <w:szCs w:val="20"/>
                <w:color w:val="auto"/>
              </w:rPr>
            </w:pPr>
            <w:r>
              <w:rPr>
                <w:rFonts w:ascii="Arial" w:cs="Arial" w:eastAsia="Arial" w:hAnsi="Arial"/>
                <w:sz w:val="20"/>
                <w:szCs w:val="20"/>
                <w:color w:val="FF0000"/>
                <w:strike w:val="1"/>
                <w:w w:val="80"/>
              </w:rPr>
              <w:t>52</w:t>
            </w:r>
          </w:p>
        </w:tc>
        <w:tc>
          <w:tcPr>
            <w:tcW w:w="1220" w:type="dxa"/>
            <w:vAlign w:val="bottom"/>
            <w:gridSpan w:val="5"/>
            <w:vMerge w:val="restart"/>
          </w:tcPr>
          <w:p>
            <w:pPr>
              <w:jc w:val="right"/>
              <w:spacing w:after="0"/>
              <w:rPr>
                <w:sz w:val="20"/>
                <w:szCs w:val="20"/>
                <w:color w:val="auto"/>
              </w:rPr>
            </w:pPr>
            <w:r>
              <w:rPr>
                <w:rFonts w:ascii="Arial" w:cs="Arial" w:eastAsia="Arial" w:hAnsi="Arial"/>
                <w:sz w:val="20"/>
                <w:szCs w:val="20"/>
                <w:color w:val="0000FF"/>
                <w:w w:val="98"/>
              </w:rPr>
              <w:t xml:space="preserve">55  </w:t>
            </w:r>
            <w:r>
              <w:rPr>
                <w:rFonts w:ascii="Arial" w:cs="Arial" w:eastAsia="Arial" w:hAnsi="Arial"/>
                <w:sz w:val="20"/>
                <w:szCs w:val="20"/>
                <w:color w:val="000000"/>
                <w:w w:val="98"/>
              </w:rPr>
              <w:t>SECTION</w:t>
            </w:r>
          </w:p>
        </w:tc>
        <w:tc>
          <w:tcPr>
            <w:tcW w:w="640" w:type="dxa"/>
            <w:vAlign w:val="bottom"/>
            <w:gridSpan w:val="10"/>
            <w:vMerge w:val="restart"/>
          </w:tcPr>
          <w:p>
            <w:pPr>
              <w:jc w:val="center"/>
              <w:ind w:left="21"/>
              <w:spacing w:after="0"/>
              <w:rPr>
                <w:sz w:val="20"/>
                <w:szCs w:val="20"/>
                <w:color w:val="auto"/>
              </w:rPr>
            </w:pPr>
            <w:r>
              <w:rPr>
                <w:rFonts w:ascii="Arial" w:cs="Arial" w:eastAsia="Arial" w:hAnsi="Arial"/>
                <w:sz w:val="20"/>
                <w:szCs w:val="20"/>
                <w:color w:val="auto"/>
                <w:w w:val="92"/>
              </w:rPr>
              <w:t>1.12</w:t>
            </w:r>
          </w:p>
        </w:tc>
        <w:tc>
          <w:tcPr>
            <w:tcW w:w="40" w:type="dxa"/>
            <w:vAlign w:val="bottom"/>
          </w:tcPr>
          <w:p>
            <w:pPr>
              <w:spacing w:after="0"/>
              <w:rPr>
                <w:sz w:val="19"/>
                <w:szCs w:val="19"/>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20"/>
                <w:szCs w:val="20"/>
                <w:color w:val="auto"/>
              </w:rPr>
              <w:t>Limited</w:t>
            </w:r>
          </w:p>
        </w:tc>
        <w:tc>
          <w:tcPr>
            <w:tcW w:w="940" w:type="dxa"/>
            <w:vAlign w:val="bottom"/>
            <w:gridSpan w:val="2"/>
            <w:vMerge w:val="restart"/>
          </w:tcPr>
          <w:p>
            <w:pPr>
              <w:spacing w:after="0"/>
              <w:rPr>
                <w:sz w:val="20"/>
                <w:szCs w:val="20"/>
                <w:color w:val="auto"/>
              </w:rPr>
            </w:pPr>
            <w:r>
              <w:rPr>
                <w:rFonts w:ascii="Arial" w:cs="Arial" w:eastAsia="Arial" w:hAnsi="Arial"/>
                <w:sz w:val="20"/>
                <w:szCs w:val="20"/>
                <w:color w:val="auto"/>
              </w:rPr>
              <w:t>Condition</w:t>
            </w:r>
          </w:p>
        </w:tc>
        <w:tc>
          <w:tcPr>
            <w:tcW w:w="1060" w:type="dxa"/>
            <w:vAlign w:val="bottom"/>
            <w:gridSpan w:val="3"/>
            <w:vMerge w:val="restart"/>
          </w:tcPr>
          <w:p>
            <w:pPr>
              <w:jc w:val="right"/>
              <w:spacing w:after="0"/>
              <w:rPr>
                <w:sz w:val="20"/>
                <w:szCs w:val="20"/>
                <w:color w:val="auto"/>
              </w:rPr>
            </w:pPr>
            <w:r>
              <w:rPr>
                <w:rFonts w:ascii="Arial" w:cs="Arial" w:eastAsia="Arial" w:hAnsi="Arial"/>
                <w:sz w:val="20"/>
                <w:szCs w:val="20"/>
                <w:color w:val="auto"/>
                <w:w w:val="97"/>
              </w:rPr>
              <w:t>Acquisitions</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640" w:type="dxa"/>
            <w:vAlign w:val="bottom"/>
            <w:gridSpan w:val="10"/>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260" w:type="dxa"/>
            <w:vAlign w:val="bottom"/>
            <w:gridSpan w:val="2"/>
          </w:tcPr>
          <w:p>
            <w:pPr>
              <w:spacing w:after="0"/>
              <w:rPr>
                <w:sz w:val="20"/>
                <w:szCs w:val="20"/>
                <w:color w:val="auto"/>
              </w:rPr>
            </w:pPr>
            <w:r>
              <w:rPr>
                <w:rFonts w:ascii="Arial" w:cs="Arial" w:eastAsia="Arial" w:hAnsi="Arial"/>
                <w:sz w:val="10"/>
                <w:szCs w:val="10"/>
                <w:color w:val="auto"/>
                <w:w w:val="70"/>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FF0000"/>
                <w:strike w:val="1"/>
                <w:w w:val="80"/>
              </w:rPr>
              <w:t>53</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0000FF"/>
                <w:w w:val="80"/>
              </w:rPr>
              <w:t>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0"/>
              </w:rPr>
              <w:t>54</w:t>
            </w:r>
          </w:p>
        </w:tc>
        <w:tc>
          <w:tcPr>
            <w:tcW w:w="300" w:type="dxa"/>
            <w:vAlign w:val="bottom"/>
            <w:vMerge w:val="restart"/>
          </w:tcPr>
          <w:p>
            <w:pPr>
              <w:jc w:val="right"/>
              <w:ind w:right="34"/>
              <w:spacing w:after="0"/>
              <w:rPr>
                <w:sz w:val="20"/>
                <w:szCs w:val="20"/>
                <w:color w:val="auto"/>
              </w:rPr>
            </w:pPr>
            <w:r>
              <w:rPr>
                <w:rFonts w:ascii="Arial" w:cs="Arial" w:eastAsia="Arial" w:hAnsi="Arial"/>
                <w:sz w:val="20"/>
                <w:szCs w:val="20"/>
                <w:color w:val="0000FF"/>
                <w:w w:val="80"/>
              </w:rPr>
              <w:t>58</w:t>
            </w:r>
          </w:p>
        </w:tc>
        <w:tc>
          <w:tcPr>
            <w:tcW w:w="200" w:type="dxa"/>
            <w:vAlign w:val="bottom"/>
          </w:tcPr>
          <w:p>
            <w:pPr>
              <w:spacing w:after="0"/>
              <w:rPr>
                <w:sz w:val="19"/>
                <w:szCs w:val="19"/>
                <w:color w:val="auto"/>
              </w:rPr>
            </w:pPr>
          </w:p>
        </w:tc>
        <w:tc>
          <w:tcPr>
            <w:tcW w:w="1220" w:type="dxa"/>
            <w:vAlign w:val="bottom"/>
            <w:gridSpan w:val="5"/>
            <w:vMerge w:val="restart"/>
          </w:tcPr>
          <w:p>
            <w:pPr>
              <w:jc w:val="right"/>
              <w:spacing w:after="0"/>
              <w:rPr>
                <w:sz w:val="20"/>
                <w:szCs w:val="20"/>
                <w:color w:val="auto"/>
              </w:rPr>
            </w:pPr>
            <w:r>
              <w:rPr>
                <w:rFonts w:ascii="Arial" w:cs="Arial" w:eastAsia="Arial" w:hAnsi="Arial"/>
                <w:sz w:val="20"/>
                <w:szCs w:val="20"/>
                <w:color w:val="auto"/>
              </w:rPr>
              <w:t>SECTION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20"/>
                <w:szCs w:val="20"/>
                <w:color w:val="auto"/>
              </w:rPr>
              <w:t>1.13</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20"/>
                <w:szCs w:val="20"/>
                <w:color w:val="auto"/>
              </w:rPr>
              <w:t>Divisions</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260" w:type="dxa"/>
            <w:vAlign w:val="bottom"/>
            <w:gridSpan w:val="2"/>
          </w:tcPr>
          <w:p>
            <w:pPr>
              <w:spacing w:after="0"/>
              <w:rPr>
                <w:sz w:val="20"/>
                <w:szCs w:val="20"/>
                <w:color w:val="auto"/>
              </w:rPr>
            </w:pPr>
            <w:r>
              <w:rPr>
                <w:rFonts w:ascii="Arial" w:cs="Arial" w:eastAsia="Arial" w:hAnsi="Arial"/>
                <w:sz w:val="5"/>
                <w:szCs w:val="5"/>
                <w:color w:val="auto"/>
                <w:w w:val="90"/>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760" w:type="dxa"/>
            <w:vAlign w:val="bottom"/>
            <w:gridSpan w:val="5"/>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gridSpan w:val="5"/>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20" w:type="dxa"/>
            <w:vAlign w:val="bottom"/>
            <w:gridSpan w:val="16"/>
          </w:tcPr>
          <w:p>
            <w:pPr>
              <w:jc w:val="right"/>
              <w:spacing w:after="0"/>
              <w:rPr>
                <w:sz w:val="20"/>
                <w:szCs w:val="20"/>
                <w:color w:val="auto"/>
              </w:rPr>
            </w:pPr>
            <w:r>
              <w:rPr>
                <w:rFonts w:ascii="Arial" w:cs="Arial" w:eastAsia="Arial" w:hAnsi="Arial"/>
                <w:sz w:val="16"/>
                <w:szCs w:val="16"/>
                <w:color w:val="auto"/>
                <w:w w:val="74"/>
              </w:rPr>
              <w:t>ARTICLE II  REVOLVING CREDIT FACILITY............................................................................</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FF0000"/>
                <w:strike w:val="1"/>
              </w:rPr>
              <w:t>54</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58</w:t>
            </w:r>
          </w:p>
        </w:tc>
        <w:tc>
          <w:tcPr>
            <w:tcW w:w="0" w:type="dxa"/>
            <w:vAlign w:val="bottom"/>
          </w:tcPr>
          <w:p>
            <w:pPr>
              <w:spacing w:after="0"/>
              <w:rPr>
                <w:sz w:val="1"/>
                <w:szCs w:val="1"/>
                <w:color w:val="auto"/>
              </w:rPr>
            </w:pPr>
          </w:p>
        </w:tc>
      </w:tr>
      <w:tr>
        <w:trPr>
          <w:trHeight w:val="310"/>
        </w:trPr>
        <w:tc>
          <w:tcPr>
            <w:tcW w:w="3640" w:type="dxa"/>
            <w:vAlign w:val="bottom"/>
            <w:gridSpan w:val="6"/>
          </w:tcPr>
          <w:p>
            <w:pPr>
              <w:spacing w:after="0"/>
              <w:rPr>
                <w:sz w:val="20"/>
                <w:szCs w:val="20"/>
                <w:color w:val="auto"/>
              </w:rPr>
            </w:pPr>
            <w:r>
              <w:rPr>
                <w:rFonts w:ascii="Arial" w:cs="Arial" w:eastAsia="Arial" w:hAnsi="Arial"/>
                <w:sz w:val="13"/>
                <w:szCs w:val="13"/>
                <w:color w:val="auto"/>
                <w:w w:val="73"/>
              </w:rPr>
              <w:t>SECTION 2.1 Revolving Credit Loans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rPr>
              <w:t>54</w:t>
            </w:r>
          </w:p>
        </w:tc>
        <w:tc>
          <w:tcPr>
            <w:tcW w:w="360" w:type="dxa"/>
            <w:vAlign w:val="bottom"/>
            <w:gridSpan w:val="5"/>
          </w:tcPr>
          <w:p>
            <w:pPr>
              <w:spacing w:after="0"/>
              <w:rPr>
                <w:sz w:val="20"/>
                <w:szCs w:val="20"/>
                <w:color w:val="auto"/>
              </w:rPr>
            </w:pPr>
            <w:r>
              <w:rPr>
                <w:rFonts w:ascii="Arial" w:cs="Arial" w:eastAsia="Arial" w:hAnsi="Arial"/>
                <w:sz w:val="20"/>
                <w:szCs w:val="20"/>
                <w:color w:val="0000FF"/>
              </w:rPr>
              <w:t>58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gridSpan w:val="6"/>
          </w:tcPr>
          <w:p>
            <w:pPr>
              <w:spacing w:after="0"/>
              <w:rPr>
                <w:sz w:val="20"/>
                <w:szCs w:val="20"/>
                <w:color w:val="auto"/>
              </w:rPr>
            </w:pPr>
            <w:r>
              <w:rPr>
                <w:rFonts w:ascii="Arial" w:cs="Arial" w:eastAsia="Arial" w:hAnsi="Arial"/>
                <w:sz w:val="13"/>
                <w:szCs w:val="13"/>
                <w:color w:val="auto"/>
                <w:w w:val="73"/>
              </w:rPr>
              <w:t>SECTION 2.2 Swingline Loans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55</w:t>
            </w:r>
          </w:p>
        </w:tc>
        <w:tc>
          <w:tcPr>
            <w:tcW w:w="340" w:type="dxa"/>
            <w:vAlign w:val="bottom"/>
            <w:gridSpan w:val="4"/>
          </w:tcPr>
          <w:p>
            <w:pPr>
              <w:spacing w:after="0"/>
              <w:rPr>
                <w:sz w:val="20"/>
                <w:szCs w:val="20"/>
                <w:color w:val="auto"/>
              </w:rPr>
            </w:pPr>
            <w:r>
              <w:rPr>
                <w:rFonts w:ascii="Arial" w:cs="Arial" w:eastAsia="Arial" w:hAnsi="Arial"/>
                <w:sz w:val="20"/>
                <w:szCs w:val="20"/>
                <w:color w:val="0000FF"/>
              </w:rPr>
              <w:t>59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60" w:type="dxa"/>
            <w:vAlign w:val="bottom"/>
            <w:gridSpan w:val="32"/>
          </w:tcPr>
          <w:p>
            <w:pPr>
              <w:spacing w:after="0"/>
              <w:rPr>
                <w:sz w:val="20"/>
                <w:szCs w:val="20"/>
                <w:color w:val="auto"/>
              </w:rPr>
            </w:pPr>
            <w:r>
              <w:rPr>
                <w:rFonts w:ascii="Arial" w:cs="Arial" w:eastAsia="Arial" w:hAnsi="Arial"/>
                <w:sz w:val="20"/>
                <w:szCs w:val="20"/>
                <w:color w:val="auto"/>
                <w:w w:val="96"/>
              </w:rPr>
              <w:t>SECTION 2.3  Procedure for Advances of Revolving Credit Loans and Swingline Loans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5"/>
                <w:szCs w:val="5"/>
                <w:color w:val="auto"/>
                <w:w w:val="95"/>
              </w:rPr>
              <w:t>...................................................................................................</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rPr>
              <w:t>56</w:t>
            </w: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color w:val="0000FF"/>
                <w:w w:val="71"/>
              </w:rPr>
              <w:t>60</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00" w:type="dxa"/>
            <w:vAlign w:val="bottom"/>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260" w:type="dxa"/>
            <w:vAlign w:val="bottom"/>
            <w:gridSpan w:val="2"/>
          </w:tcPr>
          <w:p>
            <w:pPr>
              <w:spacing w:after="0"/>
              <w:rPr>
                <w:sz w:val="20"/>
                <w:szCs w:val="20"/>
                <w:color w:val="auto"/>
              </w:rPr>
            </w:pPr>
            <w:r>
              <w:rPr>
                <w:rFonts w:ascii="Arial" w:cs="Arial" w:eastAsia="Arial" w:hAnsi="Arial"/>
                <w:sz w:val="20"/>
                <w:szCs w:val="20"/>
                <w:color w:val="auto"/>
              </w:rPr>
              <w:t>SECTION 2.4</w:t>
            </w:r>
          </w:p>
        </w:tc>
        <w:tc>
          <w:tcPr>
            <w:tcW w:w="6200" w:type="dxa"/>
            <w:vAlign w:val="bottom"/>
            <w:gridSpan w:val="30"/>
          </w:tcPr>
          <w:p>
            <w:pPr>
              <w:jc w:val="right"/>
              <w:ind w:right="241"/>
              <w:spacing w:after="0"/>
              <w:rPr>
                <w:sz w:val="20"/>
                <w:szCs w:val="20"/>
                <w:color w:val="auto"/>
              </w:rPr>
            </w:pPr>
            <w:r>
              <w:rPr>
                <w:rFonts w:ascii="Arial" w:cs="Arial" w:eastAsia="Arial" w:hAnsi="Arial"/>
                <w:sz w:val="20"/>
                <w:szCs w:val="20"/>
                <w:color w:val="auto"/>
                <w:w w:val="94"/>
              </w:rPr>
              <w:t>Repayment and Prepayment of Revolving Credit and Swingline Loans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0" w:type="dxa"/>
            <w:vAlign w:val="bottom"/>
            <w:gridSpan w:val="19"/>
            <w:vMerge w:val="restart"/>
          </w:tcPr>
          <w:p>
            <w:pPr>
              <w:ind w:left="260"/>
              <w:spacing w:after="0"/>
              <w:rPr>
                <w:sz w:val="20"/>
                <w:szCs w:val="20"/>
                <w:color w:val="auto"/>
              </w:rPr>
            </w:pPr>
            <w:r>
              <w:rPr>
                <w:rFonts w:ascii="Arial" w:cs="Arial" w:eastAsia="Arial" w:hAnsi="Arial"/>
                <w:sz w:val="21"/>
                <w:szCs w:val="21"/>
                <w:color w:val="auto"/>
                <w:w w:val="71"/>
                <w:vertAlign w:val="subscript"/>
              </w:rPr>
              <w:t>SECTION 2.5  Permanent</w:t>
            </w:r>
            <w:r>
              <w:rPr>
                <w:rFonts w:ascii="Arial" w:cs="Arial" w:eastAsia="Arial" w:hAnsi="Arial"/>
                <w:sz w:val="13"/>
                <w:szCs w:val="13"/>
                <w:color w:val="auto"/>
                <w:w w:val="71"/>
              </w:rPr>
              <w:t>..................................................................................................</w:t>
            </w:r>
            <w:r>
              <w:rPr>
                <w:rFonts w:ascii="Arial" w:cs="Arial" w:eastAsia="Arial" w:hAnsi="Arial"/>
                <w:sz w:val="21"/>
                <w:szCs w:val="21"/>
                <w:color w:val="auto"/>
                <w:w w:val="71"/>
                <w:vertAlign w:val="subscript"/>
              </w:rPr>
              <w:t>ReductionoftheRevolvingCreditCommitment</w:t>
            </w:r>
            <w:r>
              <w:rPr>
                <w:rFonts w:ascii="Arial" w:cs="Arial" w:eastAsia="Arial" w:hAnsi="Arial"/>
                <w:sz w:val="13"/>
                <w:szCs w:val="13"/>
                <w:color w:val="auto"/>
                <w:w w:val="71"/>
              </w:rPr>
              <w:t>..................</w:t>
            </w:r>
          </w:p>
        </w:tc>
        <w:tc>
          <w:tcPr>
            <w:tcW w:w="320" w:type="dxa"/>
            <w:vAlign w:val="bottom"/>
          </w:tcPr>
          <w:p>
            <w:pPr>
              <w:jc w:val="right"/>
              <w:spacing w:after="0"/>
              <w:rPr>
                <w:sz w:val="20"/>
                <w:szCs w:val="20"/>
                <w:color w:val="auto"/>
              </w:rPr>
            </w:pPr>
            <w:r>
              <w:rPr>
                <w:rFonts w:ascii="Arial" w:cs="Arial" w:eastAsia="Arial" w:hAnsi="Arial"/>
                <w:sz w:val="20"/>
                <w:szCs w:val="20"/>
                <w:color w:val="FF0000"/>
                <w:strike w:val="1"/>
              </w:rPr>
              <w:t>57</w:t>
            </w:r>
          </w:p>
        </w:tc>
        <w:tc>
          <w:tcPr>
            <w:tcW w:w="200" w:type="dxa"/>
            <w:vAlign w:val="bottom"/>
            <w:gridSpan w:val="4"/>
          </w:tcPr>
          <w:p>
            <w:pPr>
              <w:jc w:val="right"/>
              <w:spacing w:after="0"/>
              <w:rPr>
                <w:sz w:val="20"/>
                <w:szCs w:val="20"/>
                <w:color w:val="auto"/>
              </w:rPr>
            </w:pPr>
            <w:r>
              <w:rPr>
                <w:rFonts w:ascii="Arial" w:cs="Arial" w:eastAsia="Arial" w:hAnsi="Arial"/>
                <w:sz w:val="20"/>
                <w:szCs w:val="20"/>
                <w:color w:val="0000FF"/>
                <w:w w:val="80"/>
              </w:rPr>
              <w:t>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0"/>
              </w:rPr>
              <w:t>59</w:t>
            </w:r>
          </w:p>
        </w:tc>
        <w:tc>
          <w:tcPr>
            <w:tcW w:w="1400" w:type="dxa"/>
            <w:vAlign w:val="bottom"/>
            <w:gridSpan w:val="6"/>
            <w:vMerge w:val="restart"/>
          </w:tcPr>
          <w:p>
            <w:pPr>
              <w:spacing w:after="0"/>
              <w:rPr>
                <w:sz w:val="20"/>
                <w:szCs w:val="20"/>
                <w:color w:val="auto"/>
              </w:rPr>
            </w:pPr>
            <w:r>
              <w:rPr>
                <w:rFonts w:ascii="Arial" w:cs="Arial" w:eastAsia="Arial" w:hAnsi="Arial"/>
                <w:sz w:val="20"/>
                <w:szCs w:val="20"/>
                <w:color w:val="0000FF"/>
                <w:w w:val="91"/>
              </w:rPr>
              <w:t xml:space="preserve">63 </w:t>
            </w:r>
            <w:r>
              <w:rPr>
                <w:rFonts w:ascii="Arial" w:cs="Arial" w:eastAsia="Arial" w:hAnsi="Arial"/>
                <w:sz w:val="20"/>
                <w:szCs w:val="20"/>
                <w:color w:val="000000"/>
                <w:w w:val="91"/>
              </w:rPr>
              <w:t>SECTION 2.6</w:t>
            </w:r>
          </w:p>
        </w:tc>
        <w:tc>
          <w:tcPr>
            <w:tcW w:w="1540" w:type="dxa"/>
            <w:vAlign w:val="bottom"/>
            <w:gridSpan w:val="4"/>
            <w:vMerge w:val="restart"/>
          </w:tcPr>
          <w:p>
            <w:pPr>
              <w:jc w:val="right"/>
              <w:spacing w:after="0"/>
              <w:rPr>
                <w:sz w:val="20"/>
                <w:szCs w:val="20"/>
                <w:color w:val="auto"/>
              </w:rPr>
            </w:pPr>
            <w:r>
              <w:rPr>
                <w:rFonts w:ascii="Arial" w:cs="Arial" w:eastAsia="Arial" w:hAnsi="Arial"/>
                <w:sz w:val="20"/>
                <w:szCs w:val="20"/>
                <w:color w:val="auto"/>
              </w:rPr>
              <w:t>Termination of</w:t>
            </w:r>
          </w:p>
        </w:tc>
        <w:tc>
          <w:tcPr>
            <w:tcW w:w="0" w:type="dxa"/>
            <w:vAlign w:val="bottom"/>
          </w:tcPr>
          <w:p>
            <w:pPr>
              <w:spacing w:after="0"/>
              <w:rPr>
                <w:sz w:val="1"/>
                <w:szCs w:val="1"/>
                <w:color w:val="auto"/>
              </w:rPr>
            </w:pPr>
          </w:p>
        </w:tc>
      </w:tr>
      <w:tr>
        <w:trPr>
          <w:trHeight w:val="378"/>
        </w:trPr>
        <w:tc>
          <w:tcPr>
            <w:tcW w:w="6400" w:type="dxa"/>
            <w:vAlign w:val="bottom"/>
            <w:gridSpan w:val="19"/>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1400" w:type="dxa"/>
            <w:vAlign w:val="bottom"/>
            <w:gridSpan w:val="6"/>
            <w:vMerge w:val="continue"/>
          </w:tcPr>
          <w:p>
            <w:pPr>
              <w:spacing w:after="0"/>
              <w:rPr>
                <w:sz w:val="24"/>
                <w:szCs w:val="24"/>
                <w:color w:val="auto"/>
              </w:rPr>
            </w:pPr>
          </w:p>
        </w:tc>
        <w:tc>
          <w:tcPr>
            <w:tcW w:w="15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gridSpan w:val="13"/>
          </w:tcPr>
          <w:p>
            <w:pPr>
              <w:jc w:val="right"/>
              <w:spacing w:after="0"/>
              <w:rPr>
                <w:sz w:val="20"/>
                <w:szCs w:val="20"/>
                <w:color w:val="auto"/>
              </w:rPr>
            </w:pPr>
            <w:r>
              <w:rPr>
                <w:rFonts w:ascii="Arial" w:cs="Arial" w:eastAsia="Arial" w:hAnsi="Arial"/>
                <w:sz w:val="20"/>
                <w:szCs w:val="20"/>
                <w:color w:val="auto"/>
                <w:w w:val="78"/>
              </w:rPr>
              <w:t>Revolving Credit Facility ................................................</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20"/>
                <w:szCs w:val="20"/>
                <w:color w:val="FF0000"/>
                <w:strike w:val="1"/>
              </w:rPr>
              <w:t>59</w:t>
            </w:r>
          </w:p>
        </w:tc>
        <w:tc>
          <w:tcPr>
            <w:tcW w:w="3320" w:type="dxa"/>
            <w:vAlign w:val="bottom"/>
            <w:gridSpan w:val="16"/>
          </w:tcPr>
          <w:p>
            <w:pPr>
              <w:jc w:val="right"/>
              <w:spacing w:after="0"/>
              <w:rPr>
                <w:sz w:val="20"/>
                <w:szCs w:val="20"/>
                <w:color w:val="auto"/>
              </w:rPr>
            </w:pPr>
            <w:r>
              <w:rPr>
                <w:rFonts w:ascii="Arial" w:cs="Arial" w:eastAsia="Arial" w:hAnsi="Arial"/>
                <w:sz w:val="20"/>
                <w:szCs w:val="20"/>
                <w:color w:val="0000FF"/>
                <w:w w:val="98"/>
              </w:rPr>
              <w:t xml:space="preserve">63 </w:t>
            </w:r>
            <w:r>
              <w:rPr>
                <w:rFonts w:ascii="Arial" w:cs="Arial" w:eastAsia="Arial" w:hAnsi="Arial"/>
                <w:sz w:val="20"/>
                <w:szCs w:val="20"/>
                <w:color w:val="000000"/>
                <w:w w:val="98"/>
              </w:rPr>
              <w:t>ARTICLE III  LETTER OF CREDIT</w:t>
            </w:r>
          </w:p>
        </w:tc>
        <w:tc>
          <w:tcPr>
            <w:tcW w:w="0" w:type="dxa"/>
            <w:vAlign w:val="bottom"/>
          </w:tcPr>
          <w:p>
            <w:pPr>
              <w:spacing w:after="0"/>
              <w:rPr>
                <w:sz w:val="1"/>
                <w:szCs w:val="1"/>
                <w:color w:val="auto"/>
              </w:rPr>
            </w:pPr>
          </w:p>
        </w:tc>
      </w:tr>
      <w:tr>
        <w:trPr>
          <w:trHeight w:val="338"/>
        </w:trPr>
        <w:tc>
          <w:tcPr>
            <w:tcW w:w="3640" w:type="dxa"/>
            <w:vAlign w:val="bottom"/>
            <w:gridSpan w:val="6"/>
            <w:vMerge w:val="restart"/>
          </w:tcPr>
          <w:p>
            <w:pPr>
              <w:spacing w:after="0"/>
              <w:rPr>
                <w:sz w:val="20"/>
                <w:szCs w:val="20"/>
                <w:color w:val="auto"/>
              </w:rPr>
            </w:pPr>
            <w:r>
              <w:rPr>
                <w:rFonts w:ascii="Arial" w:cs="Arial" w:eastAsia="Arial" w:hAnsi="Arial"/>
                <w:sz w:val="13"/>
                <w:szCs w:val="13"/>
                <w:color w:val="auto"/>
                <w:w w:val="73"/>
              </w:rPr>
              <w:t>SECTION 3.1 L/C Facility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Arial" w:cs="Arial" w:eastAsia="Arial" w:hAnsi="Arial"/>
                <w:sz w:val="7"/>
                <w:szCs w:val="7"/>
                <w:color w:val="auto"/>
                <w:w w:val="76"/>
              </w:rPr>
              <w:t>FACILITY..............................................................................</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color w:val="FF0000"/>
                <w:strike w:val="1"/>
                <w:w w:val="80"/>
              </w:rPr>
              <w:t>60</w:t>
            </w:r>
          </w:p>
        </w:tc>
        <w:tc>
          <w:tcPr>
            <w:tcW w:w="360" w:type="dxa"/>
            <w:vAlign w:val="bottom"/>
            <w:gridSpan w:val="5"/>
            <w:vMerge w:val="restart"/>
          </w:tcPr>
          <w:p>
            <w:pPr>
              <w:spacing w:after="0"/>
              <w:rPr>
                <w:sz w:val="20"/>
                <w:szCs w:val="20"/>
                <w:color w:val="auto"/>
              </w:rPr>
            </w:pPr>
            <w:r>
              <w:rPr>
                <w:rFonts w:ascii="Arial" w:cs="Arial" w:eastAsia="Arial" w:hAnsi="Arial"/>
                <w:sz w:val="20"/>
                <w:szCs w:val="20"/>
                <w:color w:val="0000FF"/>
              </w:rPr>
              <w:t>63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FF0000"/>
                <w:strike w:val="1"/>
              </w:rPr>
              <w:t>60</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63</w:t>
            </w:r>
          </w:p>
        </w:tc>
        <w:tc>
          <w:tcPr>
            <w:tcW w:w="0" w:type="dxa"/>
            <w:vAlign w:val="bottom"/>
          </w:tcPr>
          <w:p>
            <w:pPr>
              <w:spacing w:after="0"/>
              <w:rPr>
                <w:sz w:val="1"/>
                <w:szCs w:val="1"/>
                <w:color w:val="auto"/>
              </w:rPr>
            </w:pPr>
          </w:p>
        </w:tc>
      </w:tr>
      <w:tr>
        <w:trPr>
          <w:trHeight w:val="270"/>
        </w:trPr>
        <w:tc>
          <w:tcPr>
            <w:tcW w:w="3640" w:type="dxa"/>
            <w:vAlign w:val="bottom"/>
            <w:gridSpan w:val="6"/>
            <w:vMerge w:val="continue"/>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4"/>
            <w:vMerge w:val="continue"/>
          </w:tcPr>
          <w:p>
            <w:pPr>
              <w:spacing w:after="0"/>
              <w:rPr>
                <w:sz w:val="23"/>
                <w:szCs w:val="23"/>
                <w:color w:val="auto"/>
              </w:rPr>
            </w:pPr>
          </w:p>
        </w:tc>
        <w:tc>
          <w:tcPr>
            <w:tcW w:w="360" w:type="dxa"/>
            <w:vAlign w:val="bottom"/>
            <w:gridSpan w:val="5"/>
            <w:vMerge w:val="continue"/>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5400" w:type="dxa"/>
            <w:vAlign w:val="bottom"/>
            <w:gridSpan w:val="16"/>
          </w:tcPr>
          <w:p>
            <w:pPr>
              <w:spacing w:after="0"/>
              <w:rPr>
                <w:sz w:val="20"/>
                <w:szCs w:val="20"/>
                <w:color w:val="auto"/>
              </w:rPr>
            </w:pPr>
            <w:r>
              <w:rPr>
                <w:rFonts w:ascii="Arial" w:cs="Arial" w:eastAsia="Arial" w:hAnsi="Arial"/>
                <w:sz w:val="20"/>
                <w:szCs w:val="20"/>
                <w:color w:val="auto"/>
                <w:w w:val="70"/>
              </w:rPr>
              <w:t>SECTION 3.2 Procedure for Issuance of Letters of Credit..............................................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rPr>
              <w:t>61</w:t>
            </w:r>
          </w:p>
        </w:tc>
        <w:tc>
          <w:tcPr>
            <w:tcW w:w="200" w:type="dxa"/>
            <w:vAlign w:val="bottom"/>
            <w:gridSpan w:val="4"/>
          </w:tcPr>
          <w:p>
            <w:pPr>
              <w:spacing w:after="0"/>
              <w:rPr>
                <w:sz w:val="20"/>
                <w:szCs w:val="20"/>
                <w:color w:val="auto"/>
              </w:rPr>
            </w:pPr>
            <w:r>
              <w:rPr>
                <w:rFonts w:ascii="Arial" w:cs="Arial" w:eastAsia="Arial" w:hAnsi="Arial"/>
                <w:sz w:val="20"/>
                <w:szCs w:val="20"/>
                <w:color w:val="0000FF"/>
                <w:w w:val="80"/>
              </w:rPr>
              <w:t>65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0" w:type="dxa"/>
            <w:vAlign w:val="bottom"/>
            <w:gridSpan w:val="16"/>
          </w:tcPr>
          <w:p>
            <w:pPr>
              <w:spacing w:after="0"/>
              <w:rPr>
                <w:sz w:val="20"/>
                <w:szCs w:val="20"/>
                <w:color w:val="auto"/>
              </w:rPr>
            </w:pPr>
            <w:r>
              <w:rPr>
                <w:rFonts w:ascii="Arial" w:cs="Arial" w:eastAsia="Arial" w:hAnsi="Arial"/>
                <w:sz w:val="20"/>
                <w:szCs w:val="20"/>
                <w:color w:val="auto"/>
                <w:w w:val="70"/>
              </w:rPr>
              <w:t>SECTION 3.3 Commissions and Other Charges .............................................................</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61</w:t>
            </w:r>
          </w:p>
        </w:tc>
        <w:tc>
          <w:tcPr>
            <w:tcW w:w="360" w:type="dxa"/>
            <w:vAlign w:val="bottom"/>
            <w:gridSpan w:val="5"/>
          </w:tcPr>
          <w:p>
            <w:pPr>
              <w:spacing w:after="0"/>
              <w:rPr>
                <w:sz w:val="20"/>
                <w:szCs w:val="20"/>
                <w:color w:val="auto"/>
              </w:rPr>
            </w:pPr>
            <w:r>
              <w:rPr>
                <w:rFonts w:ascii="Arial" w:cs="Arial" w:eastAsia="Arial" w:hAnsi="Arial"/>
                <w:sz w:val="20"/>
                <w:szCs w:val="20"/>
                <w:color w:val="0000FF"/>
              </w:rPr>
              <w:t>65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40" w:type="dxa"/>
            <w:vAlign w:val="bottom"/>
            <w:gridSpan w:val="6"/>
          </w:tcPr>
          <w:p>
            <w:pPr>
              <w:spacing w:after="0"/>
              <w:rPr>
                <w:sz w:val="20"/>
                <w:szCs w:val="20"/>
                <w:color w:val="auto"/>
              </w:rPr>
            </w:pPr>
            <w:r>
              <w:rPr>
                <w:rFonts w:ascii="Arial" w:cs="Arial" w:eastAsia="Arial" w:hAnsi="Arial"/>
                <w:sz w:val="13"/>
                <w:szCs w:val="13"/>
                <w:color w:val="auto"/>
                <w:w w:val="73"/>
              </w:rPr>
              <w:t>SECTION 3.4 L/C Participations.....................................................................................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20"/>
                <w:szCs w:val="20"/>
                <w:color w:val="FF0000"/>
                <w:strike w:val="1"/>
              </w:rPr>
              <w:t>62</w:t>
            </w:r>
          </w:p>
        </w:tc>
        <w:tc>
          <w:tcPr>
            <w:tcW w:w="220" w:type="dxa"/>
            <w:vAlign w:val="bottom"/>
            <w:gridSpan w:val="5"/>
          </w:tcPr>
          <w:p>
            <w:pPr>
              <w:jc w:val="center"/>
              <w:spacing w:after="0"/>
              <w:rPr>
                <w:sz w:val="20"/>
                <w:szCs w:val="20"/>
                <w:color w:val="auto"/>
              </w:rPr>
            </w:pPr>
            <w:r>
              <w:rPr>
                <w:rFonts w:ascii="Arial" w:cs="Arial" w:eastAsia="Arial" w:hAnsi="Arial"/>
                <w:sz w:val="20"/>
                <w:szCs w:val="20"/>
                <w:color w:val="0000FF"/>
                <w:w w:val="89"/>
              </w:rPr>
              <w:t>65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0" w:type="dxa"/>
            <w:vAlign w:val="bottom"/>
            <w:gridSpan w:val="16"/>
          </w:tcPr>
          <w:p>
            <w:pPr>
              <w:spacing w:after="0"/>
              <w:rPr>
                <w:sz w:val="20"/>
                <w:szCs w:val="20"/>
                <w:color w:val="auto"/>
              </w:rPr>
            </w:pPr>
            <w:r>
              <w:rPr>
                <w:rFonts w:ascii="Arial" w:cs="Arial" w:eastAsia="Arial" w:hAnsi="Arial"/>
                <w:sz w:val="19"/>
                <w:szCs w:val="19"/>
                <w:color w:val="auto"/>
                <w:w w:val="71"/>
              </w:rPr>
              <w:t>SECTION  3.5  Reimbursement  Obligation  of  the  Borrowers...........................................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20"/>
                <w:szCs w:val="20"/>
                <w:color w:val="FF0000"/>
                <w:strike w:val="1"/>
                <w:w w:val="80"/>
              </w:rPr>
              <w:t>62</w:t>
            </w:r>
          </w:p>
        </w:tc>
        <w:tc>
          <w:tcPr>
            <w:tcW w:w="2640" w:type="dxa"/>
            <w:vAlign w:val="bottom"/>
            <w:gridSpan w:val="7"/>
          </w:tcPr>
          <w:p>
            <w:pPr>
              <w:jc w:val="right"/>
              <w:spacing w:after="0"/>
              <w:rPr>
                <w:sz w:val="20"/>
                <w:szCs w:val="20"/>
                <w:color w:val="auto"/>
              </w:rPr>
            </w:pPr>
            <w:r>
              <w:rPr>
                <w:rFonts w:ascii="Arial" w:cs="Arial" w:eastAsia="Arial" w:hAnsi="Arial"/>
                <w:sz w:val="20"/>
                <w:szCs w:val="20"/>
                <w:color w:val="0000FF"/>
                <w:w w:val="96"/>
              </w:rPr>
              <w:t xml:space="preserve">66  </w:t>
            </w:r>
            <w:r>
              <w:rPr>
                <w:rFonts w:ascii="Arial" w:cs="Arial" w:eastAsia="Arial" w:hAnsi="Arial"/>
                <w:sz w:val="20"/>
                <w:szCs w:val="20"/>
                <w:color w:val="000000"/>
                <w:w w:val="96"/>
              </w:rPr>
              <w:t>SECTION  3.6  Obligations</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Arial" w:cs="Arial" w:eastAsia="Arial" w:hAnsi="Arial"/>
                <w:sz w:val="5"/>
                <w:szCs w:val="5"/>
                <w:color w:val="auto"/>
                <w:w w:val="73"/>
              </w:rPr>
              <w:t>Absolute................................................................................</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FF0000"/>
                <w:strike w:val="1"/>
                <w:w w:val="80"/>
              </w:rPr>
              <w:t>63</w:t>
            </w:r>
          </w:p>
        </w:tc>
        <w:tc>
          <w:tcPr>
            <w:tcW w:w="720" w:type="dxa"/>
            <w:vAlign w:val="bottom"/>
            <w:vMerge w:val="restart"/>
          </w:tcPr>
          <w:p>
            <w:pPr>
              <w:jc w:val="right"/>
              <w:ind w:right="421"/>
              <w:spacing w:after="0"/>
              <w:rPr>
                <w:sz w:val="20"/>
                <w:szCs w:val="20"/>
                <w:color w:val="auto"/>
              </w:rPr>
            </w:pPr>
            <w:r>
              <w:rPr>
                <w:rFonts w:ascii="Arial" w:cs="Arial" w:eastAsia="Arial" w:hAnsi="Arial"/>
                <w:sz w:val="20"/>
                <w:szCs w:val="20"/>
                <w:color w:val="0000FF"/>
                <w:w w:val="80"/>
              </w:rPr>
              <w:t>67</w:t>
            </w:r>
          </w:p>
        </w:tc>
        <w:tc>
          <w:tcPr>
            <w:tcW w:w="440" w:type="dxa"/>
            <w:vAlign w:val="bottom"/>
          </w:tcPr>
          <w:p>
            <w:pPr>
              <w:spacing w:after="0"/>
              <w:rPr>
                <w:sz w:val="24"/>
                <w:szCs w:val="24"/>
                <w:color w:val="auto"/>
              </w:rPr>
            </w:pPr>
          </w:p>
        </w:tc>
        <w:tc>
          <w:tcPr>
            <w:tcW w:w="760" w:type="dxa"/>
            <w:vAlign w:val="bottom"/>
            <w:gridSpan w:val="5"/>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63</w:t>
            </w:r>
          </w:p>
        </w:tc>
        <w:tc>
          <w:tcPr>
            <w:tcW w:w="360" w:type="dxa"/>
            <w:vAlign w:val="bottom"/>
            <w:gridSpan w:val="2"/>
          </w:tcPr>
          <w:p>
            <w:pPr>
              <w:jc w:val="right"/>
              <w:ind w:right="94"/>
              <w:spacing w:after="0"/>
              <w:rPr>
                <w:sz w:val="20"/>
                <w:szCs w:val="20"/>
                <w:color w:val="auto"/>
              </w:rPr>
            </w:pPr>
            <w:r>
              <w:rPr>
                <w:rFonts w:ascii="Arial" w:cs="Arial" w:eastAsia="Arial" w:hAnsi="Arial"/>
                <w:sz w:val="20"/>
                <w:szCs w:val="20"/>
                <w:color w:val="0000FF"/>
                <w:w w:val="80"/>
              </w:rPr>
              <w:t>67</w:t>
            </w:r>
          </w:p>
        </w:tc>
        <w:tc>
          <w:tcPr>
            <w:tcW w:w="1000" w:type="dxa"/>
            <w:vAlign w:val="bottom"/>
            <w:gridSpan w:val="3"/>
          </w:tcPr>
          <w:p>
            <w:pPr>
              <w:spacing w:after="0"/>
              <w:rPr>
                <w:sz w:val="20"/>
                <w:szCs w:val="20"/>
                <w:color w:val="auto"/>
              </w:rPr>
            </w:pPr>
            <w:r>
              <w:rPr>
                <w:rFonts w:ascii="Arial" w:cs="Arial" w:eastAsia="Arial" w:hAnsi="Arial"/>
                <w:sz w:val="20"/>
                <w:szCs w:val="20"/>
                <w:color w:val="auto"/>
              </w:rPr>
              <w:t>SECTION</w:t>
            </w:r>
          </w:p>
        </w:tc>
        <w:tc>
          <w:tcPr>
            <w:tcW w:w="320" w:type="dxa"/>
            <w:vAlign w:val="bottom"/>
          </w:tcPr>
          <w:p>
            <w:pPr>
              <w:jc w:val="right"/>
              <w:spacing w:after="0"/>
              <w:rPr>
                <w:sz w:val="20"/>
                <w:szCs w:val="20"/>
                <w:color w:val="auto"/>
              </w:rPr>
            </w:pPr>
            <w:r>
              <w:rPr>
                <w:rFonts w:ascii="Arial" w:cs="Arial" w:eastAsia="Arial" w:hAnsi="Arial"/>
                <w:sz w:val="20"/>
                <w:szCs w:val="20"/>
                <w:color w:val="auto"/>
                <w:w w:val="86"/>
              </w:rPr>
              <w:t>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10"/>
          </w:tcPr>
          <w:p>
            <w:pPr>
              <w:jc w:val="center"/>
              <w:ind w:right="61"/>
              <w:spacing w:after="0"/>
              <w:rPr>
                <w:sz w:val="20"/>
                <w:szCs w:val="20"/>
                <w:color w:val="auto"/>
              </w:rPr>
            </w:pPr>
            <w:r>
              <w:rPr>
                <w:rFonts w:ascii="Arial" w:cs="Arial" w:eastAsia="Arial" w:hAnsi="Arial"/>
                <w:sz w:val="20"/>
                <w:szCs w:val="20"/>
                <w:color w:val="auto"/>
                <w:w w:val="93"/>
              </w:rPr>
              <w:t>Effect</w:t>
            </w:r>
          </w:p>
        </w:tc>
        <w:tc>
          <w:tcPr>
            <w:tcW w:w="220" w:type="dxa"/>
            <w:vAlign w:val="bottom"/>
            <w:gridSpan w:val="2"/>
          </w:tcPr>
          <w:p>
            <w:pPr>
              <w:ind w:left="20"/>
              <w:spacing w:after="0"/>
              <w:rPr>
                <w:sz w:val="20"/>
                <w:szCs w:val="20"/>
                <w:color w:val="auto"/>
              </w:rPr>
            </w:pPr>
            <w:r>
              <w:rPr>
                <w:rFonts w:ascii="Arial" w:cs="Arial" w:eastAsia="Arial" w:hAnsi="Arial"/>
                <w:sz w:val="20"/>
                <w:szCs w:val="20"/>
                <w:color w:val="auto"/>
              </w:rPr>
              <w:t>of</w:t>
            </w:r>
          </w:p>
        </w:tc>
        <w:tc>
          <w:tcPr>
            <w:tcW w:w="8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20"/>
                <w:szCs w:val="20"/>
                <w:color w:val="auto"/>
              </w:rPr>
              <w:t>Letter</w:t>
            </w:r>
          </w:p>
        </w:tc>
        <w:tc>
          <w:tcPr>
            <w:tcW w:w="940" w:type="dxa"/>
            <w:vAlign w:val="bottom"/>
            <w:gridSpan w:val="2"/>
          </w:tcPr>
          <w:p>
            <w:pPr>
              <w:jc w:val="center"/>
              <w:spacing w:after="0"/>
              <w:rPr>
                <w:sz w:val="20"/>
                <w:szCs w:val="20"/>
                <w:color w:val="auto"/>
              </w:rPr>
            </w:pPr>
            <w:r>
              <w:rPr>
                <w:rFonts w:ascii="Arial" w:cs="Arial" w:eastAsia="Arial" w:hAnsi="Arial"/>
                <w:sz w:val="20"/>
                <w:szCs w:val="20"/>
                <w:color w:val="auto"/>
              </w:rPr>
              <w:t>of  Credit</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Application</w:t>
            </w:r>
          </w:p>
        </w:tc>
        <w:tc>
          <w:tcPr>
            <w:tcW w:w="0" w:type="dxa"/>
            <w:vAlign w:val="bottom"/>
          </w:tcPr>
          <w:p>
            <w:pPr>
              <w:spacing w:after="0"/>
              <w:rPr>
                <w:sz w:val="1"/>
                <w:szCs w:val="1"/>
                <w:color w:val="auto"/>
              </w:rPr>
            </w:pPr>
          </w:p>
        </w:tc>
      </w:tr>
      <w:tr>
        <w:trPr>
          <w:trHeight w:val="226"/>
        </w:trPr>
        <w:tc>
          <w:tcPr>
            <w:tcW w:w="1260" w:type="dxa"/>
            <w:vAlign w:val="bottom"/>
            <w:gridSpan w:val="2"/>
          </w:tcPr>
          <w:p>
            <w:pPr>
              <w:spacing w:after="0"/>
              <w:rPr>
                <w:sz w:val="20"/>
                <w:szCs w:val="20"/>
                <w:color w:val="auto"/>
              </w:rPr>
            </w:pPr>
            <w:r>
              <w:rPr>
                <w:rFonts w:ascii="Arial" w:cs="Arial" w:eastAsia="Arial" w:hAnsi="Arial"/>
                <w:sz w:val="11"/>
                <w:szCs w:val="11"/>
                <w:color w:val="auto"/>
                <w:w w:val="75"/>
              </w:rPr>
              <w:t>......................................................</w:t>
            </w:r>
          </w:p>
        </w:tc>
        <w:tc>
          <w:tcPr>
            <w:tcW w:w="320" w:type="dxa"/>
            <w:vAlign w:val="bottom"/>
          </w:tcPr>
          <w:p>
            <w:pPr>
              <w:spacing w:after="0"/>
              <w:rPr>
                <w:sz w:val="19"/>
                <w:szCs w:val="19"/>
                <w:color w:val="auto"/>
              </w:rPr>
            </w:pPr>
          </w:p>
        </w:tc>
        <w:tc>
          <w:tcPr>
            <w:tcW w:w="1140" w:type="dxa"/>
            <w:vAlign w:val="bottom"/>
            <w:vMerge w:val="restart"/>
          </w:tcPr>
          <w:p>
            <w:pPr>
              <w:spacing w:after="0"/>
              <w:rPr>
                <w:sz w:val="19"/>
                <w:szCs w:val="19"/>
                <w:color w:val="auto"/>
              </w:rPr>
            </w:pPr>
          </w:p>
        </w:tc>
        <w:tc>
          <w:tcPr>
            <w:tcW w:w="2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5400" w:type="dxa"/>
            <w:vAlign w:val="bottom"/>
            <w:gridSpan w:val="16"/>
          </w:tcPr>
          <w:p>
            <w:pPr>
              <w:spacing w:after="0"/>
              <w:rPr>
                <w:sz w:val="20"/>
                <w:szCs w:val="20"/>
                <w:color w:val="auto"/>
              </w:rPr>
            </w:pPr>
            <w:r>
              <w:rPr>
                <w:rFonts w:ascii="Arial" w:cs="Arial" w:eastAsia="Arial" w:hAnsi="Arial"/>
                <w:sz w:val="20"/>
                <w:szCs w:val="20"/>
                <w:color w:val="auto"/>
                <w:w w:val="70"/>
              </w:rPr>
              <w:t>SECTION 3.8 Removal and Resignation of Issuing Lenders ..........................................</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64</w:t>
            </w:r>
          </w:p>
        </w:tc>
        <w:tc>
          <w:tcPr>
            <w:tcW w:w="3220" w:type="dxa"/>
            <w:vAlign w:val="bottom"/>
            <w:gridSpan w:val="13"/>
          </w:tcPr>
          <w:p>
            <w:pPr>
              <w:jc w:val="right"/>
              <w:spacing w:after="0"/>
              <w:rPr>
                <w:sz w:val="20"/>
                <w:szCs w:val="20"/>
                <w:color w:val="auto"/>
              </w:rPr>
            </w:pPr>
            <w:r>
              <w:rPr>
                <w:rFonts w:ascii="Arial" w:cs="Arial" w:eastAsia="Arial" w:hAnsi="Arial"/>
                <w:sz w:val="20"/>
                <w:szCs w:val="20"/>
                <w:color w:val="0000FF"/>
                <w:w w:val="93"/>
              </w:rPr>
              <w:t xml:space="preserve">67 </w:t>
            </w:r>
            <w:r>
              <w:rPr>
                <w:rFonts w:ascii="Arial" w:cs="Arial" w:eastAsia="Arial" w:hAnsi="Arial"/>
                <w:sz w:val="20"/>
                <w:szCs w:val="20"/>
                <w:color w:val="000000"/>
                <w:w w:val="93"/>
              </w:rPr>
              <w:t>SECTION 3.9 Reporting of Letter of</w:t>
            </w:r>
          </w:p>
        </w:tc>
        <w:tc>
          <w:tcPr>
            <w:tcW w:w="0" w:type="dxa"/>
            <w:vAlign w:val="bottom"/>
          </w:tcPr>
          <w:p>
            <w:pPr>
              <w:spacing w:after="0"/>
              <w:rPr>
                <w:sz w:val="1"/>
                <w:szCs w:val="1"/>
                <w:color w:val="auto"/>
              </w:rPr>
            </w:pPr>
          </w:p>
        </w:tc>
      </w:tr>
      <w:tr>
        <w:trPr>
          <w:trHeight w:val="338"/>
        </w:trPr>
        <w:tc>
          <w:tcPr>
            <w:tcW w:w="3640" w:type="dxa"/>
            <w:vAlign w:val="bottom"/>
            <w:gridSpan w:val="6"/>
          </w:tcPr>
          <w:p>
            <w:pPr>
              <w:spacing w:after="0"/>
              <w:rPr>
                <w:sz w:val="20"/>
                <w:szCs w:val="20"/>
                <w:color w:val="auto"/>
              </w:rPr>
            </w:pPr>
            <w:r>
              <w:rPr>
                <w:rFonts w:ascii="Arial" w:cs="Arial" w:eastAsia="Arial" w:hAnsi="Arial"/>
                <w:sz w:val="20"/>
                <w:szCs w:val="20"/>
                <w:color w:val="auto"/>
                <w:w w:val="86"/>
              </w:rPr>
              <w:t>Credit Information and L/C Commitment............</w:t>
            </w:r>
          </w:p>
        </w:tc>
        <w:tc>
          <w:tcPr>
            <w:tcW w:w="440" w:type="dxa"/>
            <w:vAlign w:val="bottom"/>
          </w:tcPr>
          <w:p>
            <w:pPr>
              <w:jc w:val="right"/>
              <w:spacing w:after="0"/>
              <w:rPr>
                <w:sz w:val="20"/>
                <w:szCs w:val="20"/>
                <w:color w:val="auto"/>
              </w:rPr>
            </w:pPr>
            <w:r>
              <w:rPr>
                <w:rFonts w:ascii="Arial" w:cs="Arial" w:eastAsia="Arial" w:hAnsi="Arial"/>
                <w:sz w:val="20"/>
                <w:szCs w:val="20"/>
                <w:color w:val="FF0000"/>
                <w:strike w:val="1"/>
              </w:rPr>
              <w:t>64</w:t>
            </w:r>
          </w:p>
        </w:tc>
        <w:tc>
          <w:tcPr>
            <w:tcW w:w="260" w:type="dxa"/>
            <w:vAlign w:val="bottom"/>
          </w:tcPr>
          <w:p>
            <w:pPr>
              <w:jc w:val="right"/>
              <w:spacing w:after="0"/>
              <w:rPr>
                <w:sz w:val="20"/>
                <w:szCs w:val="20"/>
                <w:color w:val="auto"/>
              </w:rPr>
            </w:pPr>
            <w:r>
              <w:rPr>
                <w:rFonts w:ascii="Arial" w:cs="Arial" w:eastAsia="Arial" w:hAnsi="Arial"/>
                <w:sz w:val="20"/>
                <w:szCs w:val="20"/>
                <w:color w:val="0000FF"/>
                <w:w w:val="80"/>
              </w:rPr>
              <w:t>68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4"/>
            <w:vMerge w:val="restart"/>
          </w:tcPr>
          <w:p>
            <w:pPr>
              <w:jc w:val="center"/>
              <w:ind w:right="394"/>
              <w:spacing w:after="0"/>
              <w:rPr>
                <w:sz w:val="20"/>
                <w:szCs w:val="20"/>
                <w:color w:val="auto"/>
              </w:rPr>
            </w:pPr>
            <w:r>
              <w:rPr>
                <w:rFonts w:ascii="Arial" w:cs="Arial" w:eastAsia="Arial" w:hAnsi="Arial"/>
                <w:sz w:val="20"/>
                <w:szCs w:val="20"/>
                <w:color w:val="auto"/>
              </w:rPr>
              <w:t>i</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60" w:top="1075" w:right="4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146960219_6</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165457743_4</w:t>
      </w:r>
    </w:p>
    <w:p>
      <w:pPr>
        <w:sectPr>
          <w:pgSz w:w="11900" w:h="16838" w:orient="portrait"/>
          <w:cols w:equalWidth="0" w:num="1">
            <w:col w:w="11100"/>
          </w:cols>
          <w:pgMar w:left="360" w:top="1075" w:right="439" w:bottom="1440" w:gutter="0" w:footer="0" w:header="0"/>
          <w:type w:val="continuous"/>
        </w:sectPr>
      </w:pPr>
    </w:p>
    <w:bookmarkStart w:id="71" w:name="page72"/>
    <w:bookmarkEnd w:id="71"/>
    <w:tbl>
      <w:tblPr>
        <w:tblLayout w:type="fixed"/>
        <w:tblInd w:w="60" w:type="dxa"/>
        <w:tblCellMar>
          <w:top w:w="0" w:type="dxa"/>
          <w:left w:w="0" w:type="dxa"/>
          <w:bottom w:w="0" w:type="dxa"/>
          <w:right w:w="0" w:type="dxa"/>
        </w:tblCellMar>
      </w:tblPr>
      <w:tr>
        <w:trPr>
          <w:trHeight w:val="250"/>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6"/>
              </w:rPr>
              <w:t>SECTION 3.10  Letters of Credit Issued for Subsidiaries ................................................</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6"/>
          </w:tcPr>
          <w:p>
            <w:pPr>
              <w:jc w:val="center"/>
              <w:spacing w:after="0"/>
              <w:rPr>
                <w:sz w:val="20"/>
                <w:szCs w:val="20"/>
                <w:color w:val="auto"/>
              </w:rPr>
            </w:pPr>
            <w:r>
              <w:rPr>
                <w:rFonts w:ascii="Arial" w:cs="Arial" w:eastAsia="Arial" w:hAnsi="Arial"/>
                <w:sz w:val="20"/>
                <w:szCs w:val="20"/>
                <w:color w:val="FF0000"/>
                <w:strike w:val="1"/>
                <w:w w:val="89"/>
              </w:rPr>
              <w:t>64</w:t>
            </w:r>
          </w:p>
        </w:tc>
        <w:tc>
          <w:tcPr>
            <w:tcW w:w="1520" w:type="dxa"/>
            <w:vAlign w:val="bottom"/>
            <w:gridSpan w:val="5"/>
          </w:tcPr>
          <w:p>
            <w:pPr>
              <w:spacing w:after="0"/>
              <w:rPr>
                <w:sz w:val="20"/>
                <w:szCs w:val="20"/>
                <w:color w:val="auto"/>
              </w:rPr>
            </w:pPr>
            <w:r>
              <w:rPr>
                <w:rFonts w:ascii="Arial" w:cs="Arial" w:eastAsia="Arial" w:hAnsi="Arial"/>
                <w:sz w:val="20"/>
                <w:szCs w:val="20"/>
                <w:color w:val="0000FF"/>
              </w:rPr>
              <w:t xml:space="preserve">68 </w:t>
            </w:r>
            <w:r>
              <w:rPr>
                <w:rFonts w:ascii="Arial" w:cs="Arial" w:eastAsia="Arial" w:hAnsi="Arial"/>
                <w:sz w:val="20"/>
                <w:szCs w:val="20"/>
                <w:color w:val="000000"/>
              </w:rPr>
              <w:t>ARTICLE IV</w:t>
            </w:r>
          </w:p>
        </w:tc>
        <w:tc>
          <w:tcPr>
            <w:tcW w:w="1620" w:type="dxa"/>
            <w:vAlign w:val="bottom"/>
            <w:gridSpan w:val="5"/>
          </w:tcPr>
          <w:p>
            <w:pPr>
              <w:spacing w:after="0"/>
              <w:rPr>
                <w:sz w:val="20"/>
                <w:szCs w:val="20"/>
                <w:color w:val="auto"/>
              </w:rPr>
            </w:pPr>
            <w:r>
              <w:rPr>
                <w:rFonts w:ascii="Arial" w:cs="Arial" w:eastAsia="Arial" w:hAnsi="Arial"/>
                <w:sz w:val="20"/>
                <w:szCs w:val="20"/>
                <w:color w:val="auto"/>
              </w:rPr>
              <w:t>TERM LOAN</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0"/>
                <w:szCs w:val="20"/>
                <w:color w:val="auto"/>
              </w:rPr>
            </w:pPr>
            <w:r>
              <w:rPr>
                <w:rFonts w:ascii="Arial" w:cs="Arial" w:eastAsia="Arial" w:hAnsi="Arial"/>
                <w:sz w:val="9"/>
                <w:szCs w:val="9"/>
                <w:color w:val="auto"/>
                <w:w w:val="73"/>
              </w:rPr>
              <w:t>FACILITY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65</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color w:val="0000FF"/>
                <w:w w:val="80"/>
              </w:rPr>
              <w:t>69</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7"/>
              </w:rPr>
              <w:t>SECTION 4.1  Initial Term Loan .....................................................................................</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65</w:t>
            </w:r>
          </w:p>
        </w:tc>
        <w:tc>
          <w:tcPr>
            <w:tcW w:w="1560" w:type="dxa"/>
            <w:vAlign w:val="bottom"/>
            <w:gridSpan w:val="7"/>
          </w:tcPr>
          <w:p>
            <w:pPr>
              <w:jc w:val="right"/>
              <w:ind w:right="1261"/>
              <w:spacing w:after="0"/>
              <w:rPr>
                <w:sz w:val="20"/>
                <w:szCs w:val="20"/>
                <w:color w:val="auto"/>
              </w:rPr>
            </w:pPr>
            <w:r>
              <w:rPr>
                <w:rFonts w:ascii="Arial" w:cs="Arial" w:eastAsia="Arial" w:hAnsi="Arial"/>
                <w:sz w:val="20"/>
                <w:szCs w:val="20"/>
                <w:color w:val="0000FF"/>
                <w:w w:val="80"/>
              </w:rPr>
              <w:t>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8"/>
              </w:rPr>
              <w:t>SECTION 4.2  Procedure for Advance of Initial Term Loan ..........................................</w:t>
            </w:r>
          </w:p>
        </w:tc>
        <w:tc>
          <w:tcPr>
            <w:tcW w:w="300" w:type="dxa"/>
            <w:vAlign w:val="bottom"/>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65</w:t>
            </w:r>
          </w:p>
        </w:tc>
        <w:tc>
          <w:tcPr>
            <w:tcW w:w="1580" w:type="dxa"/>
            <w:vAlign w:val="bottom"/>
            <w:gridSpan w:val="8"/>
          </w:tcPr>
          <w:p>
            <w:pPr>
              <w:jc w:val="right"/>
              <w:ind w:right="101"/>
              <w:spacing w:after="0"/>
              <w:rPr>
                <w:sz w:val="20"/>
                <w:szCs w:val="20"/>
                <w:color w:val="auto"/>
              </w:rPr>
            </w:pPr>
            <w:r>
              <w:rPr>
                <w:rFonts w:ascii="Arial" w:cs="Arial" w:eastAsia="Arial" w:hAnsi="Arial"/>
                <w:sz w:val="20"/>
                <w:szCs w:val="20"/>
                <w:color w:val="0000FF"/>
                <w:w w:val="90"/>
              </w:rPr>
              <w:t xml:space="preserve">69 </w:t>
            </w:r>
            <w:r>
              <w:rPr>
                <w:rFonts w:ascii="Arial" w:cs="Arial" w:eastAsia="Arial" w:hAnsi="Arial"/>
                <w:sz w:val="20"/>
                <w:szCs w:val="20"/>
                <w:color w:val="000000"/>
                <w:w w:val="90"/>
              </w:rPr>
              <w:t>SECTION 4.3</w:t>
            </w:r>
          </w:p>
        </w:tc>
        <w:tc>
          <w:tcPr>
            <w:tcW w:w="1620" w:type="dxa"/>
            <w:vAlign w:val="bottom"/>
            <w:gridSpan w:val="5"/>
          </w:tcPr>
          <w:p>
            <w:pPr>
              <w:spacing w:after="0"/>
              <w:rPr>
                <w:sz w:val="20"/>
                <w:szCs w:val="20"/>
                <w:color w:val="auto"/>
              </w:rPr>
            </w:pPr>
            <w:r>
              <w:rPr>
                <w:rFonts w:ascii="Arial" w:cs="Arial" w:eastAsia="Arial" w:hAnsi="Arial"/>
                <w:sz w:val="20"/>
                <w:szCs w:val="20"/>
                <w:color w:val="auto"/>
                <w:w w:val="90"/>
              </w:rPr>
              <w:t>Repayment of Term</w:t>
            </w:r>
          </w:p>
        </w:tc>
        <w:tc>
          <w:tcPr>
            <w:tcW w:w="0" w:type="dxa"/>
            <w:vAlign w:val="bottom"/>
          </w:tcPr>
          <w:p>
            <w:pPr>
              <w:spacing w:after="0"/>
              <w:rPr>
                <w:sz w:val="1"/>
                <w:szCs w:val="1"/>
                <w:color w:val="auto"/>
              </w:rPr>
            </w:pPr>
          </w:p>
        </w:tc>
      </w:tr>
      <w:tr>
        <w:trPr>
          <w:trHeight w:val="338"/>
        </w:trPr>
        <w:tc>
          <w:tcPr>
            <w:tcW w:w="1980" w:type="dxa"/>
            <w:vAlign w:val="bottom"/>
          </w:tcPr>
          <w:p>
            <w:pPr>
              <w:ind w:left="640"/>
              <w:spacing w:after="0"/>
              <w:rPr>
                <w:sz w:val="20"/>
                <w:szCs w:val="20"/>
                <w:color w:val="auto"/>
              </w:rPr>
            </w:pPr>
            <w:r>
              <w:rPr>
                <w:rFonts w:ascii="Arial" w:cs="Arial" w:eastAsia="Arial" w:hAnsi="Arial"/>
                <w:sz w:val="8"/>
                <w:szCs w:val="8"/>
                <w:color w:val="auto"/>
                <w:w w:val="73"/>
              </w:rPr>
              <w:t>Loans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FF0000"/>
                <w:strike w:val="1"/>
              </w:rPr>
              <w:t>65</w:t>
            </w:r>
          </w:p>
        </w:tc>
        <w:tc>
          <w:tcPr>
            <w:tcW w:w="240" w:type="dxa"/>
            <w:vAlign w:val="bottom"/>
          </w:tcPr>
          <w:p>
            <w:pPr>
              <w:jc w:val="center"/>
              <w:spacing w:after="0"/>
              <w:rPr>
                <w:sz w:val="20"/>
                <w:szCs w:val="20"/>
                <w:color w:val="auto"/>
              </w:rPr>
            </w:pPr>
            <w:r>
              <w:rPr>
                <w:rFonts w:ascii="Arial" w:cs="Arial" w:eastAsia="Arial" w:hAnsi="Arial"/>
                <w:sz w:val="20"/>
                <w:szCs w:val="20"/>
                <w:color w:val="0000FF"/>
                <w:w w:val="89"/>
              </w:rPr>
              <w:t>69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6"/>
              </w:rPr>
              <w:t>SECTION 4.4  Prepayments of Term Loans.....................................................................</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65</w:t>
            </w:r>
          </w:p>
        </w:tc>
        <w:tc>
          <w:tcPr>
            <w:tcW w:w="1560" w:type="dxa"/>
            <w:vAlign w:val="bottom"/>
            <w:gridSpan w:val="7"/>
          </w:tcPr>
          <w:p>
            <w:pPr>
              <w:jc w:val="right"/>
              <w:ind w:right="1261"/>
              <w:spacing w:after="0"/>
              <w:rPr>
                <w:sz w:val="20"/>
                <w:szCs w:val="20"/>
                <w:color w:val="auto"/>
              </w:rPr>
            </w:pPr>
            <w:r>
              <w:rPr>
                <w:rFonts w:ascii="Arial" w:cs="Arial" w:eastAsia="Arial" w:hAnsi="Arial"/>
                <w:sz w:val="20"/>
                <w:szCs w:val="20"/>
                <w:color w:val="0000FF"/>
                <w:w w:val="80"/>
              </w:rPr>
              <w:t>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9"/>
          </w:tcPr>
          <w:p>
            <w:pPr>
              <w:jc w:val="right"/>
              <w:spacing w:after="0"/>
              <w:rPr>
                <w:sz w:val="20"/>
                <w:szCs w:val="20"/>
                <w:color w:val="auto"/>
              </w:rPr>
            </w:pPr>
            <w:r>
              <w:rPr>
                <w:rFonts w:ascii="Arial" w:cs="Arial" w:eastAsia="Arial" w:hAnsi="Arial"/>
                <w:sz w:val="16"/>
                <w:szCs w:val="16"/>
                <w:color w:val="auto"/>
                <w:w w:val="73"/>
              </w:rPr>
              <w:t>ARTICLE V  GENERAL LOAN PROVISIONS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FF0000"/>
                <w:strike w:val="1"/>
              </w:rPr>
              <w:t>68</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72</w:t>
            </w:r>
          </w:p>
        </w:tc>
        <w:tc>
          <w:tcPr>
            <w:tcW w:w="0" w:type="dxa"/>
            <w:vAlign w:val="bottom"/>
          </w:tcPr>
          <w:p>
            <w:pPr>
              <w:spacing w:after="0"/>
              <w:rPr>
                <w:sz w:val="1"/>
                <w:szCs w:val="1"/>
                <w:color w:val="auto"/>
              </w:rPr>
            </w:pPr>
          </w:p>
        </w:tc>
      </w:tr>
      <w:tr>
        <w:trPr>
          <w:trHeight w:val="311"/>
        </w:trPr>
        <w:tc>
          <w:tcPr>
            <w:tcW w:w="1980" w:type="dxa"/>
            <w:vAlign w:val="bottom"/>
          </w:tcPr>
          <w:p>
            <w:pPr>
              <w:ind w:left="640"/>
              <w:spacing w:after="0"/>
              <w:rPr>
                <w:sz w:val="20"/>
                <w:szCs w:val="20"/>
                <w:color w:val="auto"/>
              </w:rPr>
            </w:pPr>
            <w:r>
              <w:rPr>
                <w:rFonts w:ascii="Arial" w:cs="Arial" w:eastAsia="Arial" w:hAnsi="Arial"/>
                <w:sz w:val="20"/>
                <w:szCs w:val="20"/>
                <w:color w:val="auto"/>
              </w:rPr>
              <w:t>SECTION 5.1</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6"/>
              </w:rPr>
              <w:t>Interest..................................................................................................</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rPr>
              <w:t>68</w:t>
            </w:r>
          </w:p>
        </w:tc>
        <w:tc>
          <w:tcPr>
            <w:tcW w:w="200" w:type="dxa"/>
            <w:vAlign w:val="bottom"/>
            <w:gridSpan w:val="4"/>
          </w:tcPr>
          <w:p>
            <w:pPr>
              <w:jc w:val="right"/>
              <w:spacing w:after="0"/>
              <w:rPr>
                <w:sz w:val="20"/>
                <w:szCs w:val="20"/>
                <w:color w:val="auto"/>
              </w:rPr>
            </w:pPr>
            <w:r>
              <w:rPr>
                <w:rFonts w:ascii="Arial" w:cs="Arial" w:eastAsia="Arial" w:hAnsi="Arial"/>
                <w:sz w:val="20"/>
                <w:szCs w:val="20"/>
                <w:color w:val="0000FF"/>
                <w:w w:val="80"/>
              </w:rPr>
              <w:t>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8"/>
              </w:rPr>
              <w:t>SECTION 5.2  Notice and Manner of Conversion or Continuation of Loans .................</w:t>
            </w:r>
          </w:p>
        </w:tc>
        <w:tc>
          <w:tcPr>
            <w:tcW w:w="30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71</w:t>
            </w:r>
          </w:p>
        </w:tc>
        <w:tc>
          <w:tcPr>
            <w:tcW w:w="1560" w:type="dxa"/>
            <w:vAlign w:val="bottom"/>
            <w:gridSpan w:val="7"/>
          </w:tcPr>
          <w:p>
            <w:pPr>
              <w:jc w:val="right"/>
              <w:ind w:right="81"/>
              <w:spacing w:after="0"/>
              <w:rPr>
                <w:sz w:val="20"/>
                <w:szCs w:val="20"/>
                <w:color w:val="auto"/>
              </w:rPr>
            </w:pPr>
            <w:r>
              <w:rPr>
                <w:rFonts w:ascii="Arial" w:cs="Arial" w:eastAsia="Arial" w:hAnsi="Arial"/>
                <w:sz w:val="20"/>
                <w:szCs w:val="20"/>
                <w:color w:val="0000FF"/>
                <w:w w:val="90"/>
              </w:rPr>
              <w:t xml:space="preserve">75 </w:t>
            </w:r>
            <w:r>
              <w:rPr>
                <w:rFonts w:ascii="Arial" w:cs="Arial" w:eastAsia="Arial" w:hAnsi="Arial"/>
                <w:sz w:val="20"/>
                <w:szCs w:val="20"/>
                <w:color w:val="000000"/>
                <w:w w:val="90"/>
              </w:rPr>
              <w:t>SECTION 5.3</w:t>
            </w:r>
          </w:p>
        </w:tc>
        <w:tc>
          <w:tcPr>
            <w:tcW w:w="1620" w:type="dxa"/>
            <w:vAlign w:val="bottom"/>
            <w:gridSpan w:val="5"/>
          </w:tcPr>
          <w:p>
            <w:pPr>
              <w:ind w:left="20"/>
              <w:spacing w:after="0"/>
              <w:rPr>
                <w:sz w:val="20"/>
                <w:szCs w:val="20"/>
                <w:color w:val="auto"/>
              </w:rPr>
            </w:pPr>
            <w:r>
              <w:rPr>
                <w:rFonts w:ascii="Arial" w:cs="Arial" w:eastAsia="Arial" w:hAnsi="Arial"/>
                <w:sz w:val="20"/>
                <w:szCs w:val="20"/>
                <w:color w:val="auto"/>
              </w:rPr>
              <w:t>Fees</w:t>
            </w:r>
          </w:p>
        </w:tc>
        <w:tc>
          <w:tcPr>
            <w:tcW w:w="0" w:type="dxa"/>
            <w:vAlign w:val="bottom"/>
          </w:tcPr>
          <w:p>
            <w:pPr>
              <w:spacing w:after="0"/>
              <w:rPr>
                <w:sz w:val="1"/>
                <w:szCs w:val="1"/>
                <w:color w:val="auto"/>
              </w:rPr>
            </w:pPr>
          </w:p>
        </w:tc>
      </w:tr>
      <w:tr>
        <w:trPr>
          <w:trHeight w:val="225"/>
        </w:trPr>
        <w:tc>
          <w:tcPr>
            <w:tcW w:w="2080" w:type="dxa"/>
            <w:vAlign w:val="bottom"/>
            <w:gridSpan w:val="2"/>
          </w:tcPr>
          <w:p>
            <w:pPr>
              <w:ind w:left="640"/>
              <w:spacing w:after="0"/>
              <w:rPr>
                <w:sz w:val="20"/>
                <w:szCs w:val="20"/>
                <w:color w:val="auto"/>
              </w:rPr>
            </w:pPr>
            <w:r>
              <w:rPr>
                <w:rFonts w:ascii="Arial" w:cs="Arial" w:eastAsia="Arial" w:hAnsi="Arial"/>
                <w:sz w:val="7"/>
                <w:szCs w:val="7"/>
                <w:color w:val="auto"/>
                <w:w w:val="71"/>
              </w:rPr>
              <w:t>......................................................................................................</w:t>
            </w:r>
          </w:p>
        </w:tc>
        <w:tc>
          <w:tcPr>
            <w:tcW w:w="300" w:type="dxa"/>
            <w:vAlign w:val="bottom"/>
            <w:vMerge w:val="restart"/>
          </w:tcPr>
          <w:p>
            <w:pPr>
              <w:spacing w:after="0"/>
              <w:rPr>
                <w:sz w:val="19"/>
                <w:szCs w:val="19"/>
                <w:color w:val="auto"/>
              </w:rPr>
            </w:pPr>
          </w:p>
        </w:tc>
        <w:tc>
          <w:tcPr>
            <w:tcW w:w="2020" w:type="dxa"/>
            <w:vAlign w:val="bottom"/>
            <w:vMerge w:val="restart"/>
          </w:tcPr>
          <w:p>
            <w:pPr>
              <w:spacing w:after="0"/>
              <w:rPr>
                <w:sz w:val="19"/>
                <w:szCs w:val="19"/>
                <w:color w:val="auto"/>
              </w:rPr>
            </w:pPr>
          </w:p>
        </w:tc>
        <w:tc>
          <w:tcPr>
            <w:tcW w:w="720" w:type="dxa"/>
            <w:vAlign w:val="bottom"/>
            <w:gridSpan w:val="2"/>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FF0000"/>
                <w:strike w:val="1"/>
                <w:w w:val="80"/>
              </w:rPr>
              <w:t>72</w:t>
            </w:r>
          </w:p>
        </w:tc>
        <w:tc>
          <w:tcPr>
            <w:tcW w:w="1380" w:type="dxa"/>
            <w:vAlign w:val="bottom"/>
            <w:vMerge w:val="restart"/>
          </w:tcPr>
          <w:p>
            <w:pPr>
              <w:jc w:val="right"/>
              <w:ind w:right="1081"/>
              <w:spacing w:after="0"/>
              <w:rPr>
                <w:sz w:val="20"/>
                <w:szCs w:val="20"/>
                <w:color w:val="auto"/>
              </w:rPr>
            </w:pPr>
            <w:r>
              <w:rPr>
                <w:rFonts w:ascii="Arial" w:cs="Arial" w:eastAsia="Arial" w:hAnsi="Arial"/>
                <w:sz w:val="20"/>
                <w:szCs w:val="20"/>
                <w:color w:val="0000FF"/>
                <w:w w:val="80"/>
              </w:rPr>
              <w:t>76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9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6"/>
              </w:rPr>
              <w:t>SECTION 5.4  Manner of Payment ..................................................................................</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6"/>
          </w:tcPr>
          <w:p>
            <w:pPr>
              <w:jc w:val="center"/>
              <w:spacing w:after="0"/>
              <w:rPr>
                <w:sz w:val="20"/>
                <w:szCs w:val="20"/>
                <w:color w:val="auto"/>
              </w:rPr>
            </w:pPr>
            <w:r>
              <w:rPr>
                <w:rFonts w:ascii="Arial" w:cs="Arial" w:eastAsia="Arial" w:hAnsi="Arial"/>
                <w:sz w:val="20"/>
                <w:szCs w:val="20"/>
                <w:color w:val="FF0000"/>
                <w:strike w:val="1"/>
                <w:w w:val="89"/>
              </w:rPr>
              <w:t>72</w:t>
            </w:r>
          </w:p>
        </w:tc>
        <w:tc>
          <w:tcPr>
            <w:tcW w:w="1520" w:type="dxa"/>
            <w:vAlign w:val="bottom"/>
            <w:gridSpan w:val="5"/>
          </w:tcPr>
          <w:p>
            <w:pPr>
              <w:spacing w:after="0"/>
              <w:rPr>
                <w:sz w:val="20"/>
                <w:szCs w:val="20"/>
                <w:color w:val="auto"/>
              </w:rPr>
            </w:pPr>
            <w:r>
              <w:rPr>
                <w:rFonts w:ascii="Arial" w:cs="Arial" w:eastAsia="Arial" w:hAnsi="Arial"/>
                <w:sz w:val="20"/>
                <w:szCs w:val="20"/>
                <w:color w:val="0000FF"/>
              </w:rPr>
              <w:t>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6"/>
              </w:rPr>
              <w:t>SECTION 5.5  Evidence of Indebtedness.........................................................................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73</w:t>
            </w:r>
          </w:p>
        </w:tc>
        <w:tc>
          <w:tcPr>
            <w:tcW w:w="1560" w:type="dxa"/>
            <w:vAlign w:val="bottom"/>
            <w:gridSpan w:val="7"/>
          </w:tcPr>
          <w:p>
            <w:pPr>
              <w:jc w:val="right"/>
              <w:ind w:right="1261"/>
              <w:spacing w:after="0"/>
              <w:rPr>
                <w:sz w:val="20"/>
                <w:szCs w:val="20"/>
                <w:color w:val="auto"/>
              </w:rPr>
            </w:pPr>
            <w:r>
              <w:rPr>
                <w:rFonts w:ascii="Arial" w:cs="Arial" w:eastAsia="Arial" w:hAnsi="Arial"/>
                <w:sz w:val="20"/>
                <w:szCs w:val="20"/>
                <w:color w:val="0000FF"/>
                <w:w w:val="80"/>
              </w:rPr>
              <w:t>77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6"/>
              </w:rPr>
              <w:t>SECTION 5.6  Sharing of Payments by Lenders..............................................................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5"/>
          </w:tcPr>
          <w:p>
            <w:pPr>
              <w:jc w:val="center"/>
              <w:spacing w:after="0"/>
              <w:rPr>
                <w:sz w:val="20"/>
                <w:szCs w:val="20"/>
                <w:color w:val="auto"/>
              </w:rPr>
            </w:pPr>
            <w:r>
              <w:rPr>
                <w:rFonts w:ascii="Arial" w:cs="Arial" w:eastAsia="Arial" w:hAnsi="Arial"/>
                <w:sz w:val="20"/>
                <w:szCs w:val="20"/>
                <w:color w:val="FF0000"/>
                <w:strike w:val="1"/>
                <w:w w:val="89"/>
              </w:rPr>
              <w:t>73</w:t>
            </w:r>
          </w:p>
        </w:tc>
        <w:tc>
          <w:tcPr>
            <w:tcW w:w="1540" w:type="dxa"/>
            <w:vAlign w:val="bottom"/>
            <w:gridSpan w:val="6"/>
          </w:tcPr>
          <w:p>
            <w:pPr>
              <w:jc w:val="right"/>
              <w:ind w:right="1241"/>
              <w:spacing w:after="0"/>
              <w:rPr>
                <w:sz w:val="20"/>
                <w:szCs w:val="20"/>
                <w:color w:val="auto"/>
              </w:rPr>
            </w:pPr>
            <w:r>
              <w:rPr>
                <w:rFonts w:ascii="Arial" w:cs="Arial" w:eastAsia="Arial" w:hAnsi="Arial"/>
                <w:sz w:val="20"/>
                <w:szCs w:val="20"/>
                <w:color w:val="0000FF"/>
                <w:w w:val="80"/>
              </w:rPr>
              <w:t>78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7"/>
              </w:rPr>
              <w:t>SECTION 5.7  Administrative Agent’s Clawback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5"/>
          </w:tcPr>
          <w:p>
            <w:pPr>
              <w:jc w:val="center"/>
              <w:spacing w:after="0"/>
              <w:rPr>
                <w:sz w:val="20"/>
                <w:szCs w:val="20"/>
                <w:color w:val="auto"/>
              </w:rPr>
            </w:pPr>
            <w:r>
              <w:rPr>
                <w:rFonts w:ascii="Arial" w:cs="Arial" w:eastAsia="Arial" w:hAnsi="Arial"/>
                <w:sz w:val="20"/>
                <w:szCs w:val="20"/>
                <w:color w:val="FF0000"/>
                <w:strike w:val="1"/>
                <w:w w:val="89"/>
              </w:rPr>
              <w:t>74</w:t>
            </w:r>
          </w:p>
        </w:tc>
        <w:tc>
          <w:tcPr>
            <w:tcW w:w="1540" w:type="dxa"/>
            <w:vAlign w:val="bottom"/>
            <w:gridSpan w:val="6"/>
          </w:tcPr>
          <w:p>
            <w:pPr>
              <w:jc w:val="right"/>
              <w:ind w:right="1241"/>
              <w:spacing w:after="0"/>
              <w:rPr>
                <w:sz w:val="20"/>
                <w:szCs w:val="20"/>
                <w:color w:val="auto"/>
              </w:rPr>
            </w:pPr>
            <w:r>
              <w:rPr>
                <w:rFonts w:ascii="Arial" w:cs="Arial" w:eastAsia="Arial" w:hAnsi="Arial"/>
                <w:sz w:val="20"/>
                <w:szCs w:val="20"/>
                <w:color w:val="0000FF"/>
                <w:w w:val="80"/>
              </w:rPr>
              <w:t>78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tcPr>
          <w:p>
            <w:pPr>
              <w:ind w:left="640"/>
              <w:spacing w:after="0"/>
              <w:rPr>
                <w:sz w:val="20"/>
                <w:szCs w:val="20"/>
                <w:color w:val="auto"/>
              </w:rPr>
            </w:pPr>
            <w:r>
              <w:rPr>
                <w:rFonts w:ascii="Arial" w:cs="Arial" w:eastAsia="Arial" w:hAnsi="Arial"/>
                <w:sz w:val="20"/>
                <w:szCs w:val="20"/>
                <w:color w:val="auto"/>
              </w:rPr>
              <w:t>SECTION 5.8</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2"/>
              </w:rPr>
              <w:t>Changed Circumstances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6"/>
          </w:tcPr>
          <w:p>
            <w:pPr>
              <w:jc w:val="center"/>
              <w:spacing w:after="0"/>
              <w:rPr>
                <w:sz w:val="20"/>
                <w:szCs w:val="20"/>
                <w:color w:val="auto"/>
              </w:rPr>
            </w:pPr>
            <w:r>
              <w:rPr>
                <w:rFonts w:ascii="Arial" w:cs="Arial" w:eastAsia="Arial" w:hAnsi="Arial"/>
                <w:sz w:val="20"/>
                <w:szCs w:val="20"/>
                <w:color w:val="FF0000"/>
                <w:strike w:val="1"/>
                <w:w w:val="89"/>
              </w:rPr>
              <w:t>75</w:t>
            </w:r>
          </w:p>
        </w:tc>
        <w:tc>
          <w:tcPr>
            <w:tcW w:w="1520" w:type="dxa"/>
            <w:vAlign w:val="bottom"/>
            <w:gridSpan w:val="5"/>
          </w:tcPr>
          <w:p>
            <w:pPr>
              <w:spacing w:after="0"/>
              <w:rPr>
                <w:sz w:val="20"/>
                <w:szCs w:val="20"/>
                <w:color w:val="auto"/>
              </w:rPr>
            </w:pPr>
            <w:r>
              <w:rPr>
                <w:rFonts w:ascii="Arial" w:cs="Arial" w:eastAsia="Arial" w:hAnsi="Arial"/>
                <w:sz w:val="20"/>
                <w:szCs w:val="20"/>
                <w:color w:val="0000FF"/>
              </w:rPr>
              <w:t>79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80" w:type="dxa"/>
            <w:vAlign w:val="bottom"/>
          </w:tcPr>
          <w:p>
            <w:pPr>
              <w:ind w:left="640"/>
              <w:spacing w:after="0"/>
              <w:rPr>
                <w:sz w:val="20"/>
                <w:szCs w:val="20"/>
                <w:color w:val="auto"/>
              </w:rPr>
            </w:pPr>
            <w:r>
              <w:rPr>
                <w:rFonts w:ascii="Arial" w:cs="Arial" w:eastAsia="Arial" w:hAnsi="Arial"/>
                <w:sz w:val="20"/>
                <w:szCs w:val="20"/>
                <w:color w:val="auto"/>
              </w:rPr>
              <w:t>SECTION 5.9</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5"/>
              </w:rPr>
              <w:t>Indemnity ...............................................................................................</w:t>
            </w:r>
          </w:p>
        </w:tc>
        <w:tc>
          <w:tcPr>
            <w:tcW w:w="460" w:type="dxa"/>
            <w:vAlign w:val="bottom"/>
            <w:gridSpan w:val="3"/>
          </w:tcPr>
          <w:p>
            <w:pPr>
              <w:jc w:val="right"/>
              <w:spacing w:after="0"/>
              <w:rPr>
                <w:sz w:val="20"/>
                <w:szCs w:val="20"/>
                <w:color w:val="auto"/>
              </w:rPr>
            </w:pPr>
            <w:r>
              <w:rPr>
                <w:rFonts w:ascii="Arial" w:cs="Arial" w:eastAsia="Arial" w:hAnsi="Arial"/>
                <w:sz w:val="20"/>
                <w:szCs w:val="20"/>
                <w:color w:val="FF0000"/>
                <w:strike w:val="1"/>
              </w:rPr>
              <w:t>79</w:t>
            </w:r>
          </w:p>
        </w:tc>
        <w:tc>
          <w:tcPr>
            <w:tcW w:w="220" w:type="dxa"/>
            <w:vAlign w:val="bottom"/>
            <w:gridSpan w:val="8"/>
          </w:tcPr>
          <w:p>
            <w:pPr>
              <w:jc w:val="right"/>
              <w:spacing w:after="0"/>
              <w:rPr>
                <w:sz w:val="20"/>
                <w:szCs w:val="20"/>
                <w:color w:val="auto"/>
              </w:rPr>
            </w:pPr>
            <w:r>
              <w:rPr>
                <w:rFonts w:ascii="Arial" w:cs="Arial" w:eastAsia="Arial" w:hAnsi="Arial"/>
                <w:sz w:val="20"/>
                <w:szCs w:val="20"/>
                <w:color w:val="0000FF"/>
                <w:w w:val="80"/>
              </w:rPr>
              <w:t>84</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80" w:type="dxa"/>
            <w:vAlign w:val="bottom"/>
          </w:tcPr>
          <w:p>
            <w:pPr>
              <w:ind w:left="640"/>
              <w:spacing w:after="0"/>
              <w:rPr>
                <w:sz w:val="20"/>
                <w:szCs w:val="20"/>
                <w:color w:val="auto"/>
              </w:rPr>
            </w:pPr>
            <w:r>
              <w:rPr>
                <w:rFonts w:ascii="Arial" w:cs="Arial" w:eastAsia="Arial" w:hAnsi="Arial"/>
                <w:sz w:val="20"/>
                <w:szCs w:val="20"/>
                <w:color w:val="auto"/>
                <w:w w:val="98"/>
              </w:rPr>
              <w:t>SECTION 5.10</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4"/>
              </w:rPr>
              <w:t>Increased Costs.......................................................................................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5"/>
          </w:tcPr>
          <w:p>
            <w:pPr>
              <w:jc w:val="center"/>
              <w:spacing w:after="0"/>
              <w:rPr>
                <w:sz w:val="20"/>
                <w:szCs w:val="20"/>
                <w:color w:val="auto"/>
              </w:rPr>
            </w:pPr>
            <w:r>
              <w:rPr>
                <w:rFonts w:ascii="Arial" w:cs="Arial" w:eastAsia="Arial" w:hAnsi="Arial"/>
                <w:sz w:val="20"/>
                <w:szCs w:val="20"/>
                <w:color w:val="FF0000"/>
                <w:strike w:val="1"/>
                <w:w w:val="89"/>
              </w:rPr>
              <w:t>79</w:t>
            </w:r>
          </w:p>
        </w:tc>
        <w:tc>
          <w:tcPr>
            <w:tcW w:w="1540" w:type="dxa"/>
            <w:vAlign w:val="bottom"/>
            <w:gridSpan w:val="6"/>
          </w:tcPr>
          <w:p>
            <w:pPr>
              <w:jc w:val="right"/>
              <w:ind w:right="1241"/>
              <w:spacing w:after="0"/>
              <w:rPr>
                <w:sz w:val="20"/>
                <w:szCs w:val="20"/>
                <w:color w:val="auto"/>
              </w:rPr>
            </w:pPr>
            <w:r>
              <w:rPr>
                <w:rFonts w:ascii="Arial" w:cs="Arial" w:eastAsia="Arial" w:hAnsi="Arial"/>
                <w:sz w:val="20"/>
                <w:szCs w:val="20"/>
                <w:color w:val="0000FF"/>
                <w:w w:val="80"/>
              </w:rPr>
              <w:t>85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80" w:type="dxa"/>
            <w:vAlign w:val="bottom"/>
          </w:tcPr>
          <w:p>
            <w:pPr>
              <w:ind w:left="640"/>
              <w:spacing w:after="0"/>
              <w:rPr>
                <w:sz w:val="20"/>
                <w:szCs w:val="20"/>
                <w:color w:val="auto"/>
              </w:rPr>
            </w:pPr>
            <w:r>
              <w:rPr>
                <w:rFonts w:ascii="Arial" w:cs="Arial" w:eastAsia="Arial" w:hAnsi="Arial"/>
                <w:sz w:val="20"/>
                <w:szCs w:val="20"/>
                <w:color w:val="auto"/>
                <w:w w:val="98"/>
              </w:rPr>
              <w:t>SECTION 5.11</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5"/>
              </w:rPr>
              <w:t>Taxes .....................................................................................................</w:t>
            </w:r>
          </w:p>
        </w:tc>
        <w:tc>
          <w:tcPr>
            <w:tcW w:w="3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81</w:t>
            </w:r>
          </w:p>
        </w:tc>
        <w:tc>
          <w:tcPr>
            <w:tcW w:w="240" w:type="dxa"/>
            <w:vAlign w:val="bottom"/>
            <w:gridSpan w:val="8"/>
          </w:tcPr>
          <w:p>
            <w:pPr>
              <w:spacing w:after="0"/>
              <w:rPr>
                <w:sz w:val="20"/>
                <w:szCs w:val="20"/>
                <w:color w:val="auto"/>
              </w:rPr>
            </w:pPr>
            <w:r>
              <w:rPr>
                <w:rFonts w:ascii="Arial" w:cs="Arial" w:eastAsia="Arial" w:hAnsi="Arial"/>
                <w:sz w:val="20"/>
                <w:szCs w:val="20"/>
                <w:color w:val="0000FF"/>
                <w:w w:val="98"/>
              </w:rPr>
              <w:t>86</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7"/>
              </w:rPr>
              <w:t>SECTION 5.12  Mitigation Obligations; Replacement of Lenders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7"/>
          </w:tcPr>
          <w:p>
            <w:pPr>
              <w:ind w:left="100"/>
              <w:spacing w:after="0"/>
              <w:rPr>
                <w:sz w:val="20"/>
                <w:szCs w:val="20"/>
                <w:color w:val="auto"/>
              </w:rPr>
            </w:pPr>
            <w:r>
              <w:rPr>
                <w:rFonts w:ascii="Arial" w:cs="Arial" w:eastAsia="Arial" w:hAnsi="Arial"/>
                <w:sz w:val="20"/>
                <w:szCs w:val="20"/>
                <w:color w:val="FF0000"/>
                <w:strike w:val="1"/>
                <w:w w:val="71"/>
              </w:rPr>
              <w:t>84</w:t>
            </w:r>
          </w:p>
        </w:tc>
        <w:tc>
          <w:tcPr>
            <w:tcW w:w="1600" w:type="dxa"/>
            <w:vAlign w:val="bottom"/>
            <w:gridSpan w:val="5"/>
          </w:tcPr>
          <w:p>
            <w:pPr>
              <w:spacing w:after="0"/>
              <w:rPr>
                <w:sz w:val="20"/>
                <w:szCs w:val="20"/>
                <w:color w:val="auto"/>
              </w:rPr>
            </w:pPr>
            <w:r>
              <w:rPr>
                <w:rFonts w:ascii="Arial" w:cs="Arial" w:eastAsia="Arial" w:hAnsi="Arial"/>
                <w:sz w:val="20"/>
                <w:szCs w:val="20"/>
                <w:color w:val="0000FF"/>
                <w:w w:val="97"/>
              </w:rPr>
              <w:t xml:space="preserve">89 </w:t>
            </w:r>
            <w:r>
              <w:rPr>
                <w:rFonts w:ascii="Arial" w:cs="Arial" w:eastAsia="Arial" w:hAnsi="Arial"/>
                <w:sz w:val="20"/>
                <w:szCs w:val="20"/>
                <w:color w:val="000000"/>
                <w:w w:val="97"/>
              </w:rPr>
              <w:t>SECTION 5.13</w:t>
            </w:r>
          </w:p>
        </w:tc>
        <w:tc>
          <w:tcPr>
            <w:tcW w:w="1500" w:type="dxa"/>
            <w:vAlign w:val="bottom"/>
            <w:gridSpan w:val="4"/>
          </w:tcPr>
          <w:p>
            <w:pPr>
              <w:jc w:val="right"/>
              <w:ind w:right="361"/>
              <w:spacing w:after="0"/>
              <w:rPr>
                <w:sz w:val="20"/>
                <w:szCs w:val="20"/>
                <w:color w:val="auto"/>
              </w:rPr>
            </w:pPr>
            <w:r>
              <w:rPr>
                <w:rFonts w:ascii="Arial" w:cs="Arial" w:eastAsia="Arial" w:hAnsi="Arial"/>
                <w:sz w:val="20"/>
                <w:szCs w:val="20"/>
                <w:color w:val="auto"/>
                <w:w w:val="97"/>
              </w:rPr>
              <w:t>Incremental</w:t>
            </w:r>
          </w:p>
        </w:tc>
        <w:tc>
          <w:tcPr>
            <w:tcW w:w="0" w:type="dxa"/>
            <w:vAlign w:val="bottom"/>
          </w:tcPr>
          <w:p>
            <w:pPr>
              <w:spacing w:after="0"/>
              <w:rPr>
                <w:sz w:val="1"/>
                <w:szCs w:val="1"/>
                <w:color w:val="auto"/>
              </w:rPr>
            </w:pPr>
          </w:p>
        </w:tc>
      </w:tr>
      <w:tr>
        <w:trPr>
          <w:trHeight w:val="338"/>
        </w:trPr>
        <w:tc>
          <w:tcPr>
            <w:tcW w:w="1980" w:type="dxa"/>
            <w:vAlign w:val="bottom"/>
          </w:tcPr>
          <w:p>
            <w:pPr>
              <w:ind w:left="640"/>
              <w:spacing w:after="0"/>
              <w:rPr>
                <w:sz w:val="20"/>
                <w:szCs w:val="20"/>
                <w:color w:val="auto"/>
              </w:rPr>
            </w:pPr>
            <w:r>
              <w:rPr>
                <w:rFonts w:ascii="Arial" w:cs="Arial" w:eastAsia="Arial" w:hAnsi="Arial"/>
                <w:sz w:val="7"/>
                <w:szCs w:val="7"/>
                <w:color w:val="auto"/>
                <w:w w:val="72"/>
              </w:rPr>
              <w:t>Loans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FF0000"/>
                <w:strike w:val="1"/>
              </w:rPr>
              <w:t>85</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71"/>
              </w:rPr>
              <w:t>91</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80" w:type="dxa"/>
            <w:vAlign w:val="bottom"/>
          </w:tcPr>
          <w:p>
            <w:pPr>
              <w:ind w:left="640"/>
              <w:spacing w:after="0"/>
              <w:rPr>
                <w:sz w:val="20"/>
                <w:szCs w:val="20"/>
                <w:color w:val="auto"/>
              </w:rPr>
            </w:pPr>
            <w:r>
              <w:rPr>
                <w:rFonts w:ascii="Arial" w:cs="Arial" w:eastAsia="Arial" w:hAnsi="Arial"/>
                <w:sz w:val="20"/>
                <w:szCs w:val="20"/>
                <w:color w:val="auto"/>
                <w:w w:val="98"/>
              </w:rPr>
              <w:t>SECTION 5.14</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3"/>
              </w:rPr>
              <w:t>Cash Collateral .........................................................................................</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gridSpan w:val="8"/>
          </w:tcPr>
          <w:p>
            <w:pPr>
              <w:ind w:left="20"/>
              <w:spacing w:after="0"/>
              <w:rPr>
                <w:sz w:val="20"/>
                <w:szCs w:val="20"/>
                <w:color w:val="auto"/>
              </w:rPr>
            </w:pPr>
            <w:r>
              <w:rPr>
                <w:rFonts w:ascii="Arial" w:cs="Arial" w:eastAsia="Arial" w:hAnsi="Arial"/>
                <w:sz w:val="20"/>
                <w:szCs w:val="20"/>
                <w:color w:val="FF0000"/>
                <w:strike w:val="1"/>
                <w:w w:val="80"/>
              </w:rPr>
              <w:t>89</w:t>
            </w:r>
          </w:p>
        </w:tc>
        <w:tc>
          <w:tcPr>
            <w:tcW w:w="1420" w:type="dxa"/>
            <w:vAlign w:val="bottom"/>
            <w:gridSpan w:val="2"/>
          </w:tcPr>
          <w:p>
            <w:pPr>
              <w:spacing w:after="0"/>
              <w:rPr>
                <w:sz w:val="20"/>
                <w:szCs w:val="20"/>
                <w:color w:val="auto"/>
              </w:rPr>
            </w:pPr>
            <w:r>
              <w:rPr>
                <w:rFonts w:ascii="Arial" w:cs="Arial" w:eastAsia="Arial" w:hAnsi="Arial"/>
                <w:sz w:val="20"/>
                <w:szCs w:val="20"/>
                <w:color w:val="0000FF"/>
              </w:rPr>
              <w:t>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980" w:type="dxa"/>
            <w:vAlign w:val="bottom"/>
          </w:tcPr>
          <w:p>
            <w:pPr>
              <w:ind w:left="640"/>
              <w:spacing w:after="0"/>
              <w:rPr>
                <w:sz w:val="20"/>
                <w:szCs w:val="20"/>
                <w:color w:val="auto"/>
              </w:rPr>
            </w:pPr>
            <w:r>
              <w:rPr>
                <w:rFonts w:ascii="Arial" w:cs="Arial" w:eastAsia="Arial" w:hAnsi="Arial"/>
                <w:sz w:val="20"/>
                <w:szCs w:val="20"/>
                <w:color w:val="auto"/>
                <w:w w:val="98"/>
              </w:rPr>
              <w:t>SECTION 5.15</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4"/>
              </w:rPr>
              <w:t>Defaulting Lenders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8"/>
          </w:tcPr>
          <w:p>
            <w:pPr>
              <w:ind w:left="100"/>
              <w:spacing w:after="0"/>
              <w:rPr>
                <w:sz w:val="20"/>
                <w:szCs w:val="20"/>
                <w:color w:val="auto"/>
              </w:rPr>
            </w:pPr>
            <w:r>
              <w:rPr>
                <w:rFonts w:ascii="Arial" w:cs="Arial" w:eastAsia="Arial" w:hAnsi="Arial"/>
                <w:sz w:val="20"/>
                <w:szCs w:val="20"/>
                <w:color w:val="FF0000"/>
                <w:strike w:val="1"/>
                <w:w w:val="80"/>
              </w:rPr>
              <w:t>90</w:t>
            </w:r>
          </w:p>
        </w:tc>
        <w:tc>
          <w:tcPr>
            <w:tcW w:w="1460" w:type="dxa"/>
            <w:vAlign w:val="bottom"/>
            <w:gridSpan w:val="3"/>
          </w:tcPr>
          <w:p>
            <w:pPr>
              <w:jc w:val="right"/>
              <w:ind w:right="1161"/>
              <w:spacing w:after="0"/>
              <w:rPr>
                <w:sz w:val="20"/>
                <w:szCs w:val="20"/>
                <w:color w:val="auto"/>
              </w:rPr>
            </w:pPr>
            <w:r>
              <w:rPr>
                <w:rFonts w:ascii="Arial" w:cs="Arial" w:eastAsia="Arial" w:hAnsi="Arial"/>
                <w:sz w:val="20"/>
                <w:szCs w:val="20"/>
                <w:color w:val="0000FF"/>
                <w:w w:val="80"/>
              </w:rPr>
              <w:t>95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7"/>
              </w:rPr>
              <w:t>SECTION 5.16  Centuri as Agent for the Borrowers; Nature of Obligations....................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20"/>
                <w:szCs w:val="20"/>
                <w:color w:val="FF0000"/>
                <w:strike w:val="1"/>
              </w:rPr>
              <w:t>92</w:t>
            </w:r>
          </w:p>
        </w:tc>
        <w:tc>
          <w:tcPr>
            <w:tcW w:w="1480" w:type="dxa"/>
            <w:vAlign w:val="bottom"/>
            <w:gridSpan w:val="4"/>
          </w:tcPr>
          <w:p>
            <w:pPr>
              <w:jc w:val="right"/>
              <w:spacing w:after="0"/>
              <w:rPr>
                <w:sz w:val="20"/>
                <w:szCs w:val="20"/>
                <w:color w:val="auto"/>
              </w:rPr>
            </w:pPr>
            <w:r>
              <w:rPr>
                <w:rFonts w:ascii="Arial" w:cs="Arial" w:eastAsia="Arial" w:hAnsi="Arial"/>
                <w:sz w:val="20"/>
                <w:szCs w:val="20"/>
                <w:color w:val="0000FF"/>
                <w:w w:val="90"/>
              </w:rPr>
              <w:t xml:space="preserve">97 </w:t>
            </w:r>
            <w:r>
              <w:rPr>
                <w:rFonts w:ascii="Arial" w:cs="Arial" w:eastAsia="Arial" w:hAnsi="Arial"/>
                <w:sz w:val="20"/>
                <w:szCs w:val="20"/>
                <w:color w:val="000000"/>
                <w:w w:val="90"/>
              </w:rPr>
              <w:t>SECTION 5.17</w:t>
            </w:r>
          </w:p>
        </w:tc>
        <w:tc>
          <w:tcPr>
            <w:tcW w:w="120" w:type="dxa"/>
            <w:vAlign w:val="bottom"/>
          </w:tcPr>
          <w:p>
            <w:pPr>
              <w:spacing w:after="0"/>
              <w:rPr>
                <w:sz w:val="24"/>
                <w:szCs w:val="24"/>
                <w:color w:val="auto"/>
              </w:rPr>
            </w:pPr>
          </w:p>
        </w:tc>
        <w:tc>
          <w:tcPr>
            <w:tcW w:w="1500" w:type="dxa"/>
            <w:vAlign w:val="bottom"/>
            <w:gridSpan w:val="4"/>
          </w:tcPr>
          <w:p>
            <w:pPr>
              <w:jc w:val="right"/>
              <w:ind w:right="501"/>
              <w:spacing w:after="0"/>
              <w:rPr>
                <w:sz w:val="20"/>
                <w:szCs w:val="20"/>
                <w:color w:val="auto"/>
              </w:rPr>
            </w:pPr>
            <w:r>
              <w:rPr>
                <w:rFonts w:ascii="Arial" w:cs="Arial" w:eastAsia="Arial" w:hAnsi="Arial"/>
                <w:sz w:val="20"/>
                <w:szCs w:val="20"/>
                <w:color w:val="auto"/>
              </w:rPr>
              <w:t>Additional</w:t>
            </w:r>
          </w:p>
        </w:tc>
        <w:tc>
          <w:tcPr>
            <w:tcW w:w="0" w:type="dxa"/>
            <w:vAlign w:val="bottom"/>
          </w:tcPr>
          <w:p>
            <w:pPr>
              <w:spacing w:after="0"/>
              <w:rPr>
                <w:sz w:val="1"/>
                <w:szCs w:val="1"/>
                <w:color w:val="auto"/>
              </w:rPr>
            </w:pPr>
          </w:p>
        </w:tc>
      </w:tr>
      <w:tr>
        <w:trPr>
          <w:trHeight w:val="338"/>
        </w:trPr>
        <w:tc>
          <w:tcPr>
            <w:tcW w:w="1980" w:type="dxa"/>
            <w:vAlign w:val="bottom"/>
          </w:tcPr>
          <w:p>
            <w:pPr>
              <w:ind w:left="640"/>
              <w:spacing w:after="0"/>
              <w:rPr>
                <w:sz w:val="20"/>
                <w:szCs w:val="20"/>
                <w:color w:val="auto"/>
              </w:rPr>
            </w:pPr>
            <w:r>
              <w:rPr>
                <w:rFonts w:ascii="Arial" w:cs="Arial" w:eastAsia="Arial" w:hAnsi="Arial"/>
                <w:sz w:val="7"/>
                <w:szCs w:val="7"/>
                <w:color w:val="auto"/>
                <w:w w:val="72"/>
              </w:rPr>
              <w:t>Borrowers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FF0000"/>
                <w:strike w:val="1"/>
              </w:rPr>
              <w:t>92</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97</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80" w:type="dxa"/>
            <w:vAlign w:val="bottom"/>
          </w:tcPr>
          <w:p>
            <w:pPr>
              <w:ind w:left="640"/>
              <w:spacing w:after="0"/>
              <w:rPr>
                <w:sz w:val="20"/>
                <w:szCs w:val="20"/>
                <w:color w:val="auto"/>
              </w:rPr>
            </w:pPr>
            <w:r>
              <w:rPr>
                <w:rFonts w:ascii="Arial" w:cs="Arial" w:eastAsia="Arial" w:hAnsi="Arial"/>
                <w:sz w:val="20"/>
                <w:szCs w:val="20"/>
                <w:color w:val="auto"/>
                <w:w w:val="98"/>
              </w:rPr>
              <w:t>SECTION 5.18</w:t>
            </w:r>
          </w:p>
        </w:tc>
        <w:tc>
          <w:tcPr>
            <w:tcW w:w="5340" w:type="dxa"/>
            <w:vAlign w:val="bottom"/>
            <w:gridSpan w:val="11"/>
          </w:tcPr>
          <w:p>
            <w:pPr>
              <w:jc w:val="right"/>
              <w:spacing w:after="0"/>
              <w:rPr>
                <w:sz w:val="20"/>
                <w:szCs w:val="20"/>
                <w:color w:val="auto"/>
              </w:rPr>
            </w:pPr>
            <w:r>
              <w:rPr>
                <w:rFonts w:ascii="Arial" w:cs="Arial" w:eastAsia="Arial" w:hAnsi="Arial"/>
                <w:sz w:val="20"/>
                <w:szCs w:val="20"/>
                <w:color w:val="auto"/>
                <w:w w:val="86"/>
              </w:rPr>
              <w:t>Refinancing Facilities............................................................................</w:t>
            </w:r>
          </w:p>
        </w:tc>
        <w:tc>
          <w:tcPr>
            <w:tcW w:w="30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93</w:t>
            </w:r>
          </w:p>
        </w:tc>
        <w:tc>
          <w:tcPr>
            <w:tcW w:w="240" w:type="dxa"/>
            <w:vAlign w:val="bottom"/>
            <w:gridSpan w:val="8"/>
          </w:tcPr>
          <w:p>
            <w:pPr>
              <w:spacing w:after="0"/>
              <w:rPr>
                <w:sz w:val="20"/>
                <w:szCs w:val="20"/>
                <w:color w:val="auto"/>
              </w:rPr>
            </w:pPr>
            <w:r>
              <w:rPr>
                <w:rFonts w:ascii="Arial" w:cs="Arial" w:eastAsia="Arial" w:hAnsi="Arial"/>
                <w:sz w:val="20"/>
                <w:szCs w:val="20"/>
                <w:color w:val="0000FF"/>
                <w:w w:val="98"/>
              </w:rPr>
              <w:t>98</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86"/>
              </w:rPr>
              <w:t>SECTION 5.19  Amend and Extend Transactions............................................................</w:t>
            </w:r>
          </w:p>
        </w:tc>
        <w:tc>
          <w:tcPr>
            <w:tcW w:w="30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96</w:t>
            </w:r>
          </w:p>
        </w:tc>
        <w:tc>
          <w:tcPr>
            <w:tcW w:w="1560" w:type="dxa"/>
            <w:vAlign w:val="bottom"/>
            <w:gridSpan w:val="7"/>
          </w:tcPr>
          <w:p>
            <w:pPr>
              <w:jc w:val="right"/>
              <w:ind w:right="1161"/>
              <w:spacing w:after="0"/>
              <w:rPr>
                <w:sz w:val="20"/>
                <w:szCs w:val="20"/>
                <w:color w:val="auto"/>
              </w:rPr>
            </w:pPr>
            <w:r>
              <w:rPr>
                <w:rFonts w:ascii="Arial" w:cs="Arial" w:eastAsia="Arial" w:hAnsi="Arial"/>
                <w:sz w:val="20"/>
                <w:szCs w:val="20"/>
                <w:color w:val="0000FF"/>
                <w:w w:val="83"/>
              </w:rPr>
              <w:t>101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40" w:type="dxa"/>
            <w:vAlign w:val="bottom"/>
            <w:gridSpan w:val="22"/>
          </w:tcPr>
          <w:p>
            <w:pPr>
              <w:jc w:val="right"/>
              <w:spacing w:after="0"/>
              <w:rPr>
                <w:sz w:val="20"/>
                <w:szCs w:val="20"/>
                <w:color w:val="auto"/>
              </w:rPr>
            </w:pPr>
            <w:r>
              <w:rPr>
                <w:rFonts w:ascii="Arial" w:cs="Arial" w:eastAsia="Arial" w:hAnsi="Arial"/>
                <w:sz w:val="20"/>
                <w:szCs w:val="20"/>
                <w:color w:val="auto"/>
                <w:w w:val="86"/>
              </w:rPr>
              <w:t>ARTICLE VI  CONDITIONS OF CLOSING AND BORROWING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FF0000"/>
                <w:strike w:val="1"/>
              </w:rPr>
              <w:t>97</w:t>
            </w:r>
          </w:p>
        </w:tc>
        <w:tc>
          <w:tcPr>
            <w:tcW w:w="300" w:type="dxa"/>
            <w:vAlign w:val="bottom"/>
            <w:gridSpan w:val="2"/>
          </w:tcPr>
          <w:p>
            <w:pPr>
              <w:jc w:val="right"/>
              <w:spacing w:after="0"/>
              <w:rPr>
                <w:sz w:val="20"/>
                <w:szCs w:val="20"/>
                <w:color w:val="auto"/>
              </w:rPr>
            </w:pPr>
            <w:r>
              <w:rPr>
                <w:rFonts w:ascii="Arial" w:cs="Arial" w:eastAsia="Arial" w:hAnsi="Arial"/>
                <w:sz w:val="20"/>
                <w:szCs w:val="20"/>
                <w:color w:val="0000FF"/>
                <w:w w:val="83"/>
              </w:rPr>
              <w:t>103</w:t>
            </w:r>
          </w:p>
        </w:tc>
        <w:tc>
          <w:tcPr>
            <w:tcW w:w="0" w:type="dxa"/>
            <w:vAlign w:val="bottom"/>
          </w:tcPr>
          <w:p>
            <w:pPr>
              <w:spacing w:after="0"/>
              <w:rPr>
                <w:sz w:val="1"/>
                <w:szCs w:val="1"/>
                <w:color w:val="auto"/>
              </w:rPr>
            </w:pPr>
          </w:p>
        </w:tc>
      </w:tr>
      <w:tr>
        <w:trPr>
          <w:trHeight w:val="378"/>
        </w:trPr>
        <w:tc>
          <w:tcPr>
            <w:tcW w:w="7320" w:type="dxa"/>
            <w:vAlign w:val="bottom"/>
            <w:gridSpan w:val="12"/>
          </w:tcPr>
          <w:p>
            <w:pPr>
              <w:jc w:val="right"/>
              <w:spacing w:after="0"/>
              <w:rPr>
                <w:sz w:val="20"/>
                <w:szCs w:val="20"/>
                <w:color w:val="auto"/>
              </w:rPr>
            </w:pPr>
            <w:r>
              <w:rPr>
                <w:rFonts w:ascii="Arial" w:cs="Arial" w:eastAsia="Arial" w:hAnsi="Arial"/>
                <w:sz w:val="20"/>
                <w:szCs w:val="20"/>
                <w:color w:val="auto"/>
                <w:w w:val="99"/>
              </w:rPr>
              <w:t>SECTION 6.1  Conditions to Closing and Initial Extensions of Credit.........................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8"/>
          </w:tcPr>
          <w:p>
            <w:pPr>
              <w:ind w:left="20"/>
              <w:spacing w:after="0"/>
              <w:rPr>
                <w:sz w:val="20"/>
                <w:szCs w:val="20"/>
                <w:color w:val="auto"/>
              </w:rPr>
            </w:pPr>
            <w:r>
              <w:rPr>
                <w:rFonts w:ascii="Arial" w:cs="Arial" w:eastAsia="Arial" w:hAnsi="Arial"/>
                <w:sz w:val="20"/>
                <w:szCs w:val="20"/>
                <w:color w:val="FF0000"/>
                <w:strike w:val="1"/>
                <w:w w:val="80"/>
              </w:rPr>
              <w:t>97</w:t>
            </w:r>
          </w:p>
        </w:tc>
        <w:tc>
          <w:tcPr>
            <w:tcW w:w="1540" w:type="dxa"/>
            <w:vAlign w:val="bottom"/>
            <w:gridSpan w:val="3"/>
          </w:tcPr>
          <w:p>
            <w:pPr>
              <w:spacing w:after="0"/>
              <w:rPr>
                <w:sz w:val="20"/>
                <w:szCs w:val="20"/>
                <w:color w:val="auto"/>
              </w:rPr>
            </w:pPr>
            <w:r>
              <w:rPr>
                <w:rFonts w:ascii="Arial" w:cs="Arial" w:eastAsia="Arial" w:hAnsi="Arial"/>
                <w:sz w:val="20"/>
                <w:szCs w:val="20"/>
                <w:color w:val="0000FF"/>
                <w:w w:val="94"/>
              </w:rPr>
              <w:t xml:space="preserve">103 </w:t>
            </w:r>
            <w:r>
              <w:rPr>
                <w:rFonts w:ascii="Arial" w:cs="Arial" w:eastAsia="Arial" w:hAnsi="Arial"/>
                <w:sz w:val="20"/>
                <w:szCs w:val="20"/>
                <w:color w:val="000000"/>
                <w:w w:val="94"/>
              </w:rPr>
              <w:t>SECTION 6.2</w:t>
            </w: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Conditions to All</w:t>
            </w:r>
          </w:p>
        </w:tc>
        <w:tc>
          <w:tcPr>
            <w:tcW w:w="0" w:type="dxa"/>
            <w:vAlign w:val="bottom"/>
          </w:tcPr>
          <w:p>
            <w:pPr>
              <w:spacing w:after="0"/>
              <w:rPr>
                <w:sz w:val="1"/>
                <w:szCs w:val="1"/>
                <w:color w:val="auto"/>
              </w:rPr>
            </w:pPr>
          </w:p>
        </w:tc>
      </w:tr>
      <w:tr>
        <w:trPr>
          <w:trHeight w:val="337"/>
        </w:trPr>
        <w:tc>
          <w:tcPr>
            <w:tcW w:w="1980" w:type="dxa"/>
            <w:vAlign w:val="bottom"/>
          </w:tcPr>
          <w:p>
            <w:pPr>
              <w:spacing w:after="0"/>
              <w:rPr>
                <w:sz w:val="20"/>
                <w:szCs w:val="20"/>
                <w:color w:val="auto"/>
              </w:rPr>
            </w:pPr>
            <w:r>
              <w:rPr>
                <w:rFonts w:ascii="Arial" w:cs="Arial" w:eastAsia="Arial" w:hAnsi="Arial"/>
                <w:sz w:val="12"/>
                <w:szCs w:val="12"/>
                <w:color w:val="auto"/>
                <w:w w:val="72"/>
              </w:rPr>
              <w:t>Extensions of Credit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FF0000"/>
                <w:strike w:val="1"/>
              </w:rPr>
              <w:t>101</w:t>
            </w:r>
          </w:p>
        </w:tc>
        <w:tc>
          <w:tcPr>
            <w:tcW w:w="6640" w:type="dxa"/>
            <w:vAlign w:val="bottom"/>
            <w:gridSpan w:val="26"/>
          </w:tcPr>
          <w:p>
            <w:pPr>
              <w:jc w:val="right"/>
              <w:spacing w:after="0"/>
              <w:rPr>
                <w:sz w:val="20"/>
                <w:szCs w:val="20"/>
                <w:color w:val="auto"/>
              </w:rPr>
            </w:pPr>
            <w:r>
              <w:rPr>
                <w:rFonts w:ascii="Arial" w:cs="Arial" w:eastAsia="Arial" w:hAnsi="Arial"/>
                <w:sz w:val="20"/>
                <w:szCs w:val="20"/>
                <w:color w:val="0000FF"/>
                <w:w w:val="94"/>
              </w:rPr>
              <w:t xml:space="preserve">106 </w:t>
            </w:r>
            <w:r>
              <w:rPr>
                <w:rFonts w:ascii="Arial" w:cs="Arial" w:eastAsia="Arial" w:hAnsi="Arial"/>
                <w:sz w:val="20"/>
                <w:szCs w:val="20"/>
                <w:color w:val="000000"/>
                <w:w w:val="94"/>
              </w:rPr>
              <w:t>ARTICLE VII REPRESENTATIONS AND WARRANTIES OF THE CREDIT</w:t>
            </w:r>
          </w:p>
        </w:tc>
        <w:tc>
          <w:tcPr>
            <w:tcW w:w="0" w:type="dxa"/>
            <w:vAlign w:val="bottom"/>
          </w:tcPr>
          <w:p>
            <w:pPr>
              <w:spacing w:after="0"/>
              <w:rPr>
                <w:sz w:val="1"/>
                <w:szCs w:val="1"/>
                <w:color w:val="auto"/>
              </w:rPr>
            </w:pPr>
          </w:p>
        </w:tc>
      </w:tr>
      <w:tr>
        <w:trPr>
          <w:trHeight w:val="338"/>
        </w:trPr>
        <w:tc>
          <w:tcPr>
            <w:tcW w:w="1980" w:type="dxa"/>
            <w:vAlign w:val="bottom"/>
          </w:tcPr>
          <w:p>
            <w:pPr>
              <w:ind w:left="820"/>
              <w:spacing w:after="0"/>
              <w:rPr>
                <w:sz w:val="20"/>
                <w:szCs w:val="20"/>
                <w:color w:val="auto"/>
              </w:rPr>
            </w:pPr>
            <w:r>
              <w:rPr>
                <w:rFonts w:ascii="Arial" w:cs="Arial" w:eastAsia="Arial" w:hAnsi="Arial"/>
                <w:sz w:val="20"/>
                <w:szCs w:val="20"/>
                <w:color w:val="auto"/>
                <w:w w:val="84"/>
              </w:rPr>
              <w:t>PARTIES ........</w:t>
            </w: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102</w:t>
            </w:r>
          </w:p>
        </w:tc>
        <w:tc>
          <w:tcPr>
            <w:tcW w:w="4940" w:type="dxa"/>
            <w:vAlign w:val="bottom"/>
            <w:gridSpan w:val="9"/>
          </w:tcPr>
          <w:p>
            <w:pPr>
              <w:jc w:val="right"/>
              <w:spacing w:after="0"/>
              <w:rPr>
                <w:sz w:val="20"/>
                <w:szCs w:val="20"/>
                <w:color w:val="auto"/>
              </w:rPr>
            </w:pPr>
            <w:r>
              <w:rPr>
                <w:rFonts w:ascii="Arial" w:cs="Arial" w:eastAsia="Arial" w:hAnsi="Arial"/>
                <w:sz w:val="18"/>
                <w:szCs w:val="18"/>
                <w:color w:val="0000FF"/>
                <w:w w:val="70"/>
              </w:rPr>
              <w:t xml:space="preserve">107 </w:t>
            </w:r>
            <w:r>
              <w:rPr>
                <w:rFonts w:ascii="Arial" w:cs="Arial" w:eastAsia="Arial" w:hAnsi="Arial"/>
                <w:sz w:val="18"/>
                <w:szCs w:val="18"/>
                <w:color w:val="000000"/>
                <w:w w:val="70"/>
              </w:rPr>
              <w:t>SECTION 7.1  Organization; Power; Qualification......................................................</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FF0000"/>
                <w:strike w:val="1"/>
                <w:w w:val="89"/>
              </w:rPr>
              <w:t>102</w:t>
            </w:r>
          </w:p>
        </w:tc>
        <w:tc>
          <w:tcPr>
            <w:tcW w:w="1180" w:type="dxa"/>
            <w:vAlign w:val="bottom"/>
            <w:gridSpan w:val="3"/>
          </w:tcPr>
          <w:p>
            <w:pPr>
              <w:jc w:val="right"/>
              <w:spacing w:after="0"/>
              <w:rPr>
                <w:sz w:val="20"/>
                <w:szCs w:val="20"/>
                <w:color w:val="auto"/>
              </w:rPr>
            </w:pPr>
            <w:r>
              <w:rPr>
                <w:rFonts w:ascii="Arial" w:cs="Arial" w:eastAsia="Arial" w:hAnsi="Arial"/>
                <w:sz w:val="20"/>
                <w:szCs w:val="20"/>
                <w:color w:val="0000FF"/>
                <w:w w:val="90"/>
              </w:rPr>
              <w:t xml:space="preserve">107 </w:t>
            </w:r>
            <w:r>
              <w:rPr>
                <w:rFonts w:ascii="Arial" w:cs="Arial" w:eastAsia="Arial" w:hAnsi="Arial"/>
                <w:sz w:val="20"/>
                <w:szCs w:val="20"/>
                <w:color w:val="000000"/>
                <w:w w:val="90"/>
              </w:rPr>
              <w:t>SECTION</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20" w:type="dxa"/>
            <w:vAlign w:val="bottom"/>
            <w:gridSpan w:val="8"/>
          </w:tcPr>
          <w:p>
            <w:pPr>
              <w:jc w:val="right"/>
              <w:spacing w:after="0"/>
              <w:rPr>
                <w:sz w:val="20"/>
                <w:szCs w:val="20"/>
                <w:color w:val="auto"/>
              </w:rPr>
            </w:pPr>
            <w:r>
              <w:rPr>
                <w:rFonts w:ascii="Arial" w:cs="Arial" w:eastAsia="Arial" w:hAnsi="Arial"/>
                <w:sz w:val="12"/>
                <w:szCs w:val="12"/>
                <w:color w:val="auto"/>
                <w:w w:val="74"/>
              </w:rPr>
              <w:t>7.2  Ownership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FF0000"/>
                <w:strike w:val="1"/>
              </w:rPr>
              <w:t>102</w:t>
            </w:r>
          </w:p>
        </w:tc>
        <w:tc>
          <w:tcPr>
            <w:tcW w:w="300" w:type="dxa"/>
            <w:vAlign w:val="bottom"/>
            <w:gridSpan w:val="2"/>
          </w:tcPr>
          <w:p>
            <w:pPr>
              <w:jc w:val="right"/>
              <w:spacing w:after="0"/>
              <w:rPr>
                <w:sz w:val="20"/>
                <w:szCs w:val="20"/>
                <w:color w:val="auto"/>
              </w:rPr>
            </w:pPr>
            <w:r>
              <w:rPr>
                <w:rFonts w:ascii="Arial" w:cs="Arial" w:eastAsia="Arial" w:hAnsi="Arial"/>
                <w:sz w:val="20"/>
                <w:szCs w:val="20"/>
                <w:color w:val="0000FF"/>
                <w:w w:val="83"/>
              </w:rPr>
              <w:t>107</w:t>
            </w:r>
          </w:p>
        </w:tc>
        <w:tc>
          <w:tcPr>
            <w:tcW w:w="0" w:type="dxa"/>
            <w:vAlign w:val="bottom"/>
          </w:tcPr>
          <w:p>
            <w:pPr>
              <w:spacing w:after="0"/>
              <w:rPr>
                <w:sz w:val="1"/>
                <w:szCs w:val="1"/>
                <w:color w:val="auto"/>
              </w:rPr>
            </w:pPr>
          </w:p>
        </w:tc>
      </w:tr>
      <w:tr>
        <w:trPr>
          <w:trHeight w:val="580"/>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5"/>
          </w:tcPr>
          <w:p>
            <w:pPr>
              <w:ind w:left="20"/>
              <w:spacing w:after="0"/>
              <w:rPr>
                <w:sz w:val="20"/>
                <w:szCs w:val="20"/>
                <w:color w:val="auto"/>
              </w:rPr>
            </w:pPr>
            <w:r>
              <w:rPr>
                <w:rFonts w:ascii="Arial" w:cs="Arial" w:eastAsia="Arial" w:hAnsi="Arial"/>
                <w:sz w:val="20"/>
                <w:szCs w:val="20"/>
                <w:color w:val="auto"/>
              </w:rPr>
              <w:t>ii</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91"/>
              </w:rPr>
              <w:t>SECTION 7.3 Authorization; Enforceability...............................................................</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102</w:t>
            </w:r>
          </w:p>
        </w:tc>
        <w:tc>
          <w:tcPr>
            <w:tcW w:w="320" w:type="dxa"/>
            <w:vAlign w:val="bottom"/>
            <w:gridSpan w:val="8"/>
          </w:tcPr>
          <w:p>
            <w:pPr>
              <w:spacing w:after="0"/>
              <w:rPr>
                <w:sz w:val="20"/>
                <w:szCs w:val="20"/>
                <w:color w:val="auto"/>
              </w:rPr>
            </w:pPr>
            <w:r>
              <w:rPr>
                <w:rFonts w:ascii="Arial" w:cs="Arial" w:eastAsia="Arial" w:hAnsi="Arial"/>
                <w:sz w:val="20"/>
                <w:szCs w:val="20"/>
                <w:color w:val="0000FF"/>
                <w:w w:val="89"/>
              </w:rPr>
              <w:t>108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95"/>
              </w:rPr>
              <w:t>SECTION 7.4 Compliance of Agreement, Loan Documents and Borrowing with</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40" w:type="dxa"/>
            <w:vAlign w:val="bottom"/>
            <w:gridSpan w:val="10"/>
          </w:tcPr>
          <w:p>
            <w:pPr>
              <w:jc w:val="center"/>
              <w:spacing w:after="0"/>
              <w:rPr>
                <w:sz w:val="20"/>
                <w:szCs w:val="20"/>
                <w:color w:val="auto"/>
              </w:rPr>
            </w:pPr>
            <w:r>
              <w:rPr>
                <w:rFonts w:ascii="Arial" w:cs="Arial" w:eastAsia="Arial" w:hAnsi="Arial"/>
                <w:sz w:val="20"/>
                <w:szCs w:val="20"/>
                <w:color w:val="auto"/>
                <w:w w:val="88"/>
              </w:rPr>
              <w:t>Laws, Etc..............................................................................................</w:t>
            </w:r>
          </w:p>
        </w:tc>
        <w:tc>
          <w:tcPr>
            <w:tcW w:w="340" w:type="dxa"/>
            <w:vAlign w:val="bottom"/>
            <w:gridSpan w:val="2"/>
          </w:tcPr>
          <w:p>
            <w:pPr>
              <w:spacing w:after="0"/>
              <w:rPr>
                <w:sz w:val="21"/>
                <w:szCs w:val="21"/>
                <w:color w:val="auto"/>
              </w:rPr>
            </w:pPr>
          </w:p>
        </w:tc>
        <w:tc>
          <w:tcPr>
            <w:tcW w:w="400" w:type="dxa"/>
            <w:vAlign w:val="bottom"/>
            <w:gridSpan w:val="10"/>
          </w:tcPr>
          <w:p>
            <w:pPr>
              <w:ind w:left="100"/>
              <w:spacing w:after="0"/>
              <w:rPr>
                <w:sz w:val="20"/>
                <w:szCs w:val="20"/>
                <w:color w:val="auto"/>
              </w:rPr>
            </w:pPr>
            <w:r>
              <w:rPr>
                <w:rFonts w:ascii="Arial" w:cs="Arial" w:eastAsia="Arial" w:hAnsi="Arial"/>
                <w:sz w:val="20"/>
                <w:szCs w:val="20"/>
                <w:color w:val="FF0000"/>
                <w:strike w:val="1"/>
                <w:w w:val="83"/>
              </w:rPr>
              <w:t>103</w:t>
            </w:r>
          </w:p>
        </w:tc>
        <w:tc>
          <w:tcPr>
            <w:tcW w:w="1360" w:type="dxa"/>
            <w:vAlign w:val="bottom"/>
          </w:tcPr>
          <w:p>
            <w:pPr>
              <w:jc w:val="right"/>
              <w:ind w:right="981"/>
              <w:spacing w:after="0"/>
              <w:rPr>
                <w:sz w:val="20"/>
                <w:szCs w:val="20"/>
                <w:color w:val="auto"/>
              </w:rPr>
            </w:pPr>
            <w:r>
              <w:rPr>
                <w:rFonts w:ascii="Arial" w:cs="Arial" w:eastAsia="Arial" w:hAnsi="Arial"/>
                <w:sz w:val="20"/>
                <w:szCs w:val="20"/>
                <w:color w:val="0000FF"/>
                <w:w w:val="77"/>
              </w:rPr>
              <w:t>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7320" w:type="dxa"/>
            <w:vAlign w:val="bottom"/>
            <w:gridSpan w:val="12"/>
          </w:tcPr>
          <w:p>
            <w:pPr>
              <w:ind w:left="640"/>
              <w:spacing w:after="0"/>
              <w:rPr>
                <w:sz w:val="20"/>
                <w:szCs w:val="20"/>
                <w:color w:val="auto"/>
              </w:rPr>
            </w:pPr>
            <w:r>
              <w:rPr>
                <w:rFonts w:ascii="Arial" w:cs="Arial" w:eastAsia="Arial" w:hAnsi="Arial"/>
                <w:sz w:val="20"/>
                <w:szCs w:val="20"/>
                <w:color w:val="auto"/>
                <w:w w:val="91"/>
              </w:rPr>
              <w:t>SECTION 7.5 Compliance with Law; Governmental Approvals................................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8"/>
          </w:tcPr>
          <w:p>
            <w:pPr>
              <w:jc w:val="center"/>
              <w:spacing w:after="0"/>
              <w:rPr>
                <w:sz w:val="20"/>
                <w:szCs w:val="20"/>
                <w:color w:val="auto"/>
              </w:rPr>
            </w:pPr>
            <w:r>
              <w:rPr>
                <w:rFonts w:ascii="Arial" w:cs="Arial" w:eastAsia="Arial" w:hAnsi="Arial"/>
                <w:sz w:val="20"/>
                <w:szCs w:val="20"/>
                <w:color w:val="FF0000"/>
                <w:strike w:val="1"/>
                <w:w w:val="89"/>
              </w:rPr>
              <w:t>103</w:t>
            </w:r>
          </w:p>
        </w:tc>
        <w:tc>
          <w:tcPr>
            <w:tcW w:w="3080" w:type="dxa"/>
            <w:vAlign w:val="bottom"/>
            <w:gridSpan w:val="8"/>
          </w:tcPr>
          <w:p>
            <w:pPr>
              <w:jc w:val="right"/>
              <w:spacing w:after="0"/>
              <w:rPr>
                <w:sz w:val="20"/>
                <w:szCs w:val="20"/>
                <w:color w:val="auto"/>
              </w:rPr>
            </w:pPr>
            <w:r>
              <w:rPr>
                <w:rFonts w:ascii="Arial" w:cs="Arial" w:eastAsia="Arial" w:hAnsi="Arial"/>
                <w:sz w:val="20"/>
                <w:szCs w:val="20"/>
                <w:color w:val="0000FF"/>
                <w:w w:val="97"/>
              </w:rPr>
              <w:t xml:space="preserve">108 </w:t>
            </w:r>
            <w:r>
              <w:rPr>
                <w:rFonts w:ascii="Arial" w:cs="Arial" w:eastAsia="Arial" w:hAnsi="Arial"/>
                <w:sz w:val="20"/>
                <w:szCs w:val="20"/>
                <w:color w:val="000000"/>
                <w:w w:val="97"/>
              </w:rPr>
              <w:t>SECTION 7.6 Tax Returns and</w:t>
            </w:r>
          </w:p>
        </w:tc>
        <w:tc>
          <w:tcPr>
            <w:tcW w:w="0" w:type="dxa"/>
            <w:vAlign w:val="bottom"/>
          </w:tcPr>
          <w:p>
            <w:pPr>
              <w:spacing w:after="0"/>
              <w:rPr>
                <w:sz w:val="1"/>
                <w:szCs w:val="1"/>
                <w:color w:val="auto"/>
              </w:rPr>
            </w:pPr>
          </w:p>
        </w:tc>
      </w:tr>
      <w:tr>
        <w:trPr>
          <w:trHeight w:val="338"/>
        </w:trPr>
        <w:tc>
          <w:tcPr>
            <w:tcW w:w="1980" w:type="dxa"/>
            <w:vAlign w:val="bottom"/>
          </w:tcPr>
          <w:p>
            <w:pPr>
              <w:ind w:left="640"/>
              <w:spacing w:after="0"/>
              <w:rPr>
                <w:sz w:val="20"/>
                <w:szCs w:val="20"/>
                <w:color w:val="auto"/>
              </w:rPr>
            </w:pPr>
            <w:r>
              <w:rPr>
                <w:rFonts w:ascii="Arial" w:cs="Arial" w:eastAsia="Arial" w:hAnsi="Arial"/>
                <w:sz w:val="8"/>
                <w:szCs w:val="8"/>
                <w:color w:val="auto"/>
                <w:w w:val="70"/>
              </w:rPr>
              <w:t>Payments ...................................................................</w:t>
            </w:r>
          </w:p>
        </w:tc>
        <w:tc>
          <w:tcPr>
            <w:tcW w:w="2420" w:type="dxa"/>
            <w:vAlign w:val="bottom"/>
            <w:gridSpan w:val="3"/>
          </w:tcPr>
          <w:p>
            <w:pPr>
              <w:spacing w:after="0"/>
              <w:rPr>
                <w:sz w:val="24"/>
                <w:szCs w:val="24"/>
                <w:color w:val="auto"/>
              </w:rPr>
            </w:pPr>
          </w:p>
        </w:tc>
        <w:tc>
          <w:tcPr>
            <w:tcW w:w="720" w:type="dxa"/>
            <w:vAlign w:val="bottom"/>
            <w:gridSpan w:val="2"/>
          </w:tcPr>
          <w:p>
            <w:pPr>
              <w:jc w:val="center"/>
              <w:ind w:left="331"/>
              <w:spacing w:after="0"/>
              <w:rPr>
                <w:sz w:val="20"/>
                <w:szCs w:val="20"/>
                <w:color w:val="auto"/>
              </w:rPr>
            </w:pPr>
            <w:r>
              <w:rPr>
                <w:rFonts w:ascii="Arial" w:cs="Arial" w:eastAsia="Arial" w:hAnsi="Arial"/>
                <w:sz w:val="20"/>
                <w:szCs w:val="20"/>
                <w:color w:val="FF0000"/>
                <w:strike w:val="1"/>
                <w:w w:val="89"/>
              </w:rPr>
              <w:t>103</w:t>
            </w:r>
          </w:p>
        </w:tc>
        <w:tc>
          <w:tcPr>
            <w:tcW w:w="320" w:type="dxa"/>
            <w:vAlign w:val="bottom"/>
          </w:tcPr>
          <w:p>
            <w:pPr>
              <w:jc w:val="right"/>
              <w:spacing w:after="0"/>
              <w:rPr>
                <w:sz w:val="20"/>
                <w:szCs w:val="20"/>
                <w:color w:val="auto"/>
              </w:rPr>
            </w:pPr>
            <w:r>
              <w:rPr>
                <w:rFonts w:ascii="Arial" w:cs="Arial" w:eastAsia="Arial" w:hAnsi="Arial"/>
                <w:sz w:val="20"/>
                <w:szCs w:val="20"/>
                <w:color w:val="0000FF"/>
                <w:w w:val="83"/>
              </w:rPr>
              <w:t>108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60" w:top="825" w:right="4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146960219_6</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165457743_4</w:t>
      </w:r>
    </w:p>
    <w:p>
      <w:pPr>
        <w:sectPr>
          <w:pgSz w:w="11900" w:h="16838" w:orient="portrait"/>
          <w:cols w:equalWidth="0" w:num="1">
            <w:col w:w="11100"/>
          </w:cols>
          <w:pgMar w:left="360" w:top="825" w:right="439" w:bottom="1440" w:gutter="0" w:footer="0" w:header="0"/>
          <w:type w:val="continuous"/>
        </w:sectPr>
      </w:pPr>
    </w:p>
    <w:bookmarkStart w:id="72" w:name="page73"/>
    <w:bookmarkEnd w:id="72"/>
    <w:tbl>
      <w:tblPr>
        <w:tblLayout w:type="fixed"/>
        <w:tblInd w:w="60" w:type="dxa"/>
        <w:tblCellMar>
          <w:top w:w="0" w:type="dxa"/>
          <w:left w:w="0" w:type="dxa"/>
          <w:bottom w:w="0" w:type="dxa"/>
          <w:right w:w="0" w:type="dxa"/>
        </w:tblCellMar>
      </w:tblPr>
      <w:tr>
        <w:trPr>
          <w:trHeight w:val="250"/>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4"/>
              </w:rPr>
              <w:t>SECTION 7.7 Intellectual Property Matters ................................................................</w:t>
            </w:r>
          </w:p>
        </w:tc>
        <w:tc>
          <w:tcPr>
            <w:tcW w:w="280" w:type="dxa"/>
            <w:vAlign w:val="bottom"/>
          </w:tcPr>
          <w:p>
            <w:pPr>
              <w:spacing w:after="0"/>
              <w:rPr>
                <w:sz w:val="21"/>
                <w:szCs w:val="21"/>
                <w:color w:val="auto"/>
              </w:rPr>
            </w:pPr>
          </w:p>
        </w:tc>
        <w:tc>
          <w:tcPr>
            <w:tcW w:w="460" w:type="dxa"/>
            <w:vAlign w:val="bottom"/>
            <w:gridSpan w:val="5"/>
          </w:tcPr>
          <w:p>
            <w:pPr>
              <w:jc w:val="right"/>
              <w:spacing w:after="0"/>
              <w:rPr>
                <w:sz w:val="20"/>
                <w:szCs w:val="20"/>
                <w:color w:val="auto"/>
              </w:rPr>
            </w:pPr>
            <w:r>
              <w:rPr>
                <w:rFonts w:ascii="Arial" w:cs="Arial" w:eastAsia="Arial" w:hAnsi="Arial"/>
                <w:sz w:val="20"/>
                <w:szCs w:val="20"/>
                <w:color w:val="FF0000"/>
                <w:strike w:val="1"/>
              </w:rPr>
              <w:t>104</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109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1"/>
              </w:rPr>
              <w:t>SECTION 7.8 Environmental Matters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5"/>
          </w:tcPr>
          <w:p>
            <w:pPr>
              <w:jc w:val="right"/>
              <w:spacing w:after="0"/>
              <w:rPr>
                <w:sz w:val="20"/>
                <w:szCs w:val="20"/>
                <w:color w:val="auto"/>
              </w:rPr>
            </w:pPr>
            <w:r>
              <w:rPr>
                <w:rFonts w:ascii="Arial" w:cs="Arial" w:eastAsia="Arial" w:hAnsi="Arial"/>
                <w:sz w:val="20"/>
                <w:szCs w:val="20"/>
                <w:color w:val="FF0000"/>
                <w:strike w:val="1"/>
              </w:rPr>
              <w:t>104</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109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2"/>
              </w:rPr>
              <w:t>SECTION 7.9 Employee Benefit Matters....................................................................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20"/>
                <w:szCs w:val="20"/>
                <w:color w:val="FF0000"/>
                <w:strike w:val="1"/>
              </w:rPr>
              <w:t>105</w:t>
            </w:r>
          </w:p>
        </w:tc>
        <w:tc>
          <w:tcPr>
            <w:tcW w:w="320" w:type="dxa"/>
            <w:vAlign w:val="bottom"/>
            <w:gridSpan w:val="6"/>
          </w:tcPr>
          <w:p>
            <w:pPr>
              <w:jc w:val="right"/>
              <w:spacing w:after="0"/>
              <w:rPr>
                <w:sz w:val="20"/>
                <w:szCs w:val="20"/>
                <w:color w:val="auto"/>
              </w:rPr>
            </w:pPr>
            <w:r>
              <w:rPr>
                <w:rFonts w:ascii="Arial" w:cs="Arial" w:eastAsia="Arial" w:hAnsi="Arial"/>
                <w:sz w:val="20"/>
                <w:szCs w:val="20"/>
                <w:color w:val="0000FF"/>
                <w:w w:val="83"/>
              </w:rPr>
              <w:t>110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7.10 Margin Stock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106</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77"/>
              </w:rPr>
              <w:t>111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7.11 Government Regulation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106</w:t>
            </w:r>
          </w:p>
        </w:tc>
        <w:tc>
          <w:tcPr>
            <w:tcW w:w="280" w:type="dxa"/>
            <w:vAlign w:val="bottom"/>
            <w:gridSpan w:val="4"/>
          </w:tcPr>
          <w:p>
            <w:pPr>
              <w:spacing w:after="0"/>
              <w:rPr>
                <w:sz w:val="20"/>
                <w:szCs w:val="20"/>
                <w:color w:val="auto"/>
              </w:rPr>
            </w:pPr>
            <w:r>
              <w:rPr>
                <w:rFonts w:ascii="Arial" w:cs="Arial" w:eastAsia="Arial" w:hAnsi="Arial"/>
                <w:sz w:val="20"/>
                <w:szCs w:val="20"/>
                <w:color w:val="0000FF"/>
                <w:w w:val="77"/>
              </w:rPr>
              <w:t>111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1"/>
              </w:rPr>
              <w:t>SECTION 7.12 [Intentionally Omitted].........................................................................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106</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7.13 Employee Relations..............................................................................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106</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7.14 Burdensome Provisions........................................................................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107</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7.15 Financial Statements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107</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77"/>
              </w:rPr>
              <w:t>112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20" w:type="dxa"/>
            <w:vAlign w:val="bottom"/>
            <w:gridSpan w:val="2"/>
          </w:tcPr>
          <w:p>
            <w:pPr>
              <w:ind w:left="640"/>
              <w:spacing w:after="0"/>
              <w:rPr>
                <w:sz w:val="20"/>
                <w:szCs w:val="20"/>
                <w:color w:val="auto"/>
              </w:rPr>
            </w:pPr>
            <w:r>
              <w:rPr>
                <w:rFonts w:ascii="Arial" w:cs="Arial" w:eastAsia="Arial" w:hAnsi="Arial"/>
                <w:sz w:val="20"/>
                <w:szCs w:val="20"/>
                <w:color w:val="auto"/>
              </w:rPr>
              <w:t>SECTION  7.16  No</w:t>
            </w:r>
          </w:p>
        </w:tc>
        <w:tc>
          <w:tcPr>
            <w:tcW w:w="1680" w:type="dxa"/>
            <w:vAlign w:val="bottom"/>
          </w:tcPr>
          <w:p>
            <w:pPr>
              <w:ind w:left="60"/>
              <w:spacing w:after="0"/>
              <w:rPr>
                <w:sz w:val="20"/>
                <w:szCs w:val="20"/>
                <w:color w:val="auto"/>
              </w:rPr>
            </w:pPr>
            <w:r>
              <w:rPr>
                <w:rFonts w:ascii="Arial" w:cs="Arial" w:eastAsia="Arial" w:hAnsi="Arial"/>
                <w:sz w:val="20"/>
                <w:szCs w:val="20"/>
                <w:color w:val="auto"/>
              </w:rPr>
              <w:t>Material  Adverse</w:t>
            </w:r>
          </w:p>
        </w:tc>
        <w:tc>
          <w:tcPr>
            <w:tcW w:w="2820" w:type="dxa"/>
            <w:vAlign w:val="bottom"/>
            <w:gridSpan w:val="11"/>
          </w:tcPr>
          <w:p>
            <w:pPr>
              <w:jc w:val="right"/>
              <w:spacing w:after="0"/>
              <w:rPr>
                <w:sz w:val="20"/>
                <w:szCs w:val="20"/>
                <w:color w:val="auto"/>
              </w:rPr>
            </w:pPr>
            <w:r>
              <w:rPr>
                <w:rFonts w:ascii="Arial" w:cs="Arial" w:eastAsia="Arial" w:hAnsi="Arial"/>
                <w:sz w:val="20"/>
                <w:szCs w:val="20"/>
                <w:color w:val="auto"/>
                <w:w w:val="71"/>
              </w:rPr>
              <w:t>Change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107</w:t>
            </w:r>
          </w:p>
        </w:tc>
        <w:tc>
          <w:tcPr>
            <w:tcW w:w="360" w:type="dxa"/>
            <w:vAlign w:val="bottom"/>
          </w:tcPr>
          <w:p>
            <w:pPr>
              <w:jc w:val="right"/>
              <w:spacing w:after="0"/>
              <w:rPr>
                <w:sz w:val="20"/>
                <w:szCs w:val="20"/>
                <w:color w:val="auto"/>
              </w:rPr>
            </w:pPr>
            <w:r>
              <w:rPr>
                <w:rFonts w:ascii="Arial" w:cs="Arial" w:eastAsia="Arial" w:hAnsi="Arial"/>
                <w:sz w:val="20"/>
                <w:szCs w:val="20"/>
                <w:color w:val="0000FF"/>
                <w:w w:val="77"/>
              </w:rPr>
              <w:t>112</w:t>
            </w:r>
          </w:p>
        </w:tc>
        <w:tc>
          <w:tcPr>
            <w:tcW w:w="1000" w:type="dxa"/>
            <w:vAlign w:val="bottom"/>
            <w:gridSpan w:val="2"/>
          </w:tcPr>
          <w:p>
            <w:pPr>
              <w:ind w:left="80"/>
              <w:spacing w:after="0"/>
              <w:rPr>
                <w:sz w:val="20"/>
                <w:szCs w:val="20"/>
                <w:color w:val="auto"/>
              </w:rPr>
            </w:pPr>
            <w:r>
              <w:rPr>
                <w:rFonts w:ascii="Arial" w:cs="Arial" w:eastAsia="Arial" w:hAnsi="Arial"/>
                <w:sz w:val="20"/>
                <w:szCs w:val="20"/>
                <w:color w:val="auto"/>
              </w:rPr>
              <w:t>SECTION</w:t>
            </w:r>
          </w:p>
        </w:tc>
        <w:tc>
          <w:tcPr>
            <w:tcW w:w="460" w:type="dxa"/>
            <w:vAlign w:val="bottom"/>
          </w:tcPr>
          <w:p>
            <w:pPr>
              <w:ind w:left="40"/>
              <w:spacing w:after="0"/>
              <w:rPr>
                <w:sz w:val="20"/>
                <w:szCs w:val="20"/>
                <w:color w:val="auto"/>
              </w:rPr>
            </w:pPr>
            <w:r>
              <w:rPr>
                <w:rFonts w:ascii="Arial" w:cs="Arial" w:eastAsia="Arial" w:hAnsi="Arial"/>
                <w:sz w:val="20"/>
                <w:szCs w:val="20"/>
                <w:color w:val="auto"/>
              </w:rPr>
              <w:t>7.17</w:t>
            </w:r>
          </w:p>
        </w:tc>
        <w:tc>
          <w:tcPr>
            <w:tcW w:w="820" w:type="dxa"/>
            <w:vAlign w:val="bottom"/>
          </w:tcPr>
          <w:p>
            <w:pPr>
              <w:jc w:val="right"/>
              <w:spacing w:after="0"/>
              <w:rPr>
                <w:sz w:val="20"/>
                <w:szCs w:val="20"/>
                <w:color w:val="auto"/>
              </w:rPr>
            </w:pPr>
            <w:r>
              <w:rPr>
                <w:rFonts w:ascii="Arial" w:cs="Arial" w:eastAsia="Arial" w:hAnsi="Arial"/>
                <w:sz w:val="20"/>
                <w:szCs w:val="20"/>
                <w:color w:val="auto"/>
                <w:w w:val="98"/>
              </w:rPr>
              <w:t>Solvency</w:t>
            </w:r>
          </w:p>
        </w:tc>
        <w:tc>
          <w:tcPr>
            <w:tcW w:w="0" w:type="dxa"/>
            <w:vAlign w:val="bottom"/>
          </w:tcPr>
          <w:p>
            <w:pPr>
              <w:spacing w:after="0"/>
              <w:rPr>
                <w:sz w:val="1"/>
                <w:szCs w:val="1"/>
                <w:color w:val="auto"/>
              </w:rPr>
            </w:pPr>
          </w:p>
        </w:tc>
      </w:tr>
      <w:tr>
        <w:trPr>
          <w:trHeight w:val="338"/>
        </w:trPr>
        <w:tc>
          <w:tcPr>
            <w:tcW w:w="4100" w:type="dxa"/>
            <w:vAlign w:val="bottom"/>
            <w:gridSpan w:val="3"/>
            <w:vMerge w:val="restart"/>
          </w:tcPr>
          <w:p>
            <w:pPr>
              <w:ind w:left="640"/>
              <w:spacing w:after="0"/>
              <w:rPr>
                <w:sz w:val="20"/>
                <w:szCs w:val="20"/>
                <w:color w:val="auto"/>
              </w:rPr>
            </w:pPr>
            <w:r>
              <w:rPr>
                <w:rFonts w:ascii="Arial" w:cs="Arial" w:eastAsia="Arial" w:hAnsi="Arial"/>
                <w:sz w:val="9"/>
                <w:szCs w:val="9"/>
                <w:color w:val="auto"/>
                <w:vertAlign w:val="subscript"/>
              </w:rPr>
              <w:t>SECTION</w:t>
            </w:r>
            <w:r>
              <w:rPr>
                <w:rFonts w:ascii="Arial" w:cs="Arial" w:eastAsia="Arial" w:hAnsi="Arial"/>
                <w:sz w:val="5"/>
                <w:szCs w:val="5"/>
                <w:color w:val="auto"/>
              </w:rPr>
              <w:t>...............................................................................................</w:t>
            </w:r>
            <w:r>
              <w:rPr>
                <w:rFonts w:ascii="Arial" w:cs="Arial" w:eastAsia="Arial" w:hAnsi="Arial"/>
                <w:sz w:val="9"/>
                <w:szCs w:val="9"/>
                <w:color w:val="auto"/>
                <w:vertAlign w:val="subscript"/>
              </w:rPr>
              <w:t>7.18TitletoProperties</w:t>
            </w:r>
            <w:r>
              <w:rPr>
                <w:rFonts w:ascii="Arial" w:cs="Arial" w:eastAsia="Arial" w:hAnsi="Arial"/>
                <w:sz w:val="5"/>
                <w:szCs w:val="5"/>
                <w:color w:val="auto"/>
              </w:rPr>
              <w: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20"/>
                <w:szCs w:val="20"/>
                <w:color w:val="FF0000"/>
                <w:strike w:val="1"/>
              </w:rPr>
              <w:t>107</w:t>
            </w:r>
          </w:p>
        </w:tc>
        <w:tc>
          <w:tcPr>
            <w:tcW w:w="320" w:type="dxa"/>
            <w:vAlign w:val="bottom"/>
          </w:tcPr>
          <w:p>
            <w:pPr>
              <w:jc w:val="right"/>
              <w:spacing w:after="0"/>
              <w:rPr>
                <w:sz w:val="20"/>
                <w:szCs w:val="20"/>
                <w:color w:val="auto"/>
              </w:rPr>
            </w:pPr>
            <w:r>
              <w:rPr>
                <w:rFonts w:ascii="Arial" w:cs="Arial" w:eastAsia="Arial" w:hAnsi="Arial"/>
                <w:sz w:val="20"/>
                <w:szCs w:val="20"/>
                <w:color w:val="0000FF"/>
                <w:w w:val="77"/>
              </w:rPr>
              <w:t>112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color w:val="FF0000"/>
                <w:strike w:val="1"/>
                <w:w w:val="83"/>
              </w:rPr>
              <w:t>107</w:t>
            </w: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color w:val="0000FF"/>
                <w:w w:val="77"/>
              </w:rPr>
              <w:t>112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gridSpan w:val="3"/>
            <w:vMerge w:val="continue"/>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gridSpan w:val="6"/>
            <w:vMerge w:val="continue"/>
          </w:tcPr>
          <w:p>
            <w:pPr>
              <w:spacing w:after="0"/>
              <w:rPr>
                <w:sz w:val="23"/>
                <w:szCs w:val="23"/>
                <w:color w:val="auto"/>
              </w:rPr>
            </w:pPr>
          </w:p>
        </w:tc>
        <w:tc>
          <w:tcPr>
            <w:tcW w:w="300" w:type="dxa"/>
            <w:vAlign w:val="bottom"/>
            <w:gridSpan w:val="5"/>
            <w:vMerge w:val="continue"/>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7.19 Litigation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107</w:t>
            </w:r>
          </w:p>
        </w:tc>
        <w:tc>
          <w:tcPr>
            <w:tcW w:w="3080" w:type="dxa"/>
            <w:vAlign w:val="bottom"/>
            <w:gridSpan w:val="10"/>
          </w:tcPr>
          <w:p>
            <w:pPr>
              <w:jc w:val="right"/>
              <w:spacing w:after="0"/>
              <w:rPr>
                <w:sz w:val="20"/>
                <w:szCs w:val="20"/>
                <w:color w:val="auto"/>
              </w:rPr>
            </w:pPr>
            <w:r>
              <w:rPr>
                <w:rFonts w:ascii="Arial" w:cs="Arial" w:eastAsia="Arial" w:hAnsi="Arial"/>
                <w:sz w:val="20"/>
                <w:szCs w:val="20"/>
                <w:color w:val="0000FF"/>
                <w:w w:val="97"/>
              </w:rPr>
              <w:t xml:space="preserve">112 </w:t>
            </w:r>
            <w:r>
              <w:rPr>
                <w:rFonts w:ascii="Arial" w:cs="Arial" w:eastAsia="Arial" w:hAnsi="Arial"/>
                <w:sz w:val="20"/>
                <w:szCs w:val="20"/>
                <w:color w:val="000000"/>
                <w:w w:val="97"/>
              </w:rPr>
              <w:t>SECTION 7.20 Anti-Corruption</w:t>
            </w:r>
          </w:p>
        </w:tc>
        <w:tc>
          <w:tcPr>
            <w:tcW w:w="0" w:type="dxa"/>
            <w:vAlign w:val="bottom"/>
          </w:tcPr>
          <w:p>
            <w:pPr>
              <w:spacing w:after="0"/>
              <w:rPr>
                <w:sz w:val="1"/>
                <w:szCs w:val="1"/>
                <w:color w:val="auto"/>
              </w:rPr>
            </w:pPr>
          </w:p>
        </w:tc>
      </w:tr>
      <w:tr>
        <w:trPr>
          <w:trHeight w:val="338"/>
        </w:trPr>
        <w:tc>
          <w:tcPr>
            <w:tcW w:w="1880" w:type="dxa"/>
            <w:vAlign w:val="bottom"/>
          </w:tcPr>
          <w:p>
            <w:pPr>
              <w:ind w:left="640"/>
              <w:spacing w:after="0"/>
              <w:rPr>
                <w:sz w:val="20"/>
                <w:szCs w:val="20"/>
                <w:color w:val="auto"/>
              </w:rPr>
            </w:pPr>
            <w:r>
              <w:rPr>
                <w:rFonts w:ascii="Arial" w:cs="Arial" w:eastAsia="Arial" w:hAnsi="Arial"/>
                <w:sz w:val="20"/>
                <w:szCs w:val="20"/>
                <w:color w:val="auto"/>
              </w:rPr>
              <w:t>Laws    and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w w:val="72"/>
              </w:rPr>
              <w:t>Sanctions    ...................................................</w:t>
            </w:r>
          </w:p>
        </w:tc>
        <w:tc>
          <w:tcPr>
            <w:tcW w:w="400" w:type="dxa"/>
            <w:vAlign w:val="bottom"/>
          </w:tcPr>
          <w:p>
            <w:pPr>
              <w:spacing w:after="0"/>
              <w:rPr>
                <w:sz w:val="24"/>
                <w:szCs w:val="2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3"/>
              </w:rPr>
              <w:t>108</w:t>
            </w:r>
          </w:p>
        </w:tc>
        <w:tc>
          <w:tcPr>
            <w:tcW w:w="340" w:type="dxa"/>
            <w:vAlign w:val="bottom"/>
            <w:gridSpan w:val="2"/>
            <w:vMerge w:val="restart"/>
          </w:tcPr>
          <w:p>
            <w:pPr>
              <w:jc w:val="right"/>
              <w:spacing w:after="0"/>
              <w:rPr>
                <w:sz w:val="20"/>
                <w:szCs w:val="20"/>
                <w:color w:val="auto"/>
              </w:rPr>
            </w:pPr>
            <w:r>
              <w:rPr>
                <w:rFonts w:ascii="Arial" w:cs="Arial" w:eastAsia="Arial" w:hAnsi="Arial"/>
                <w:sz w:val="20"/>
                <w:szCs w:val="20"/>
                <w:color w:val="0000FF"/>
                <w:w w:val="83"/>
              </w:rPr>
              <w:t>113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107</w:t>
            </w:r>
          </w:p>
        </w:tc>
        <w:tc>
          <w:tcPr>
            <w:tcW w:w="600" w:type="dxa"/>
            <w:vAlign w:val="bottom"/>
          </w:tcPr>
          <w:p>
            <w:pPr>
              <w:jc w:val="right"/>
              <w:ind w:right="201"/>
              <w:spacing w:after="0"/>
              <w:rPr>
                <w:sz w:val="20"/>
                <w:szCs w:val="20"/>
                <w:color w:val="auto"/>
              </w:rPr>
            </w:pPr>
            <w:r>
              <w:rPr>
                <w:rFonts w:ascii="Arial" w:cs="Arial" w:eastAsia="Arial" w:hAnsi="Arial"/>
                <w:sz w:val="20"/>
                <w:szCs w:val="20"/>
                <w:color w:val="0000FF"/>
                <w:w w:val="83"/>
              </w:rPr>
              <w:t>113</w:t>
            </w:r>
          </w:p>
        </w:tc>
        <w:tc>
          <w:tcPr>
            <w:tcW w:w="1140" w:type="dxa"/>
            <w:vAlign w:val="bottom"/>
            <w:gridSpan w:val="14"/>
          </w:tcPr>
          <w:p>
            <w:pPr>
              <w:ind w:left="40"/>
              <w:spacing w:after="0"/>
              <w:rPr>
                <w:sz w:val="20"/>
                <w:szCs w:val="20"/>
                <w:color w:val="auto"/>
              </w:rPr>
            </w:pPr>
            <w:r>
              <w:rPr>
                <w:rFonts w:ascii="Arial" w:cs="Arial" w:eastAsia="Arial" w:hAnsi="Arial"/>
                <w:sz w:val="20"/>
                <w:szCs w:val="20"/>
                <w:color w:val="auto"/>
              </w:rPr>
              <w:t>SECTION</w:t>
            </w:r>
          </w:p>
        </w:tc>
        <w:tc>
          <w:tcPr>
            <w:tcW w:w="700" w:type="dxa"/>
            <w:vAlign w:val="bottom"/>
            <w:gridSpan w:val="3"/>
          </w:tcPr>
          <w:p>
            <w:pPr>
              <w:jc w:val="right"/>
              <w:ind w:right="181"/>
              <w:spacing w:after="0"/>
              <w:rPr>
                <w:sz w:val="20"/>
                <w:szCs w:val="20"/>
                <w:color w:val="auto"/>
              </w:rPr>
            </w:pPr>
            <w:r>
              <w:rPr>
                <w:rFonts w:ascii="Arial" w:cs="Arial" w:eastAsia="Arial" w:hAnsi="Arial"/>
                <w:sz w:val="20"/>
                <w:szCs w:val="20"/>
                <w:color w:val="auto"/>
              </w:rPr>
              <w:t>7.21</w:t>
            </w:r>
          </w:p>
        </w:tc>
        <w:tc>
          <w:tcPr>
            <w:tcW w:w="1000" w:type="dxa"/>
            <w:vAlign w:val="bottom"/>
            <w:gridSpan w:val="2"/>
          </w:tcPr>
          <w:p>
            <w:pPr>
              <w:ind w:left="80"/>
              <w:spacing w:after="0"/>
              <w:rPr>
                <w:sz w:val="20"/>
                <w:szCs w:val="20"/>
                <w:color w:val="auto"/>
              </w:rPr>
            </w:pPr>
            <w:r>
              <w:rPr>
                <w:rFonts w:ascii="Arial" w:cs="Arial" w:eastAsia="Arial" w:hAnsi="Arial"/>
                <w:sz w:val="20"/>
                <w:szCs w:val="20"/>
                <w:color w:val="auto"/>
              </w:rPr>
              <w:t>Absence</w:t>
            </w:r>
          </w:p>
        </w:tc>
        <w:tc>
          <w:tcPr>
            <w:tcW w:w="460" w:type="dxa"/>
            <w:vAlign w:val="bottom"/>
          </w:tcPr>
          <w:p>
            <w:pPr>
              <w:ind w:left="100"/>
              <w:spacing w:after="0"/>
              <w:rPr>
                <w:sz w:val="20"/>
                <w:szCs w:val="20"/>
                <w:color w:val="auto"/>
              </w:rPr>
            </w:pPr>
            <w:r>
              <w:rPr>
                <w:rFonts w:ascii="Arial" w:cs="Arial" w:eastAsia="Arial" w:hAnsi="Arial"/>
                <w:sz w:val="20"/>
                <w:szCs w:val="20"/>
                <w:color w:val="auto"/>
              </w:rPr>
              <w:t>of</w:t>
            </w:r>
          </w:p>
        </w:tc>
        <w:tc>
          <w:tcPr>
            <w:tcW w:w="820" w:type="dxa"/>
            <w:vAlign w:val="bottom"/>
          </w:tcPr>
          <w:p>
            <w:pPr>
              <w:jc w:val="right"/>
              <w:spacing w:after="0"/>
              <w:rPr>
                <w:sz w:val="20"/>
                <w:szCs w:val="20"/>
                <w:color w:val="auto"/>
              </w:rPr>
            </w:pPr>
            <w:r>
              <w:rPr>
                <w:rFonts w:ascii="Arial" w:cs="Arial" w:eastAsia="Arial" w:hAnsi="Arial"/>
                <w:sz w:val="20"/>
                <w:szCs w:val="20"/>
                <w:color w:val="auto"/>
              </w:rPr>
              <w:t>Defaults</w:t>
            </w:r>
          </w:p>
        </w:tc>
        <w:tc>
          <w:tcPr>
            <w:tcW w:w="0" w:type="dxa"/>
            <w:vAlign w:val="bottom"/>
          </w:tcPr>
          <w:p>
            <w:pPr>
              <w:spacing w:after="0"/>
              <w:rPr>
                <w:sz w:val="1"/>
                <w:szCs w:val="1"/>
                <w:color w:val="auto"/>
              </w:rPr>
            </w:pPr>
          </w:p>
        </w:tc>
      </w:tr>
      <w:tr>
        <w:trPr>
          <w:trHeight w:val="338"/>
        </w:trPr>
        <w:tc>
          <w:tcPr>
            <w:tcW w:w="4100" w:type="dxa"/>
            <w:vAlign w:val="bottom"/>
            <w:gridSpan w:val="3"/>
            <w:vMerge w:val="restart"/>
          </w:tcPr>
          <w:p>
            <w:pPr>
              <w:ind w:left="640"/>
              <w:spacing w:after="0"/>
              <w:rPr>
                <w:sz w:val="20"/>
                <w:szCs w:val="20"/>
                <w:color w:val="auto"/>
              </w:rPr>
            </w:pPr>
            <w:r>
              <w:rPr>
                <w:rFonts w:ascii="Arial" w:cs="Arial" w:eastAsia="Arial" w:hAnsi="Arial"/>
                <w:sz w:val="10"/>
                <w:szCs w:val="10"/>
                <w:color w:val="auto"/>
                <w:w w:val="71"/>
                <w:vertAlign w:val="subscript"/>
              </w:rPr>
              <w:t>SECTION</w:t>
            </w:r>
            <w:r>
              <w:rPr>
                <w:rFonts w:ascii="Arial" w:cs="Arial" w:eastAsia="Arial" w:hAnsi="Arial"/>
                <w:sz w:val="9"/>
                <w:szCs w:val="9"/>
                <w:color w:val="auto"/>
                <w:w w:val="71"/>
              </w:rPr>
              <w:t>.............................................................................</w:t>
            </w:r>
            <w:r>
              <w:rPr>
                <w:rFonts w:ascii="Arial" w:cs="Arial" w:eastAsia="Arial" w:hAnsi="Arial"/>
                <w:sz w:val="10"/>
                <w:szCs w:val="10"/>
                <w:color w:val="auto"/>
                <w:w w:val="71"/>
                <w:vertAlign w:val="subscript"/>
              </w:rPr>
              <w:t>7.22SeniorIndebtednessStatus</w:t>
            </w:r>
            <w:r>
              <w:rPr>
                <w:rFonts w:ascii="Arial" w:cs="Arial" w:eastAsia="Arial" w:hAnsi="Arial"/>
                <w:sz w:val="9"/>
                <w:szCs w:val="9"/>
                <w:color w:val="auto"/>
                <w:w w:val="71"/>
              </w:rPr>
              <w:t>...................................................................</w:t>
            </w:r>
          </w:p>
        </w:tc>
        <w:tc>
          <w:tcPr>
            <w:tcW w:w="40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3"/>
              </w:rPr>
              <w:t>108</w:t>
            </w:r>
          </w:p>
        </w:tc>
        <w:tc>
          <w:tcPr>
            <w:tcW w:w="300" w:type="dxa"/>
            <w:vAlign w:val="bottom"/>
            <w:gridSpan w:val="5"/>
            <w:vMerge w:val="restart"/>
          </w:tcPr>
          <w:p>
            <w:pPr>
              <w:spacing w:after="0"/>
              <w:rPr>
                <w:sz w:val="20"/>
                <w:szCs w:val="20"/>
                <w:color w:val="auto"/>
              </w:rPr>
            </w:pPr>
            <w:r>
              <w:rPr>
                <w:rFonts w:ascii="Arial" w:cs="Arial" w:eastAsia="Arial" w:hAnsi="Arial"/>
                <w:sz w:val="20"/>
                <w:szCs w:val="20"/>
                <w:color w:val="0000FF"/>
                <w:w w:val="83"/>
              </w:rPr>
              <w:t>113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gridSpan w:val="3"/>
            <w:vMerge w:val="continue"/>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gridSpan w:val="5"/>
            <w:vMerge w:val="continue"/>
          </w:tcPr>
          <w:p>
            <w:pPr>
              <w:spacing w:after="0"/>
              <w:rPr>
                <w:sz w:val="23"/>
                <w:szCs w:val="23"/>
                <w:color w:val="auto"/>
              </w:rPr>
            </w:pPr>
          </w:p>
        </w:tc>
        <w:tc>
          <w:tcPr>
            <w:tcW w:w="300" w:type="dxa"/>
            <w:vAlign w:val="bottom"/>
            <w:gridSpan w:val="5"/>
            <w:vMerge w:val="continu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7.23 Disclosure.............................................................................................</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108</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7.24 Insurance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109</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114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gridSpan w:val="3"/>
          </w:tcPr>
          <w:p>
            <w:pPr>
              <w:jc w:val="right"/>
              <w:spacing w:after="0"/>
              <w:rPr>
                <w:sz w:val="20"/>
                <w:szCs w:val="20"/>
                <w:color w:val="auto"/>
              </w:rPr>
            </w:pPr>
            <w:r>
              <w:rPr>
                <w:rFonts w:ascii="Arial" w:cs="Arial" w:eastAsia="Arial" w:hAnsi="Arial"/>
                <w:sz w:val="15"/>
                <w:szCs w:val="15"/>
                <w:color w:val="auto"/>
                <w:w w:val="72"/>
              </w:rPr>
              <w:t>ARTICLE VIII AFFIRMATIVE COVENANTS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00" w:type="dxa"/>
            <w:vAlign w:val="bottom"/>
            <w:gridSpan w:val="5"/>
          </w:tcPr>
          <w:p>
            <w:pPr>
              <w:spacing w:after="0"/>
              <w:rPr>
                <w:sz w:val="20"/>
                <w:szCs w:val="20"/>
                <w:color w:val="auto"/>
              </w:rPr>
            </w:pPr>
            <w:r>
              <w:rPr>
                <w:rFonts w:ascii="Arial" w:cs="Arial" w:eastAsia="Arial" w:hAnsi="Arial"/>
                <w:sz w:val="20"/>
                <w:szCs w:val="20"/>
                <w:color w:val="FF0000"/>
                <w:strike w:val="1"/>
                <w:w w:val="83"/>
              </w:rPr>
              <w:t>109</w:t>
            </w:r>
          </w:p>
        </w:tc>
        <w:tc>
          <w:tcPr>
            <w:tcW w:w="380" w:type="dxa"/>
            <w:vAlign w:val="bottom"/>
            <w:gridSpan w:val="4"/>
          </w:tcPr>
          <w:p>
            <w:pPr>
              <w:spacing w:after="0"/>
              <w:rPr>
                <w:sz w:val="20"/>
                <w:szCs w:val="20"/>
                <w:color w:val="auto"/>
              </w:rPr>
            </w:pPr>
            <w:r>
              <w:rPr>
                <w:rFonts w:ascii="Arial" w:cs="Arial" w:eastAsia="Arial" w:hAnsi="Arial"/>
                <w:sz w:val="20"/>
                <w:szCs w:val="20"/>
                <w:color w:val="0000FF"/>
              </w:rPr>
              <w:t>114</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4"/>
              </w:rPr>
              <w:t>SECTION 8.1 Financial Statements and Budgets........................................................</w:t>
            </w:r>
          </w:p>
        </w:tc>
        <w:tc>
          <w:tcPr>
            <w:tcW w:w="28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20"/>
                <w:szCs w:val="20"/>
                <w:color w:val="FF0000"/>
                <w:strike w:val="1"/>
              </w:rPr>
              <w:t>109</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77"/>
              </w:rPr>
              <w:t>114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1"/>
              </w:rPr>
              <w:t>SECTION 8.2 Certificates; Other Reports...................................................................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20"/>
                <w:szCs w:val="20"/>
                <w:color w:val="FF0000"/>
                <w:strike w:val="1"/>
              </w:rPr>
              <w:t>110</w:t>
            </w:r>
          </w:p>
        </w:tc>
        <w:tc>
          <w:tcPr>
            <w:tcW w:w="320" w:type="dxa"/>
            <w:vAlign w:val="bottom"/>
            <w:gridSpan w:val="6"/>
          </w:tcPr>
          <w:p>
            <w:pPr>
              <w:spacing w:after="0"/>
              <w:rPr>
                <w:sz w:val="20"/>
                <w:szCs w:val="20"/>
                <w:color w:val="auto"/>
              </w:rPr>
            </w:pPr>
            <w:r>
              <w:rPr>
                <w:rFonts w:ascii="Arial" w:cs="Arial" w:eastAsia="Arial" w:hAnsi="Arial"/>
                <w:sz w:val="20"/>
                <w:szCs w:val="20"/>
                <w:color w:val="0000FF"/>
                <w:w w:val="89"/>
              </w:rPr>
              <w:t>115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5"/>
              </w:rPr>
              <w:t>SECTION 8.3 Notice of Litigation and Other Matters ................................................</w:t>
            </w:r>
          </w:p>
        </w:tc>
        <w:tc>
          <w:tcPr>
            <w:tcW w:w="28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20"/>
                <w:szCs w:val="20"/>
                <w:color w:val="FF0000"/>
                <w:strike w:val="1"/>
              </w:rPr>
              <w:t>111</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3"/>
              </w:rPr>
              <w:t>SECTION 8.4 Preservation of Corporate Existence and Related Matters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Arial" w:cs="Arial" w:eastAsia="Arial" w:hAnsi="Arial"/>
                <w:sz w:val="20"/>
                <w:szCs w:val="20"/>
                <w:color w:val="FF0000"/>
                <w:strike w:val="1"/>
                <w:w w:val="95"/>
              </w:rPr>
              <w:t>112</w:t>
            </w:r>
          </w:p>
        </w:tc>
        <w:tc>
          <w:tcPr>
            <w:tcW w:w="2940" w:type="dxa"/>
            <w:vAlign w:val="bottom"/>
            <w:gridSpan w:val="6"/>
          </w:tcPr>
          <w:p>
            <w:pPr>
              <w:jc w:val="right"/>
              <w:spacing w:after="0"/>
              <w:rPr>
                <w:sz w:val="20"/>
                <w:szCs w:val="20"/>
                <w:color w:val="auto"/>
              </w:rPr>
            </w:pPr>
            <w:r>
              <w:rPr>
                <w:rFonts w:ascii="Arial" w:cs="Arial" w:eastAsia="Arial" w:hAnsi="Arial"/>
                <w:sz w:val="20"/>
                <w:szCs w:val="20"/>
                <w:color w:val="0000FF"/>
                <w:w w:val="96"/>
              </w:rPr>
              <w:t xml:space="preserve">118 </w:t>
            </w:r>
            <w:r>
              <w:rPr>
                <w:rFonts w:ascii="Arial" w:cs="Arial" w:eastAsia="Arial" w:hAnsi="Arial"/>
                <w:sz w:val="20"/>
                <w:szCs w:val="20"/>
                <w:color w:val="000000"/>
                <w:w w:val="96"/>
              </w:rPr>
              <w:t>SECTION 8.5 Maintenance of</w:t>
            </w:r>
          </w:p>
        </w:tc>
        <w:tc>
          <w:tcPr>
            <w:tcW w:w="0" w:type="dxa"/>
            <w:vAlign w:val="bottom"/>
          </w:tcPr>
          <w:p>
            <w:pPr>
              <w:spacing w:after="0"/>
              <w:rPr>
                <w:sz w:val="1"/>
                <w:szCs w:val="1"/>
                <w:color w:val="auto"/>
              </w:rPr>
            </w:pPr>
          </w:p>
        </w:tc>
      </w:tr>
      <w:tr>
        <w:trPr>
          <w:trHeight w:val="338"/>
        </w:trPr>
        <w:tc>
          <w:tcPr>
            <w:tcW w:w="1880" w:type="dxa"/>
            <w:vAlign w:val="bottom"/>
          </w:tcPr>
          <w:p>
            <w:pPr>
              <w:ind w:left="640"/>
              <w:spacing w:after="0"/>
              <w:rPr>
                <w:sz w:val="20"/>
                <w:szCs w:val="20"/>
                <w:color w:val="auto"/>
              </w:rPr>
            </w:pPr>
            <w:r>
              <w:rPr>
                <w:rFonts w:ascii="Arial" w:cs="Arial" w:eastAsia="Arial" w:hAnsi="Arial"/>
                <w:sz w:val="20"/>
                <w:szCs w:val="20"/>
                <w:color w:val="auto"/>
              </w:rPr>
              <w:t>Property</w:t>
            </w:r>
          </w:p>
        </w:tc>
        <w:tc>
          <w:tcPr>
            <w:tcW w:w="540" w:type="dxa"/>
            <w:vAlign w:val="bottom"/>
          </w:tcPr>
          <w:p>
            <w:pPr>
              <w:spacing w:after="0"/>
              <w:rPr>
                <w:sz w:val="20"/>
                <w:szCs w:val="20"/>
                <w:color w:val="auto"/>
              </w:rPr>
            </w:pPr>
            <w:r>
              <w:rPr>
                <w:rFonts w:ascii="Arial" w:cs="Arial" w:eastAsia="Arial" w:hAnsi="Arial"/>
                <w:sz w:val="20"/>
                <w:szCs w:val="20"/>
                <w:color w:val="auto"/>
              </w:rPr>
              <w:t>and</w:t>
            </w:r>
          </w:p>
        </w:tc>
        <w:tc>
          <w:tcPr>
            <w:tcW w:w="1680" w:type="dxa"/>
            <w:vAlign w:val="bottom"/>
          </w:tcPr>
          <w:p>
            <w:pPr>
              <w:jc w:val="right"/>
              <w:spacing w:after="0"/>
              <w:rPr>
                <w:sz w:val="20"/>
                <w:szCs w:val="20"/>
                <w:color w:val="auto"/>
              </w:rPr>
            </w:pPr>
            <w:r>
              <w:rPr>
                <w:rFonts w:ascii="Arial" w:cs="Arial" w:eastAsia="Arial" w:hAnsi="Arial"/>
                <w:sz w:val="20"/>
                <w:szCs w:val="20"/>
                <w:color w:val="auto"/>
                <w:w w:val="71"/>
              </w:rPr>
              <w:t>Licenses</w:t>
            </w:r>
            <w:r>
              <w:rPr>
                <w:rFonts w:ascii="Arial" w:cs="Arial" w:eastAsia="Arial" w:hAnsi="Arial"/>
                <w:sz w:val="5"/>
                <w:szCs w:val="5"/>
                <w:color w:val="auto"/>
                <w:w w:val="71"/>
              </w:rPr>
              <w: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vMerge w:val="restart"/>
          </w:tcPr>
          <w:p>
            <w:pPr>
              <w:spacing w:after="0"/>
              <w:rPr>
                <w:sz w:val="20"/>
                <w:szCs w:val="20"/>
                <w:color w:val="auto"/>
              </w:rPr>
            </w:pPr>
            <w:r>
              <w:rPr>
                <w:rFonts w:ascii="Arial" w:cs="Arial" w:eastAsia="Arial" w:hAnsi="Arial"/>
                <w:sz w:val="20"/>
                <w:szCs w:val="20"/>
                <w:color w:val="FF0000"/>
                <w:strike w:val="1"/>
                <w:w w:val="83"/>
              </w:rPr>
              <w:t>113</w:t>
            </w:r>
          </w:p>
        </w:tc>
        <w:tc>
          <w:tcPr>
            <w:tcW w:w="380" w:type="dxa"/>
            <w:vAlign w:val="bottom"/>
            <w:gridSpan w:val="2"/>
            <w:vMerge w:val="restart"/>
          </w:tcPr>
          <w:p>
            <w:pPr>
              <w:jc w:val="right"/>
              <w:ind w:right="1"/>
              <w:spacing w:after="0"/>
              <w:rPr>
                <w:sz w:val="20"/>
                <w:szCs w:val="20"/>
                <w:color w:val="auto"/>
              </w:rPr>
            </w:pPr>
            <w:r>
              <w:rPr>
                <w:rFonts w:ascii="Arial" w:cs="Arial" w:eastAsia="Arial" w:hAnsi="Arial"/>
                <w:sz w:val="20"/>
                <w:szCs w:val="20"/>
                <w:color w:val="0000FF"/>
                <w:w w:val="77"/>
              </w:rPr>
              <w:t>118</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113</w:t>
            </w:r>
          </w:p>
        </w:tc>
        <w:tc>
          <w:tcPr>
            <w:tcW w:w="420" w:type="dxa"/>
            <w:vAlign w:val="bottom"/>
            <w:gridSpan w:val="3"/>
          </w:tcPr>
          <w:p>
            <w:pPr>
              <w:jc w:val="right"/>
              <w:ind w:right="21"/>
              <w:spacing w:after="0"/>
              <w:rPr>
                <w:sz w:val="20"/>
                <w:szCs w:val="20"/>
                <w:color w:val="auto"/>
              </w:rPr>
            </w:pPr>
            <w:r>
              <w:rPr>
                <w:rFonts w:ascii="Arial" w:cs="Arial" w:eastAsia="Arial" w:hAnsi="Arial"/>
                <w:sz w:val="20"/>
                <w:szCs w:val="20"/>
                <w:color w:val="0000FF"/>
                <w:w w:val="83"/>
              </w:rPr>
              <w:t>118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20"/>
                <w:szCs w:val="20"/>
                <w:color w:val="auto"/>
              </w:rPr>
              <w:t>SECTION</w:t>
            </w:r>
          </w:p>
        </w:tc>
        <w:tc>
          <w:tcPr>
            <w:tcW w:w="580" w:type="dxa"/>
            <w:vAlign w:val="bottom"/>
          </w:tcPr>
          <w:p>
            <w:pPr>
              <w:jc w:val="right"/>
              <w:spacing w:after="0"/>
              <w:rPr>
                <w:sz w:val="20"/>
                <w:szCs w:val="20"/>
                <w:color w:val="auto"/>
              </w:rPr>
            </w:pPr>
            <w:r>
              <w:rPr>
                <w:rFonts w:ascii="Arial" w:cs="Arial" w:eastAsia="Arial" w:hAnsi="Arial"/>
                <w:sz w:val="20"/>
                <w:szCs w:val="20"/>
                <w:color w:val="auto"/>
              </w:rPr>
              <w:t>8.6</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1"/>
              </w:rPr>
              <w:t>Insurance</w:t>
            </w:r>
          </w:p>
        </w:tc>
        <w:tc>
          <w:tcPr>
            <w:tcW w:w="0" w:type="dxa"/>
            <w:vAlign w:val="bottom"/>
          </w:tcPr>
          <w:p>
            <w:pPr>
              <w:spacing w:after="0"/>
              <w:rPr>
                <w:sz w:val="1"/>
                <w:szCs w:val="1"/>
                <w:color w:val="auto"/>
              </w:rPr>
            </w:pPr>
          </w:p>
        </w:tc>
      </w:tr>
      <w:tr>
        <w:trPr>
          <w:trHeight w:val="226"/>
        </w:trPr>
        <w:tc>
          <w:tcPr>
            <w:tcW w:w="2420" w:type="dxa"/>
            <w:vAlign w:val="bottom"/>
            <w:gridSpan w:val="2"/>
          </w:tcPr>
          <w:p>
            <w:pPr>
              <w:ind w:left="640"/>
              <w:spacing w:after="0"/>
              <w:rPr>
                <w:sz w:val="20"/>
                <w:szCs w:val="20"/>
                <w:color w:val="auto"/>
              </w:rPr>
            </w:pPr>
            <w:r>
              <w:rPr>
                <w:rFonts w:ascii="Arial" w:cs="Arial" w:eastAsia="Arial" w:hAnsi="Arial"/>
                <w:sz w:val="9"/>
                <w:szCs w:val="9"/>
                <w:color w:val="auto"/>
                <w:w w:val="74"/>
              </w:rPr>
              <w:t>..............................................................................................</w:t>
            </w:r>
          </w:p>
        </w:tc>
        <w:tc>
          <w:tcPr>
            <w:tcW w:w="1680" w:type="dxa"/>
            <w:vAlign w:val="bottom"/>
          </w:tcPr>
          <w:p>
            <w:pPr>
              <w:spacing w:after="0"/>
              <w:rPr>
                <w:sz w:val="19"/>
                <w:szCs w:val="19"/>
                <w:color w:val="auto"/>
              </w:rPr>
            </w:pPr>
          </w:p>
        </w:tc>
        <w:tc>
          <w:tcPr>
            <w:tcW w:w="66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30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5"/>
              </w:rPr>
              <w:t>SECTION 8.7 Accounting Methods and Financial Records........................................</w:t>
            </w:r>
          </w:p>
        </w:tc>
        <w:tc>
          <w:tcPr>
            <w:tcW w:w="28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20"/>
                <w:szCs w:val="20"/>
                <w:color w:val="FF0000"/>
                <w:strike w:val="1"/>
              </w:rPr>
              <w:t>113</w:t>
            </w:r>
          </w:p>
        </w:tc>
        <w:tc>
          <w:tcPr>
            <w:tcW w:w="320" w:type="dxa"/>
            <w:vAlign w:val="bottom"/>
            <w:gridSpan w:val="6"/>
          </w:tcPr>
          <w:p>
            <w:pPr>
              <w:jc w:val="right"/>
              <w:spacing w:after="0"/>
              <w:rPr>
                <w:sz w:val="20"/>
                <w:szCs w:val="20"/>
                <w:color w:val="auto"/>
              </w:rPr>
            </w:pPr>
            <w:r>
              <w:rPr>
                <w:rFonts w:ascii="Arial" w:cs="Arial" w:eastAsia="Arial" w:hAnsi="Arial"/>
                <w:sz w:val="20"/>
                <w:szCs w:val="20"/>
                <w:color w:val="0000FF"/>
                <w:w w:val="83"/>
              </w:rPr>
              <w:t>118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4"/>
              </w:rPr>
              <w:t>SECTION 8.8 Payment of Taxes and Other Obligations.............................................</w:t>
            </w:r>
          </w:p>
        </w:tc>
        <w:tc>
          <w:tcPr>
            <w:tcW w:w="2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20"/>
                <w:szCs w:val="20"/>
                <w:color w:val="FF0000"/>
                <w:strike w:val="1"/>
              </w:rPr>
              <w:t>113</w:t>
            </w:r>
          </w:p>
        </w:tc>
        <w:tc>
          <w:tcPr>
            <w:tcW w:w="320" w:type="dxa"/>
            <w:vAlign w:val="bottom"/>
            <w:gridSpan w:val="6"/>
          </w:tcPr>
          <w:p>
            <w:pPr>
              <w:spacing w:after="0"/>
              <w:rPr>
                <w:sz w:val="20"/>
                <w:szCs w:val="20"/>
                <w:color w:val="auto"/>
              </w:rPr>
            </w:pPr>
            <w:r>
              <w:rPr>
                <w:rFonts w:ascii="Arial" w:cs="Arial" w:eastAsia="Arial" w:hAnsi="Arial"/>
                <w:sz w:val="20"/>
                <w:szCs w:val="20"/>
                <w:color w:val="0000FF"/>
                <w:w w:val="89"/>
              </w:rPr>
              <w:t>118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5"/>
              </w:rPr>
              <w:t>SECTION 8.9 Compliance with Laws and Approvals ................................................</w:t>
            </w:r>
          </w:p>
        </w:tc>
        <w:tc>
          <w:tcPr>
            <w:tcW w:w="28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20"/>
                <w:szCs w:val="20"/>
                <w:color w:val="FF0000"/>
                <w:strike w:val="1"/>
              </w:rPr>
              <w:t>113</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77"/>
              </w:rPr>
              <w:t>119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8.10 Environmental Laws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113</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4"/>
              </w:rPr>
              <w:t>SECTION 8.11 Compliance with ERISA and Canadian Pension Laws........................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114</w:t>
            </w:r>
          </w:p>
        </w:tc>
        <w:tc>
          <w:tcPr>
            <w:tcW w:w="3300" w:type="dxa"/>
            <w:vAlign w:val="bottom"/>
            <w:gridSpan w:val="13"/>
          </w:tcPr>
          <w:p>
            <w:pPr>
              <w:jc w:val="right"/>
              <w:spacing w:after="0"/>
              <w:rPr>
                <w:sz w:val="20"/>
                <w:szCs w:val="20"/>
                <w:color w:val="auto"/>
              </w:rPr>
            </w:pPr>
            <w:r>
              <w:rPr>
                <w:rFonts w:ascii="Arial" w:cs="Arial" w:eastAsia="Arial" w:hAnsi="Arial"/>
                <w:sz w:val="20"/>
                <w:szCs w:val="20"/>
                <w:color w:val="0000FF"/>
                <w:w w:val="90"/>
              </w:rPr>
              <w:t xml:space="preserve">119 </w:t>
            </w:r>
            <w:r>
              <w:rPr>
                <w:rFonts w:ascii="Arial" w:cs="Arial" w:eastAsia="Arial" w:hAnsi="Arial"/>
                <w:sz w:val="20"/>
                <w:szCs w:val="20"/>
                <w:color w:val="000000"/>
                <w:w w:val="90"/>
              </w:rPr>
              <w:t>SECTION 8.12 Maintenance of Debt</w:t>
            </w:r>
          </w:p>
        </w:tc>
        <w:tc>
          <w:tcPr>
            <w:tcW w:w="0" w:type="dxa"/>
            <w:vAlign w:val="bottom"/>
          </w:tcPr>
          <w:p>
            <w:pPr>
              <w:spacing w:after="0"/>
              <w:rPr>
                <w:sz w:val="1"/>
                <w:szCs w:val="1"/>
                <w:color w:val="auto"/>
              </w:rPr>
            </w:pPr>
          </w:p>
        </w:tc>
      </w:tr>
      <w:tr>
        <w:trPr>
          <w:trHeight w:val="338"/>
        </w:trPr>
        <w:tc>
          <w:tcPr>
            <w:tcW w:w="1880" w:type="dxa"/>
            <w:vAlign w:val="bottom"/>
          </w:tcPr>
          <w:p>
            <w:pPr>
              <w:ind w:left="640"/>
              <w:spacing w:after="0"/>
              <w:rPr>
                <w:sz w:val="20"/>
                <w:szCs w:val="20"/>
                <w:color w:val="auto"/>
              </w:rPr>
            </w:pPr>
            <w:r>
              <w:rPr>
                <w:rFonts w:ascii="Arial" w:cs="Arial" w:eastAsia="Arial" w:hAnsi="Arial"/>
                <w:sz w:val="8"/>
                <w:szCs w:val="8"/>
                <w:color w:val="auto"/>
                <w:w w:val="71"/>
              </w:rPr>
              <w:t>Ratings ...............................................................</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20"/>
                <w:szCs w:val="20"/>
                <w:color w:val="FF0000"/>
                <w:strike w:val="1"/>
              </w:rPr>
              <w:t>114</w:t>
            </w:r>
          </w:p>
        </w:tc>
        <w:tc>
          <w:tcPr>
            <w:tcW w:w="300" w:type="dxa"/>
            <w:vAlign w:val="bottom"/>
            <w:gridSpan w:val="2"/>
          </w:tcPr>
          <w:p>
            <w:pPr>
              <w:jc w:val="right"/>
              <w:spacing w:after="0"/>
              <w:rPr>
                <w:sz w:val="20"/>
                <w:szCs w:val="20"/>
                <w:color w:val="auto"/>
              </w:rPr>
            </w:pPr>
            <w:r>
              <w:rPr>
                <w:rFonts w:ascii="Arial" w:cs="Arial" w:eastAsia="Arial" w:hAnsi="Arial"/>
                <w:sz w:val="20"/>
                <w:szCs w:val="20"/>
                <w:color w:val="0000FF"/>
                <w:w w:val="77"/>
              </w:rPr>
              <w:t>119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100" w:type="dxa"/>
            <w:vAlign w:val="bottom"/>
            <w:gridSpan w:val="3"/>
          </w:tcPr>
          <w:p>
            <w:pPr>
              <w:ind w:left="640"/>
              <w:spacing w:after="0"/>
              <w:rPr>
                <w:sz w:val="20"/>
                <w:szCs w:val="20"/>
                <w:color w:val="auto"/>
              </w:rPr>
            </w:pPr>
            <w:r>
              <w:rPr>
                <w:rFonts w:ascii="Arial" w:cs="Arial" w:eastAsia="Arial" w:hAnsi="Arial"/>
                <w:sz w:val="13"/>
                <w:szCs w:val="13"/>
                <w:color w:val="auto"/>
                <w:w w:val="70"/>
              </w:rPr>
              <w:t>SECTION 8.13 Visits and Inspections...........................................................................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6"/>
          </w:tcPr>
          <w:p>
            <w:pPr>
              <w:jc w:val="right"/>
              <w:spacing w:after="0"/>
              <w:rPr>
                <w:sz w:val="20"/>
                <w:szCs w:val="20"/>
                <w:color w:val="auto"/>
              </w:rPr>
            </w:pPr>
            <w:r>
              <w:rPr>
                <w:rFonts w:ascii="Arial" w:cs="Arial" w:eastAsia="Arial" w:hAnsi="Arial"/>
                <w:sz w:val="20"/>
                <w:szCs w:val="20"/>
                <w:color w:val="FF0000"/>
                <w:strike w:val="1"/>
              </w:rPr>
              <w:t>114</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20" w:type="dxa"/>
            <w:vAlign w:val="bottom"/>
            <w:gridSpan w:val="14"/>
          </w:tcPr>
          <w:p>
            <w:pPr>
              <w:ind w:left="640"/>
              <w:spacing w:after="0"/>
              <w:rPr>
                <w:sz w:val="20"/>
                <w:szCs w:val="20"/>
                <w:color w:val="auto"/>
              </w:rPr>
            </w:pPr>
            <w:r>
              <w:rPr>
                <w:rFonts w:ascii="Arial" w:cs="Arial" w:eastAsia="Arial" w:hAnsi="Arial"/>
                <w:sz w:val="20"/>
                <w:szCs w:val="20"/>
                <w:color w:val="auto"/>
                <w:w w:val="84"/>
              </w:rPr>
              <w:t>SECTION 8.14 Additional Subsidiaries and Collateral.................................................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Arial" w:cs="Arial" w:eastAsia="Arial" w:hAnsi="Arial"/>
                <w:sz w:val="20"/>
                <w:szCs w:val="20"/>
                <w:color w:val="FF0000"/>
                <w:strike w:val="1"/>
                <w:w w:val="83"/>
              </w:rPr>
              <w:t>115</w:t>
            </w:r>
          </w:p>
        </w:tc>
        <w:tc>
          <w:tcPr>
            <w:tcW w:w="3100" w:type="dxa"/>
            <w:vAlign w:val="bottom"/>
            <w:gridSpan w:val="11"/>
          </w:tcPr>
          <w:p>
            <w:pPr>
              <w:jc w:val="right"/>
              <w:spacing w:after="0"/>
              <w:rPr>
                <w:sz w:val="20"/>
                <w:szCs w:val="20"/>
                <w:color w:val="auto"/>
              </w:rPr>
            </w:pPr>
            <w:r>
              <w:rPr>
                <w:rFonts w:ascii="Arial" w:cs="Arial" w:eastAsia="Arial" w:hAnsi="Arial"/>
                <w:sz w:val="20"/>
                <w:szCs w:val="20"/>
                <w:color w:val="0000FF"/>
                <w:w w:val="94"/>
              </w:rPr>
              <w:t xml:space="preserve">120 </w:t>
            </w:r>
            <w:r>
              <w:rPr>
                <w:rFonts w:ascii="Arial" w:cs="Arial" w:eastAsia="Arial" w:hAnsi="Arial"/>
                <w:sz w:val="20"/>
                <w:szCs w:val="20"/>
                <w:color w:val="000000"/>
                <w:w w:val="94"/>
              </w:rPr>
              <w:t>SECTION 8.15 Use of Proceeds</w:t>
            </w:r>
          </w:p>
        </w:tc>
        <w:tc>
          <w:tcPr>
            <w:tcW w:w="0" w:type="dxa"/>
            <w:vAlign w:val="bottom"/>
          </w:tcPr>
          <w:p>
            <w:pPr>
              <w:spacing w:after="0"/>
              <w:rPr>
                <w:sz w:val="1"/>
                <w:szCs w:val="1"/>
                <w:color w:val="auto"/>
              </w:rPr>
            </w:pPr>
          </w:p>
        </w:tc>
      </w:tr>
      <w:tr>
        <w:trPr>
          <w:trHeight w:val="337"/>
        </w:trPr>
        <w:tc>
          <w:tcPr>
            <w:tcW w:w="4100" w:type="dxa"/>
            <w:vAlign w:val="bottom"/>
            <w:gridSpan w:val="3"/>
            <w:vMerge w:val="restart"/>
          </w:tcPr>
          <w:p>
            <w:pPr>
              <w:ind w:left="640"/>
              <w:spacing w:after="0"/>
              <w:rPr>
                <w:sz w:val="20"/>
                <w:szCs w:val="20"/>
                <w:color w:val="auto"/>
              </w:rPr>
            </w:pPr>
            <w:r>
              <w:rPr>
                <w:rFonts w:ascii="Arial" w:cs="Arial" w:eastAsia="Arial" w:hAnsi="Arial"/>
                <w:sz w:val="9"/>
                <w:szCs w:val="9"/>
                <w:color w:val="auto"/>
                <w:vertAlign w:val="subscript"/>
              </w:rPr>
              <w:t>SECTION</w:t>
            </w:r>
            <w:r>
              <w:rPr>
                <w:rFonts w:ascii="Arial" w:cs="Arial" w:eastAsia="Arial" w:hAnsi="Arial"/>
                <w:sz w:val="5"/>
                <w:szCs w:val="5"/>
                <w:color w:val="auto"/>
              </w:rPr>
              <w:t>....................................................................................</w:t>
            </w:r>
            <w:r>
              <w:rPr>
                <w:rFonts w:ascii="Arial" w:cs="Arial" w:eastAsia="Arial" w:hAnsi="Arial"/>
                <w:sz w:val="9"/>
                <w:szCs w:val="9"/>
                <w:color w:val="auto"/>
                <w:vertAlign w:val="subscript"/>
              </w:rPr>
              <w:t>8.16CorporateGovernance</w:t>
            </w:r>
            <w:r>
              <w:rPr>
                <w:rFonts w:ascii="Arial" w:cs="Arial" w:eastAsia="Arial" w:hAnsi="Arial"/>
                <w:sz w:val="5"/>
                <w:szCs w:val="5"/>
                <w:color w:val="auto"/>
              </w:rPr>
              <w:t>..........................................................................</w:t>
            </w:r>
          </w:p>
        </w:tc>
        <w:tc>
          <w:tcPr>
            <w:tcW w:w="700" w:type="dxa"/>
            <w:vAlign w:val="bottom"/>
            <w:gridSpan w:val="3"/>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116</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0000FF"/>
                <w:w w:val="83"/>
              </w:rPr>
              <w:t>122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3"/>
              </w:rPr>
              <w:t>117</w:t>
            </w:r>
          </w:p>
        </w:tc>
        <w:tc>
          <w:tcPr>
            <w:tcW w:w="300" w:type="dxa"/>
            <w:vAlign w:val="bottom"/>
            <w:gridSpan w:val="5"/>
            <w:vMerge w:val="restart"/>
          </w:tcPr>
          <w:p>
            <w:pPr>
              <w:spacing w:after="0"/>
              <w:rPr>
                <w:sz w:val="20"/>
                <w:szCs w:val="20"/>
                <w:color w:val="auto"/>
              </w:rPr>
            </w:pPr>
            <w:r>
              <w:rPr>
                <w:rFonts w:ascii="Arial" w:cs="Arial" w:eastAsia="Arial" w:hAnsi="Arial"/>
                <w:sz w:val="20"/>
                <w:szCs w:val="20"/>
                <w:color w:val="0000FF"/>
                <w:w w:val="83"/>
              </w:rPr>
              <w:t>122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0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gridSpan w:val="3"/>
          </w:tcPr>
          <w:p>
            <w:pPr>
              <w:ind w:left="640"/>
              <w:spacing w:after="0"/>
              <w:rPr>
                <w:sz w:val="20"/>
                <w:szCs w:val="20"/>
                <w:color w:val="auto"/>
              </w:rPr>
            </w:pPr>
            <w:r>
              <w:rPr>
                <w:rFonts w:ascii="Arial" w:cs="Arial" w:eastAsia="Arial" w:hAnsi="Arial"/>
                <w:sz w:val="12"/>
                <w:szCs w:val="12"/>
                <w:color w:val="auto"/>
                <w:w w:val="75"/>
              </w:rPr>
              <w:t>SECTION 8.17 Further Assurances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117</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122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60" w:type="dxa"/>
            <w:vAlign w:val="bottom"/>
            <w:gridSpan w:val="28"/>
          </w:tcPr>
          <w:p>
            <w:pPr>
              <w:ind w:left="640"/>
              <w:spacing w:after="0"/>
              <w:rPr>
                <w:sz w:val="20"/>
                <w:szCs w:val="20"/>
                <w:color w:val="auto"/>
              </w:rPr>
            </w:pPr>
            <w:r>
              <w:rPr>
                <w:rFonts w:ascii="Arial" w:cs="Arial" w:eastAsia="Arial" w:hAnsi="Arial"/>
                <w:sz w:val="20"/>
                <w:szCs w:val="20"/>
                <w:color w:val="auto"/>
              </w:rPr>
              <w:t>SECTION 8.18 Compliance with Anti-Corruption Laws; Beneficial Ownership</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2"/>
                <w:szCs w:val="22"/>
                <w:color w:val="auto"/>
              </w:rPr>
            </w:pPr>
          </w:p>
        </w:tc>
        <w:tc>
          <w:tcPr>
            <w:tcW w:w="5040" w:type="dxa"/>
            <w:vAlign w:val="bottom"/>
            <w:gridSpan w:val="13"/>
          </w:tcPr>
          <w:p>
            <w:pPr>
              <w:jc w:val="right"/>
              <w:spacing w:after="0"/>
              <w:rPr>
                <w:sz w:val="20"/>
                <w:szCs w:val="20"/>
                <w:color w:val="auto"/>
              </w:rPr>
            </w:pPr>
            <w:r>
              <w:rPr>
                <w:rFonts w:ascii="Arial" w:cs="Arial" w:eastAsia="Arial" w:hAnsi="Arial"/>
                <w:sz w:val="20"/>
                <w:szCs w:val="20"/>
                <w:color w:val="auto"/>
                <w:w w:val="88"/>
              </w:rPr>
              <w:t>Regulation, Anti-Money Laundering Laws and Sanctions .................</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117</w:t>
            </w:r>
          </w:p>
        </w:tc>
        <w:tc>
          <w:tcPr>
            <w:tcW w:w="1720" w:type="dxa"/>
            <w:vAlign w:val="bottom"/>
            <w:gridSpan w:val="6"/>
          </w:tcPr>
          <w:p>
            <w:pPr>
              <w:spacing w:after="0"/>
              <w:rPr>
                <w:sz w:val="20"/>
                <w:szCs w:val="20"/>
                <w:color w:val="auto"/>
              </w:rPr>
            </w:pPr>
            <w:r>
              <w:rPr>
                <w:rFonts w:ascii="Arial" w:cs="Arial" w:eastAsia="Arial" w:hAnsi="Arial"/>
                <w:sz w:val="20"/>
                <w:szCs w:val="20"/>
                <w:color w:val="0000FF"/>
                <w:w w:val="98"/>
              </w:rPr>
              <w:t xml:space="preserve">122 </w:t>
            </w:r>
            <w:r>
              <w:rPr>
                <w:rFonts w:ascii="Arial" w:cs="Arial" w:eastAsia="Arial" w:hAnsi="Arial"/>
                <w:sz w:val="20"/>
                <w:szCs w:val="20"/>
                <w:color w:val="000000"/>
                <w:w w:val="98"/>
              </w:rPr>
              <w:t>SECTION 8.19</w:t>
            </w:r>
          </w:p>
        </w:tc>
        <w:tc>
          <w:tcPr>
            <w:tcW w:w="1280" w:type="dxa"/>
            <w:vAlign w:val="bottom"/>
            <w:gridSpan w:val="2"/>
          </w:tcPr>
          <w:p>
            <w:pPr>
              <w:ind w:left="40"/>
              <w:spacing w:after="0"/>
              <w:rPr>
                <w:sz w:val="20"/>
                <w:szCs w:val="20"/>
                <w:color w:val="auto"/>
              </w:rPr>
            </w:pPr>
            <w:r>
              <w:rPr>
                <w:rFonts w:ascii="Arial" w:cs="Arial" w:eastAsia="Arial" w:hAnsi="Arial"/>
                <w:sz w:val="20"/>
                <w:szCs w:val="20"/>
                <w:color w:val="auto"/>
              </w:rPr>
              <w:t>Post-Closing</w:t>
            </w:r>
          </w:p>
        </w:tc>
        <w:tc>
          <w:tcPr>
            <w:tcW w:w="0" w:type="dxa"/>
            <w:vAlign w:val="bottom"/>
          </w:tcPr>
          <w:p>
            <w:pPr>
              <w:spacing w:after="0"/>
              <w:rPr>
                <w:sz w:val="1"/>
                <w:szCs w:val="1"/>
                <w:color w:val="auto"/>
              </w:rPr>
            </w:pPr>
          </w:p>
        </w:tc>
      </w:tr>
      <w:tr>
        <w:trPr>
          <w:trHeight w:val="338"/>
        </w:trPr>
        <w:tc>
          <w:tcPr>
            <w:tcW w:w="1880" w:type="dxa"/>
            <w:vAlign w:val="bottom"/>
          </w:tcPr>
          <w:p>
            <w:pPr>
              <w:ind w:left="640"/>
              <w:spacing w:after="0"/>
              <w:rPr>
                <w:sz w:val="20"/>
                <w:szCs w:val="20"/>
                <w:color w:val="auto"/>
              </w:rPr>
            </w:pPr>
            <w:r>
              <w:rPr>
                <w:rFonts w:ascii="Arial" w:cs="Arial" w:eastAsia="Arial" w:hAnsi="Arial"/>
                <w:sz w:val="7"/>
                <w:szCs w:val="7"/>
                <w:color w:val="auto"/>
                <w:w w:val="71"/>
              </w:rPr>
              <w:t>Matters ...........................................................................</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gridSpan w:val="4"/>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117</w:t>
            </w:r>
          </w:p>
        </w:tc>
        <w:tc>
          <w:tcPr>
            <w:tcW w:w="360" w:type="dxa"/>
            <w:vAlign w:val="bottom"/>
            <w:gridSpan w:val="2"/>
          </w:tcPr>
          <w:p>
            <w:pPr>
              <w:spacing w:after="0"/>
              <w:rPr>
                <w:sz w:val="20"/>
                <w:szCs w:val="20"/>
                <w:color w:val="auto"/>
              </w:rPr>
            </w:pPr>
            <w:r>
              <w:rPr>
                <w:rFonts w:ascii="Arial" w:cs="Arial" w:eastAsia="Arial" w:hAnsi="Arial"/>
                <w:sz w:val="20"/>
                <w:szCs w:val="20"/>
                <w:color w:val="0000FF"/>
              </w:rPr>
              <w:t>122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60" w:top="757" w:right="4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146960219_6</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165457743_4</w:t>
      </w:r>
    </w:p>
    <w:p>
      <w:pPr>
        <w:sectPr>
          <w:pgSz w:w="11900" w:h="16838" w:orient="portrait"/>
          <w:cols w:equalWidth="0" w:num="1">
            <w:col w:w="11100"/>
          </w:cols>
          <w:pgMar w:left="360" w:top="757" w:right="439" w:bottom="1440" w:gutter="0" w:footer="0" w:header="0"/>
          <w:type w:val="continuous"/>
        </w:sectPr>
      </w:pPr>
    </w:p>
    <w:bookmarkStart w:id="73" w:name="page74"/>
    <w:bookmarkEnd w:id="73"/>
    <w:tbl>
      <w:tblPr>
        <w:tblLayout w:type="fixed"/>
        <w:tblInd w:w="60" w:type="dxa"/>
        <w:tblCellMar>
          <w:top w:w="0" w:type="dxa"/>
          <w:left w:w="0" w:type="dxa"/>
          <w:bottom w:w="0" w:type="dxa"/>
          <w:right w:w="0" w:type="dxa"/>
        </w:tblCellMar>
      </w:tblPr>
      <w:tr>
        <w:trPr>
          <w:trHeight w:val="250"/>
        </w:trPr>
        <w:tc>
          <w:tcPr>
            <w:tcW w:w="1280" w:type="dxa"/>
            <w:vAlign w:val="bottom"/>
          </w:tcPr>
          <w:p>
            <w:pPr>
              <w:spacing w:after="0"/>
              <w:rPr>
                <w:sz w:val="20"/>
                <w:szCs w:val="20"/>
                <w:color w:val="auto"/>
              </w:rPr>
            </w:pPr>
            <w:r>
              <w:rPr>
                <w:rFonts w:ascii="Arial" w:cs="Arial" w:eastAsia="Arial" w:hAnsi="Arial"/>
                <w:sz w:val="20"/>
                <w:szCs w:val="20"/>
                <w:color w:val="auto"/>
              </w:rPr>
              <w:t>ARTICLE IX</w:t>
            </w:r>
          </w:p>
        </w:tc>
        <w:tc>
          <w:tcPr>
            <w:tcW w:w="3180" w:type="dxa"/>
            <w:vAlign w:val="bottom"/>
            <w:gridSpan w:val="6"/>
          </w:tcPr>
          <w:p>
            <w:pPr>
              <w:jc w:val="right"/>
              <w:spacing w:after="0"/>
              <w:rPr>
                <w:sz w:val="20"/>
                <w:szCs w:val="20"/>
                <w:color w:val="auto"/>
              </w:rPr>
            </w:pPr>
            <w:r>
              <w:rPr>
                <w:rFonts w:ascii="Arial" w:cs="Arial" w:eastAsia="Arial" w:hAnsi="Arial"/>
                <w:sz w:val="13"/>
                <w:szCs w:val="13"/>
                <w:color w:val="auto"/>
                <w:w w:val="73"/>
              </w:rPr>
              <w:t>NEGATIVE COVENANTS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7"/>
          </w:tcPr>
          <w:p>
            <w:pPr>
              <w:ind w:left="160"/>
              <w:spacing w:after="0"/>
              <w:rPr>
                <w:sz w:val="20"/>
                <w:szCs w:val="20"/>
                <w:color w:val="auto"/>
              </w:rPr>
            </w:pPr>
            <w:r>
              <w:rPr>
                <w:rFonts w:ascii="Arial" w:cs="Arial" w:eastAsia="Arial" w:hAnsi="Arial"/>
                <w:sz w:val="20"/>
                <w:szCs w:val="20"/>
                <w:color w:val="FF0000"/>
                <w:strike w:val="1"/>
                <w:w w:val="83"/>
              </w:rPr>
              <w:t>117</w:t>
            </w:r>
          </w:p>
        </w:tc>
        <w:tc>
          <w:tcPr>
            <w:tcW w:w="320" w:type="dxa"/>
            <w:vAlign w:val="bottom"/>
            <w:gridSpan w:val="5"/>
          </w:tcPr>
          <w:p>
            <w:pPr>
              <w:jc w:val="right"/>
              <w:spacing w:after="0"/>
              <w:rPr>
                <w:sz w:val="20"/>
                <w:szCs w:val="20"/>
                <w:color w:val="auto"/>
              </w:rPr>
            </w:pPr>
            <w:r>
              <w:rPr>
                <w:rFonts w:ascii="Arial" w:cs="Arial" w:eastAsia="Arial" w:hAnsi="Arial"/>
                <w:sz w:val="20"/>
                <w:szCs w:val="20"/>
                <w:color w:val="0000FF"/>
                <w:w w:val="83"/>
              </w:rPr>
              <w:t>122</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00" w:type="dxa"/>
            <w:vAlign w:val="bottom"/>
            <w:gridSpan w:val="4"/>
            <w:vMerge w:val="restart"/>
          </w:tcPr>
          <w:p>
            <w:pPr>
              <w:ind w:left="640"/>
              <w:spacing w:after="0"/>
              <w:rPr>
                <w:sz w:val="20"/>
                <w:szCs w:val="20"/>
                <w:color w:val="auto"/>
              </w:rPr>
            </w:pPr>
            <w:r>
              <w:rPr>
                <w:rFonts w:ascii="Arial" w:cs="Arial" w:eastAsia="Arial" w:hAnsi="Arial"/>
                <w:sz w:val="20"/>
                <w:szCs w:val="20"/>
                <w:color w:val="auto"/>
                <w:w w:val="90"/>
              </w:rPr>
              <w:t>SECTION 9.1 Indebtedness</w:t>
            </w:r>
          </w:p>
        </w:tc>
        <w:tc>
          <w:tcPr>
            <w:tcW w:w="1100" w:type="dxa"/>
            <w:vAlign w:val="bottom"/>
            <w:gridSpan w:val="2"/>
          </w:tcPr>
          <w:p>
            <w:pPr>
              <w:jc w:val="right"/>
              <w:spacing w:after="0"/>
              <w:rPr>
                <w:sz w:val="20"/>
                <w:szCs w:val="20"/>
                <w:color w:val="auto"/>
              </w:rPr>
            </w:pPr>
            <w:r>
              <w:rPr>
                <w:rFonts w:ascii="Arial" w:cs="Arial" w:eastAsia="Arial" w:hAnsi="Arial"/>
                <w:sz w:val="5"/>
                <w:szCs w:val="5"/>
                <w:color w:val="auto"/>
                <w:w w:val="87"/>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20" w:type="dxa"/>
            <w:vAlign w:val="bottom"/>
            <w:gridSpan w:val="3"/>
            <w:vMerge w:val="restart"/>
          </w:tcPr>
          <w:p>
            <w:pPr>
              <w:ind w:left="20"/>
              <w:spacing w:after="0"/>
              <w:rPr>
                <w:sz w:val="20"/>
                <w:szCs w:val="20"/>
                <w:color w:val="auto"/>
              </w:rPr>
            </w:pPr>
            <w:r>
              <w:rPr>
                <w:rFonts w:ascii="Arial" w:cs="Arial" w:eastAsia="Arial" w:hAnsi="Arial"/>
                <w:sz w:val="20"/>
                <w:szCs w:val="20"/>
                <w:color w:val="FF0000"/>
                <w:strike w:val="1"/>
                <w:w w:val="83"/>
              </w:rPr>
              <w:t>117</w:t>
            </w: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color w:val="0000FF"/>
                <w:w w:val="77"/>
              </w:rPr>
              <w:t>123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90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280" w:type="dxa"/>
            <w:vAlign w:val="bottom"/>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260" w:type="dxa"/>
            <w:vAlign w:val="bottom"/>
            <w:gridSpan w:val="3"/>
            <w:vMerge w:val="restart"/>
          </w:tcPr>
          <w:p>
            <w:pPr>
              <w:ind w:left="640"/>
              <w:spacing w:after="0"/>
              <w:rPr>
                <w:sz w:val="20"/>
                <w:szCs w:val="20"/>
                <w:color w:val="auto"/>
              </w:rPr>
            </w:pPr>
            <w:r>
              <w:rPr>
                <w:rFonts w:ascii="Arial" w:cs="Arial" w:eastAsia="Arial" w:hAnsi="Arial"/>
                <w:sz w:val="20"/>
                <w:szCs w:val="20"/>
                <w:color w:val="auto"/>
                <w:w w:val="91"/>
              </w:rPr>
              <w:t>SECTION 9.2 Liens</w:t>
            </w:r>
          </w:p>
        </w:tc>
        <w:tc>
          <w:tcPr>
            <w:tcW w:w="1440" w:type="dxa"/>
            <w:vAlign w:val="bottom"/>
            <w:gridSpan w:val="2"/>
          </w:tcPr>
          <w:p>
            <w:pPr>
              <w:ind w:left="60"/>
              <w:spacing w:after="0"/>
              <w:rPr>
                <w:sz w:val="20"/>
                <w:szCs w:val="20"/>
                <w:color w:val="auto"/>
              </w:rPr>
            </w:pPr>
            <w:r>
              <w:rPr>
                <w:rFonts w:ascii="Arial" w:cs="Arial" w:eastAsia="Arial" w:hAnsi="Arial"/>
                <w:sz w:val="5"/>
                <w:szCs w:val="5"/>
                <w:color w:val="auto"/>
                <w:w w:val="96"/>
              </w:rPr>
              <w:t>.....................................................................................................</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20" w:type="dxa"/>
            <w:vAlign w:val="bottom"/>
            <w:gridSpan w:val="3"/>
            <w:vMerge w:val="restart"/>
          </w:tcPr>
          <w:p>
            <w:pPr>
              <w:ind w:left="20"/>
              <w:spacing w:after="0"/>
              <w:rPr>
                <w:sz w:val="20"/>
                <w:szCs w:val="20"/>
                <w:color w:val="auto"/>
              </w:rPr>
            </w:pPr>
            <w:r>
              <w:rPr>
                <w:rFonts w:ascii="Arial" w:cs="Arial" w:eastAsia="Arial" w:hAnsi="Arial"/>
                <w:sz w:val="20"/>
                <w:szCs w:val="20"/>
                <w:color w:val="FF0000"/>
                <w:strike w:val="1"/>
                <w:w w:val="83"/>
              </w:rPr>
              <w:t>121</w:t>
            </w:r>
          </w:p>
        </w:tc>
        <w:tc>
          <w:tcPr>
            <w:tcW w:w="320" w:type="dxa"/>
            <w:vAlign w:val="bottom"/>
            <w:gridSpan w:val="7"/>
            <w:vMerge w:val="restart"/>
          </w:tcPr>
          <w:p>
            <w:pPr>
              <w:jc w:val="right"/>
              <w:spacing w:after="0"/>
              <w:rPr>
                <w:sz w:val="20"/>
                <w:szCs w:val="20"/>
                <w:color w:val="auto"/>
              </w:rPr>
            </w:pPr>
            <w:r>
              <w:rPr>
                <w:rFonts w:ascii="Arial" w:cs="Arial" w:eastAsia="Arial" w:hAnsi="Arial"/>
                <w:sz w:val="20"/>
                <w:szCs w:val="20"/>
                <w:color w:val="0000FF"/>
                <w:w w:val="83"/>
              </w:rPr>
              <w:t>126</w:t>
            </w:r>
          </w:p>
        </w:tc>
        <w:tc>
          <w:tcPr>
            <w:tcW w:w="8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2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32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900" w:type="dxa"/>
            <w:vAlign w:val="bottom"/>
            <w:gridSpan w:val="4"/>
          </w:tcPr>
          <w:p>
            <w:pPr>
              <w:ind w:left="640"/>
              <w:spacing w:after="0"/>
              <w:rPr>
                <w:sz w:val="20"/>
                <w:szCs w:val="20"/>
                <w:color w:val="auto"/>
              </w:rPr>
            </w:pPr>
            <w:r>
              <w:rPr>
                <w:rFonts w:ascii="Arial" w:cs="Arial" w:eastAsia="Arial" w:hAnsi="Arial"/>
                <w:sz w:val="8"/>
                <w:szCs w:val="8"/>
                <w:color w:val="auto"/>
                <w:w w:val="75"/>
              </w:rPr>
              <w:t>SECTION 9.3 Investments...........................................................................................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123</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77"/>
              </w:rPr>
              <w:t>128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2"/>
              </w:rPr>
              <w:t>SECTION 9.4 Fundamental Changes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20"/>
                <w:szCs w:val="20"/>
                <w:color w:val="FF0000"/>
                <w:strike w:val="1"/>
                <w:w w:val="77"/>
              </w:rPr>
              <w:t>124</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83"/>
              </w:rPr>
              <w:t>130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3"/>
              </w:rPr>
              <w:t>SECTION 9.5 Asset Dispositions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3"/>
          </w:tcPr>
          <w:p>
            <w:pPr>
              <w:ind w:left="20"/>
              <w:spacing w:after="0"/>
              <w:rPr>
                <w:sz w:val="20"/>
                <w:szCs w:val="20"/>
                <w:color w:val="auto"/>
              </w:rPr>
            </w:pPr>
            <w:r>
              <w:rPr>
                <w:rFonts w:ascii="Arial" w:cs="Arial" w:eastAsia="Arial" w:hAnsi="Arial"/>
                <w:sz w:val="20"/>
                <w:szCs w:val="20"/>
                <w:color w:val="FF0000"/>
                <w:strike w:val="1"/>
                <w:w w:val="83"/>
              </w:rPr>
              <w:t>125</w:t>
            </w:r>
          </w:p>
        </w:tc>
        <w:tc>
          <w:tcPr>
            <w:tcW w:w="320" w:type="dxa"/>
            <w:vAlign w:val="bottom"/>
            <w:gridSpan w:val="7"/>
          </w:tcPr>
          <w:p>
            <w:pPr>
              <w:jc w:val="right"/>
              <w:spacing w:after="0"/>
              <w:rPr>
                <w:sz w:val="20"/>
                <w:szCs w:val="20"/>
                <w:color w:val="auto"/>
              </w:rPr>
            </w:pPr>
            <w:r>
              <w:rPr>
                <w:rFonts w:ascii="Arial" w:cs="Arial" w:eastAsia="Arial" w:hAnsi="Arial"/>
                <w:sz w:val="20"/>
                <w:szCs w:val="20"/>
                <w:color w:val="0000FF"/>
                <w:w w:val="83"/>
              </w:rPr>
              <w:t>131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2"/>
              </w:rPr>
              <w:t>SECTION 9.6 Restricted Payments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3"/>
          </w:tcPr>
          <w:p>
            <w:pPr>
              <w:ind w:left="20"/>
              <w:spacing w:after="0"/>
              <w:rPr>
                <w:sz w:val="20"/>
                <w:szCs w:val="20"/>
                <w:color w:val="auto"/>
              </w:rPr>
            </w:pPr>
            <w:r>
              <w:rPr>
                <w:rFonts w:ascii="Arial" w:cs="Arial" w:eastAsia="Arial" w:hAnsi="Arial"/>
                <w:sz w:val="20"/>
                <w:szCs w:val="20"/>
                <w:color w:val="FF0000"/>
                <w:strike w:val="1"/>
                <w:w w:val="83"/>
              </w:rPr>
              <w:t>126</w:t>
            </w:r>
          </w:p>
        </w:tc>
        <w:tc>
          <w:tcPr>
            <w:tcW w:w="280" w:type="dxa"/>
            <w:vAlign w:val="bottom"/>
            <w:gridSpan w:val="6"/>
          </w:tcPr>
          <w:p>
            <w:pPr>
              <w:jc w:val="right"/>
              <w:spacing w:after="0"/>
              <w:rPr>
                <w:sz w:val="20"/>
                <w:szCs w:val="20"/>
                <w:color w:val="auto"/>
              </w:rPr>
            </w:pPr>
            <w:r>
              <w:rPr>
                <w:rFonts w:ascii="Arial" w:cs="Arial" w:eastAsia="Arial" w:hAnsi="Arial"/>
                <w:sz w:val="20"/>
                <w:szCs w:val="20"/>
                <w:color w:val="0000FF"/>
                <w:w w:val="77"/>
              </w:rPr>
              <w:t>132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4"/>
              </w:rPr>
              <w:t>SECTION 9.7 Transactions with Affiliates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127</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83"/>
              </w:rPr>
              <w:t>133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18"/>
          </w:tcPr>
          <w:p>
            <w:pPr>
              <w:ind w:left="640"/>
              <w:spacing w:after="0"/>
              <w:rPr>
                <w:sz w:val="20"/>
                <w:szCs w:val="20"/>
                <w:color w:val="auto"/>
              </w:rPr>
            </w:pPr>
            <w:r>
              <w:rPr>
                <w:rFonts w:ascii="Arial" w:cs="Arial" w:eastAsia="Arial" w:hAnsi="Arial"/>
                <w:sz w:val="20"/>
                <w:szCs w:val="20"/>
                <w:color w:val="auto"/>
                <w:w w:val="80"/>
              </w:rPr>
              <w:t>SECTION 9.8 Accounting Changes; Organizational Documents................................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128</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83"/>
              </w:rPr>
              <w:t>133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80" w:type="dxa"/>
            <w:vAlign w:val="bottom"/>
            <w:gridSpan w:val="18"/>
          </w:tcPr>
          <w:p>
            <w:pPr>
              <w:ind w:left="640"/>
              <w:spacing w:after="0"/>
              <w:rPr>
                <w:sz w:val="20"/>
                <w:szCs w:val="20"/>
                <w:color w:val="auto"/>
              </w:rPr>
            </w:pPr>
            <w:r>
              <w:rPr>
                <w:rFonts w:ascii="Arial" w:cs="Arial" w:eastAsia="Arial" w:hAnsi="Arial"/>
                <w:sz w:val="20"/>
                <w:szCs w:val="20"/>
                <w:color w:val="auto"/>
                <w:w w:val="79"/>
              </w:rPr>
              <w:t>SECTION 9.9 Payments and Modifications of Junior Indebtedness ...........................</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128</w:t>
            </w:r>
          </w:p>
        </w:tc>
        <w:tc>
          <w:tcPr>
            <w:tcW w:w="3300" w:type="dxa"/>
            <w:vAlign w:val="bottom"/>
            <w:gridSpan w:val="14"/>
          </w:tcPr>
          <w:p>
            <w:pPr>
              <w:jc w:val="right"/>
              <w:spacing w:after="0"/>
              <w:rPr>
                <w:sz w:val="20"/>
                <w:szCs w:val="20"/>
                <w:color w:val="auto"/>
              </w:rPr>
            </w:pPr>
            <w:r>
              <w:rPr>
                <w:rFonts w:ascii="Arial" w:cs="Arial" w:eastAsia="Arial" w:hAnsi="Arial"/>
                <w:sz w:val="20"/>
                <w:szCs w:val="20"/>
                <w:color w:val="0000FF"/>
                <w:w w:val="91"/>
              </w:rPr>
              <w:t xml:space="preserve">134 </w:t>
            </w:r>
            <w:r>
              <w:rPr>
                <w:rFonts w:ascii="Arial" w:cs="Arial" w:eastAsia="Arial" w:hAnsi="Arial"/>
                <w:sz w:val="20"/>
                <w:szCs w:val="20"/>
                <w:color w:val="000000"/>
                <w:w w:val="91"/>
              </w:rPr>
              <w:t>SECTION 9.10 No Further Negative</w:t>
            </w:r>
          </w:p>
        </w:tc>
        <w:tc>
          <w:tcPr>
            <w:tcW w:w="0" w:type="dxa"/>
            <w:vAlign w:val="bottom"/>
          </w:tcPr>
          <w:p>
            <w:pPr>
              <w:spacing w:after="0"/>
              <w:rPr>
                <w:sz w:val="1"/>
                <w:szCs w:val="1"/>
                <w:color w:val="auto"/>
              </w:rPr>
            </w:pPr>
          </w:p>
        </w:tc>
      </w:tr>
      <w:tr>
        <w:trPr>
          <w:trHeight w:val="338"/>
        </w:trPr>
        <w:tc>
          <w:tcPr>
            <w:tcW w:w="1540" w:type="dxa"/>
            <w:vAlign w:val="bottom"/>
            <w:gridSpan w:val="2"/>
          </w:tcPr>
          <w:p>
            <w:pPr>
              <w:ind w:left="640"/>
              <w:spacing w:after="0"/>
              <w:rPr>
                <w:sz w:val="20"/>
                <w:szCs w:val="20"/>
                <w:color w:val="auto"/>
              </w:rPr>
            </w:pPr>
            <w:r>
              <w:rPr>
                <w:rFonts w:ascii="Arial" w:cs="Arial" w:eastAsia="Arial" w:hAnsi="Arial"/>
                <w:sz w:val="20"/>
                <w:szCs w:val="20"/>
                <w:color w:val="auto"/>
              </w:rPr>
              <w:t>Pledges;</w:t>
            </w:r>
          </w:p>
        </w:tc>
        <w:tc>
          <w:tcPr>
            <w:tcW w:w="1360" w:type="dxa"/>
            <w:vAlign w:val="bottom"/>
            <w:gridSpan w:val="2"/>
          </w:tcPr>
          <w:p>
            <w:pPr>
              <w:ind w:left="220"/>
              <w:spacing w:after="0"/>
              <w:rPr>
                <w:sz w:val="20"/>
                <w:szCs w:val="20"/>
                <w:color w:val="auto"/>
              </w:rPr>
            </w:pPr>
            <w:r>
              <w:rPr>
                <w:rFonts w:ascii="Arial" w:cs="Arial" w:eastAsia="Arial" w:hAnsi="Arial"/>
                <w:sz w:val="20"/>
                <w:szCs w:val="20"/>
                <w:color w:val="auto"/>
              </w:rPr>
              <w:t>Restrictive</w:t>
            </w:r>
          </w:p>
        </w:tc>
        <w:tc>
          <w:tcPr>
            <w:tcW w:w="1560" w:type="dxa"/>
            <w:vAlign w:val="bottom"/>
            <w:gridSpan w:val="3"/>
          </w:tcPr>
          <w:p>
            <w:pPr>
              <w:jc w:val="right"/>
              <w:spacing w:after="0"/>
              <w:rPr>
                <w:sz w:val="20"/>
                <w:szCs w:val="20"/>
                <w:color w:val="auto"/>
              </w:rPr>
            </w:pPr>
            <w:r>
              <w:rPr>
                <w:rFonts w:ascii="Arial" w:cs="Arial" w:eastAsia="Arial" w:hAnsi="Arial"/>
                <w:sz w:val="19"/>
                <w:szCs w:val="19"/>
                <w:color w:val="auto"/>
                <w:w w:val="73"/>
              </w:rPr>
              <w:t>Agreements........................</w:t>
            </w:r>
          </w:p>
        </w:tc>
        <w:tc>
          <w:tcPr>
            <w:tcW w:w="140" w:type="dxa"/>
            <w:vAlign w:val="bottom"/>
          </w:tcPr>
          <w:p>
            <w:pPr>
              <w:spacing w:after="0"/>
              <w:rPr>
                <w:sz w:val="24"/>
                <w:szCs w:val="2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3"/>
              </w:rPr>
              <w:t>130</w:t>
            </w:r>
          </w:p>
        </w:tc>
        <w:tc>
          <w:tcPr>
            <w:tcW w:w="340" w:type="dxa"/>
            <w:vAlign w:val="bottom"/>
            <w:gridSpan w:val="2"/>
            <w:vMerge w:val="restart"/>
          </w:tcPr>
          <w:p>
            <w:pPr>
              <w:jc w:val="right"/>
              <w:spacing w:after="0"/>
              <w:rPr>
                <w:sz w:val="20"/>
                <w:szCs w:val="20"/>
                <w:color w:val="auto"/>
              </w:rPr>
            </w:pPr>
            <w:r>
              <w:rPr>
                <w:rFonts w:ascii="Arial" w:cs="Arial" w:eastAsia="Arial" w:hAnsi="Arial"/>
                <w:sz w:val="20"/>
                <w:szCs w:val="20"/>
                <w:color w:val="0000FF"/>
                <w:w w:val="83"/>
              </w:rPr>
              <w:t>135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129</w:t>
            </w:r>
          </w:p>
        </w:tc>
        <w:tc>
          <w:tcPr>
            <w:tcW w:w="300" w:type="dxa"/>
            <w:vAlign w:val="bottom"/>
          </w:tcPr>
          <w:p>
            <w:pPr>
              <w:jc w:val="right"/>
              <w:spacing w:after="0"/>
              <w:rPr>
                <w:sz w:val="20"/>
                <w:szCs w:val="20"/>
                <w:color w:val="auto"/>
              </w:rPr>
            </w:pPr>
            <w:r>
              <w:rPr>
                <w:rFonts w:ascii="Arial" w:cs="Arial" w:eastAsia="Arial" w:hAnsi="Arial"/>
                <w:sz w:val="20"/>
                <w:szCs w:val="20"/>
                <w:color w:val="0000FF"/>
                <w:w w:val="83"/>
              </w:rPr>
              <w:t>134</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11"/>
          </w:tcPr>
          <w:p>
            <w:pPr>
              <w:jc w:val="right"/>
              <w:ind w:right="341"/>
              <w:spacing w:after="0"/>
              <w:rPr>
                <w:sz w:val="20"/>
                <w:szCs w:val="20"/>
                <w:color w:val="auto"/>
              </w:rPr>
            </w:pPr>
            <w:r>
              <w:rPr>
                <w:rFonts w:ascii="Arial" w:cs="Arial" w:eastAsia="Arial" w:hAnsi="Arial"/>
                <w:sz w:val="20"/>
                <w:szCs w:val="20"/>
                <w:color w:val="auto"/>
              </w:rPr>
              <w:t>SECTION</w:t>
            </w:r>
          </w:p>
        </w:tc>
        <w:tc>
          <w:tcPr>
            <w:tcW w:w="580" w:type="dxa"/>
            <w:vAlign w:val="bottom"/>
            <w:gridSpan w:val="5"/>
          </w:tcPr>
          <w:p>
            <w:pPr>
              <w:jc w:val="right"/>
              <w:ind w:right="141"/>
              <w:spacing w:after="0"/>
              <w:rPr>
                <w:sz w:val="20"/>
                <w:szCs w:val="20"/>
                <w:color w:val="auto"/>
              </w:rPr>
            </w:pPr>
            <w:r>
              <w:rPr>
                <w:rFonts w:ascii="Arial" w:cs="Arial" w:eastAsia="Arial" w:hAnsi="Arial"/>
                <w:sz w:val="20"/>
                <w:szCs w:val="20"/>
                <w:color w:val="auto"/>
                <w:w w:val="82"/>
              </w:rPr>
              <w:t>9.11</w:t>
            </w:r>
          </w:p>
        </w:tc>
        <w:tc>
          <w:tcPr>
            <w:tcW w:w="780" w:type="dxa"/>
            <w:vAlign w:val="bottom"/>
          </w:tcPr>
          <w:p>
            <w:pPr>
              <w:ind w:left="220"/>
              <w:spacing w:after="0"/>
              <w:rPr>
                <w:sz w:val="20"/>
                <w:szCs w:val="20"/>
                <w:color w:val="auto"/>
              </w:rPr>
            </w:pPr>
            <w:r>
              <w:rPr>
                <w:rFonts w:ascii="Arial" w:cs="Arial" w:eastAsia="Arial" w:hAnsi="Arial"/>
                <w:sz w:val="20"/>
                <w:szCs w:val="20"/>
                <w:color w:val="auto"/>
                <w:w w:val="89"/>
              </w:rPr>
              <w:t>Nature</w:t>
            </w: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of</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Business</w:t>
            </w:r>
          </w:p>
        </w:tc>
        <w:tc>
          <w:tcPr>
            <w:tcW w:w="0" w:type="dxa"/>
            <w:vAlign w:val="bottom"/>
          </w:tcPr>
          <w:p>
            <w:pPr>
              <w:spacing w:after="0"/>
              <w:rPr>
                <w:sz w:val="1"/>
                <w:szCs w:val="1"/>
                <w:color w:val="auto"/>
              </w:rPr>
            </w:pPr>
          </w:p>
        </w:tc>
      </w:tr>
      <w:tr>
        <w:trPr>
          <w:trHeight w:val="338"/>
        </w:trPr>
        <w:tc>
          <w:tcPr>
            <w:tcW w:w="4460" w:type="dxa"/>
            <w:vAlign w:val="bottom"/>
            <w:gridSpan w:val="7"/>
            <w:vMerge w:val="restart"/>
          </w:tcPr>
          <w:p>
            <w:pPr>
              <w:ind w:left="640"/>
              <w:spacing w:after="0"/>
              <w:rPr>
                <w:sz w:val="20"/>
                <w:szCs w:val="20"/>
                <w:color w:val="auto"/>
              </w:rPr>
            </w:pPr>
            <w:r>
              <w:rPr>
                <w:rFonts w:ascii="Arial" w:cs="Arial" w:eastAsia="Arial" w:hAnsi="Arial"/>
                <w:sz w:val="10"/>
                <w:szCs w:val="10"/>
                <w:color w:val="auto"/>
                <w:w w:val="76"/>
                <w:vertAlign w:val="subscript"/>
              </w:rPr>
              <w:t>SECTION</w:t>
            </w:r>
            <w:r>
              <w:rPr>
                <w:rFonts w:ascii="Arial" w:cs="Arial" w:eastAsia="Arial" w:hAnsi="Arial"/>
                <w:sz w:val="9"/>
                <w:szCs w:val="9"/>
                <w:color w:val="auto"/>
                <w:w w:val="76"/>
              </w:rPr>
              <w:t>...............................................................................</w:t>
            </w:r>
            <w:r>
              <w:rPr>
                <w:rFonts w:ascii="Arial" w:cs="Arial" w:eastAsia="Arial" w:hAnsi="Arial"/>
                <w:sz w:val="10"/>
                <w:szCs w:val="10"/>
                <w:color w:val="auto"/>
                <w:w w:val="76"/>
                <w:vertAlign w:val="subscript"/>
              </w:rPr>
              <w:t>9.12SaleLeasebacks</w:t>
            </w:r>
            <w:r>
              <w:rPr>
                <w:rFonts w:ascii="Arial" w:cs="Arial" w:eastAsia="Arial" w:hAnsi="Arial"/>
                <w:sz w:val="9"/>
                <w:szCs w:val="9"/>
                <w:color w:val="auto"/>
                <w:w w:val="76"/>
              </w:rPr>
              <w:t>....................................................................................</w:t>
            </w:r>
          </w:p>
        </w:tc>
        <w:tc>
          <w:tcPr>
            <w:tcW w:w="14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color w:val="FF0000"/>
                <w:strike w:val="1"/>
                <w:w w:val="77"/>
              </w:rPr>
              <w:t>130</w:t>
            </w:r>
          </w:p>
        </w:tc>
        <w:tc>
          <w:tcPr>
            <w:tcW w:w="340" w:type="dxa"/>
            <w:vAlign w:val="bottom"/>
            <w:gridSpan w:val="7"/>
            <w:vMerge w:val="restart"/>
          </w:tcPr>
          <w:p>
            <w:pPr>
              <w:jc w:val="right"/>
              <w:spacing w:after="0"/>
              <w:rPr>
                <w:sz w:val="20"/>
                <w:szCs w:val="20"/>
                <w:color w:val="auto"/>
              </w:rPr>
            </w:pPr>
            <w:r>
              <w:rPr>
                <w:rFonts w:ascii="Arial" w:cs="Arial" w:eastAsia="Arial" w:hAnsi="Arial"/>
                <w:sz w:val="20"/>
                <w:szCs w:val="20"/>
                <w:color w:val="0000FF"/>
                <w:w w:val="83"/>
              </w:rPr>
              <w:t>135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6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vMerge w:val="continue"/>
          </w:tcPr>
          <w:p>
            <w:pPr>
              <w:spacing w:after="0"/>
              <w:rPr>
                <w:sz w:val="24"/>
                <w:szCs w:val="24"/>
                <w:color w:val="auto"/>
              </w:rPr>
            </w:pPr>
          </w:p>
        </w:tc>
        <w:tc>
          <w:tcPr>
            <w:tcW w:w="34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2"/>
              </w:rPr>
              <w:t>SECTION 9.13 Financial Covenants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5"/>
          </w:tcPr>
          <w:p>
            <w:pPr>
              <w:ind w:left="20"/>
              <w:spacing w:after="0"/>
              <w:rPr>
                <w:sz w:val="20"/>
                <w:szCs w:val="20"/>
                <w:color w:val="auto"/>
              </w:rPr>
            </w:pPr>
            <w:r>
              <w:rPr>
                <w:rFonts w:ascii="Arial" w:cs="Arial" w:eastAsia="Arial" w:hAnsi="Arial"/>
                <w:sz w:val="20"/>
                <w:szCs w:val="20"/>
                <w:color w:val="FF0000"/>
                <w:strike w:val="1"/>
                <w:w w:val="83"/>
              </w:rPr>
              <w:t>130</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135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60" w:type="dxa"/>
            <w:vAlign w:val="bottom"/>
            <w:gridSpan w:val="7"/>
            <w:vMerge w:val="restart"/>
          </w:tcPr>
          <w:p>
            <w:pPr>
              <w:ind w:left="640"/>
              <w:spacing w:after="0"/>
              <w:rPr>
                <w:sz w:val="20"/>
                <w:szCs w:val="20"/>
                <w:color w:val="auto"/>
              </w:rPr>
            </w:pPr>
            <w:r>
              <w:rPr>
                <w:rFonts w:ascii="Arial" w:cs="Arial" w:eastAsia="Arial" w:hAnsi="Arial"/>
                <w:sz w:val="20"/>
                <w:szCs w:val="20"/>
                <w:color w:val="auto"/>
                <w:w w:val="90"/>
              </w:rPr>
              <w:t>SECTION 9.14 Disposal of Subsidiary Interests</w:t>
            </w:r>
          </w:p>
        </w:tc>
        <w:tc>
          <w:tcPr>
            <w:tcW w:w="300" w:type="dxa"/>
            <w:vAlign w:val="bottom"/>
            <w:gridSpan w:val="2"/>
          </w:tcPr>
          <w:p>
            <w:pPr>
              <w:jc w:val="right"/>
              <w:spacing w:after="0"/>
              <w:rPr>
                <w:sz w:val="20"/>
                <w:szCs w:val="20"/>
                <w:color w:val="auto"/>
              </w:rPr>
            </w:pPr>
            <w:r>
              <w:rPr>
                <w:rFonts w:ascii="Arial" w:cs="Arial" w:eastAsia="Arial" w:hAnsi="Arial"/>
                <w:sz w:val="2"/>
                <w:szCs w:val="2"/>
                <w:color w:val="auto"/>
                <w:w w:val="85"/>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20" w:type="dxa"/>
            <w:vAlign w:val="bottom"/>
            <w:gridSpan w:val="5"/>
            <w:vMerge w:val="restart"/>
          </w:tcPr>
          <w:p>
            <w:pPr>
              <w:ind w:left="20"/>
              <w:spacing w:after="0"/>
              <w:rPr>
                <w:sz w:val="20"/>
                <w:szCs w:val="20"/>
                <w:color w:val="auto"/>
              </w:rPr>
            </w:pPr>
            <w:r>
              <w:rPr>
                <w:rFonts w:ascii="Arial" w:cs="Arial" w:eastAsia="Arial" w:hAnsi="Arial"/>
                <w:sz w:val="20"/>
                <w:szCs w:val="20"/>
                <w:color w:val="FF0000"/>
                <w:strike w:val="1"/>
                <w:w w:val="83"/>
              </w:rPr>
              <w:t>131</w:t>
            </w:r>
          </w:p>
        </w:tc>
        <w:tc>
          <w:tcPr>
            <w:tcW w:w="300" w:type="dxa"/>
            <w:vAlign w:val="bottom"/>
            <w:gridSpan w:val="5"/>
            <w:vMerge w:val="restart"/>
          </w:tcPr>
          <w:p>
            <w:pPr>
              <w:spacing w:after="0"/>
              <w:rPr>
                <w:sz w:val="20"/>
                <w:szCs w:val="20"/>
                <w:color w:val="auto"/>
              </w:rPr>
            </w:pPr>
            <w:r>
              <w:rPr>
                <w:rFonts w:ascii="Arial" w:cs="Arial" w:eastAsia="Arial" w:hAnsi="Arial"/>
                <w:sz w:val="20"/>
                <w:szCs w:val="20"/>
                <w:color w:val="0000FF"/>
                <w:w w:val="83"/>
              </w:rPr>
              <w:t>136</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4460" w:type="dxa"/>
            <w:vAlign w:val="bottom"/>
            <w:gridSpan w:val="7"/>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320" w:type="dxa"/>
            <w:vAlign w:val="bottom"/>
            <w:gridSpan w:val="5"/>
            <w:vMerge w:val="continue"/>
          </w:tcPr>
          <w:p>
            <w:pPr>
              <w:spacing w:after="0"/>
              <w:rPr>
                <w:sz w:val="9"/>
                <w:szCs w:val="9"/>
                <w:color w:val="auto"/>
              </w:rPr>
            </w:pPr>
          </w:p>
        </w:tc>
        <w:tc>
          <w:tcPr>
            <w:tcW w:w="300" w:type="dxa"/>
            <w:vAlign w:val="bottom"/>
            <w:gridSpan w:val="5"/>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4460" w:type="dxa"/>
            <w:vAlign w:val="bottom"/>
            <w:gridSpan w:val="7"/>
          </w:tcPr>
          <w:p>
            <w:pPr>
              <w:spacing w:after="0"/>
              <w:rPr>
                <w:sz w:val="20"/>
                <w:szCs w:val="20"/>
                <w:color w:val="auto"/>
              </w:rPr>
            </w:pPr>
            <w:r>
              <w:rPr>
                <w:rFonts w:ascii="Arial" w:cs="Arial" w:eastAsia="Arial" w:hAnsi="Arial"/>
                <w:sz w:val="15"/>
                <w:szCs w:val="15"/>
                <w:color w:val="auto"/>
                <w:w w:val="72"/>
              </w:rPr>
              <w:t>ARTICLE X  DEFAULT AND REMEDIES.................................................................................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20"/>
                <w:szCs w:val="20"/>
                <w:color w:val="FF0000"/>
                <w:strike w:val="1"/>
                <w:w w:val="77"/>
              </w:rPr>
              <w:t>131</w:t>
            </w:r>
          </w:p>
        </w:tc>
        <w:tc>
          <w:tcPr>
            <w:tcW w:w="580" w:type="dxa"/>
            <w:vAlign w:val="bottom"/>
            <w:gridSpan w:val="5"/>
          </w:tcPr>
          <w:p>
            <w:pPr>
              <w:jc w:val="right"/>
              <w:ind w:right="181"/>
              <w:spacing w:after="0"/>
              <w:rPr>
                <w:sz w:val="20"/>
                <w:szCs w:val="20"/>
                <w:color w:val="auto"/>
              </w:rPr>
            </w:pPr>
            <w:r>
              <w:rPr>
                <w:rFonts w:ascii="Arial" w:cs="Arial" w:eastAsia="Arial" w:hAnsi="Arial"/>
                <w:sz w:val="20"/>
                <w:szCs w:val="20"/>
                <w:color w:val="0000FF"/>
                <w:w w:val="83"/>
              </w:rPr>
              <w:t>136</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2"/>
              </w:rPr>
              <w:t>SECTION 10.1 Events of Default..................................................................................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20"/>
                <w:szCs w:val="20"/>
                <w:color w:val="FF0000"/>
                <w:strike w:val="1"/>
              </w:rPr>
              <w:t>131</w:t>
            </w:r>
          </w:p>
        </w:tc>
        <w:tc>
          <w:tcPr>
            <w:tcW w:w="340" w:type="dxa"/>
            <w:vAlign w:val="bottom"/>
            <w:gridSpan w:val="7"/>
          </w:tcPr>
          <w:p>
            <w:pPr>
              <w:jc w:val="right"/>
              <w:spacing w:after="0"/>
              <w:rPr>
                <w:sz w:val="20"/>
                <w:szCs w:val="20"/>
                <w:color w:val="auto"/>
              </w:rPr>
            </w:pPr>
            <w:r>
              <w:rPr>
                <w:rFonts w:ascii="Arial" w:cs="Arial" w:eastAsia="Arial" w:hAnsi="Arial"/>
                <w:sz w:val="20"/>
                <w:szCs w:val="20"/>
                <w:color w:val="0000FF"/>
                <w:w w:val="83"/>
              </w:rPr>
              <w:t>136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900" w:type="dxa"/>
            <w:vAlign w:val="bottom"/>
            <w:gridSpan w:val="4"/>
          </w:tcPr>
          <w:p>
            <w:pPr>
              <w:ind w:left="640"/>
              <w:spacing w:after="0"/>
              <w:rPr>
                <w:sz w:val="20"/>
                <w:szCs w:val="20"/>
                <w:color w:val="auto"/>
              </w:rPr>
            </w:pPr>
            <w:r>
              <w:rPr>
                <w:rFonts w:ascii="Arial" w:cs="Arial" w:eastAsia="Arial" w:hAnsi="Arial"/>
                <w:sz w:val="8"/>
                <w:szCs w:val="8"/>
                <w:color w:val="auto"/>
                <w:w w:val="73"/>
              </w:rPr>
              <w:t>SECTION 10.2 Remedies ..............................................................................................</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5"/>
          </w:tcPr>
          <w:p>
            <w:pPr>
              <w:ind w:left="20"/>
              <w:spacing w:after="0"/>
              <w:rPr>
                <w:sz w:val="20"/>
                <w:szCs w:val="20"/>
                <w:color w:val="auto"/>
              </w:rPr>
            </w:pPr>
            <w:r>
              <w:rPr>
                <w:rFonts w:ascii="Arial" w:cs="Arial" w:eastAsia="Arial" w:hAnsi="Arial"/>
                <w:sz w:val="20"/>
                <w:szCs w:val="20"/>
                <w:color w:val="FF0000"/>
                <w:strike w:val="1"/>
                <w:w w:val="83"/>
              </w:rPr>
              <w:t>133</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138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580" w:type="dxa"/>
            <w:vAlign w:val="bottom"/>
            <w:gridSpan w:val="18"/>
          </w:tcPr>
          <w:p>
            <w:pPr>
              <w:ind w:left="640"/>
              <w:spacing w:after="0"/>
              <w:rPr>
                <w:sz w:val="20"/>
                <w:szCs w:val="20"/>
                <w:color w:val="auto"/>
              </w:rPr>
            </w:pPr>
            <w:r>
              <w:rPr>
                <w:rFonts w:ascii="Arial" w:cs="Arial" w:eastAsia="Arial" w:hAnsi="Arial"/>
                <w:sz w:val="20"/>
                <w:szCs w:val="20"/>
                <w:color w:val="auto"/>
                <w:w w:val="79"/>
              </w:rPr>
              <w:t>SECTION 10.3 Rights and Remedies Cumulative; Non-Waiver; etc............................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134</w:t>
            </w:r>
          </w:p>
        </w:tc>
        <w:tc>
          <w:tcPr>
            <w:tcW w:w="1320" w:type="dxa"/>
            <w:vAlign w:val="bottom"/>
            <w:gridSpan w:val="3"/>
          </w:tcPr>
          <w:p>
            <w:pPr>
              <w:jc w:val="center"/>
              <w:ind w:right="1"/>
              <w:spacing w:after="0"/>
              <w:rPr>
                <w:sz w:val="20"/>
                <w:szCs w:val="20"/>
                <w:color w:val="auto"/>
              </w:rPr>
            </w:pPr>
            <w:r>
              <w:rPr>
                <w:rFonts w:ascii="Arial" w:cs="Arial" w:eastAsia="Arial" w:hAnsi="Arial"/>
                <w:sz w:val="20"/>
                <w:szCs w:val="20"/>
                <w:color w:val="0000FF"/>
                <w:w w:val="95"/>
              </w:rPr>
              <w:t xml:space="preserve">139 </w:t>
            </w:r>
            <w:r>
              <w:rPr>
                <w:rFonts w:ascii="Arial" w:cs="Arial" w:eastAsia="Arial" w:hAnsi="Arial"/>
                <w:sz w:val="20"/>
                <w:szCs w:val="20"/>
                <w:color w:val="000000"/>
                <w:w w:val="95"/>
              </w:rPr>
              <w:t>SECTION</w:t>
            </w:r>
          </w:p>
        </w:tc>
        <w:tc>
          <w:tcPr>
            <w:tcW w:w="420" w:type="dxa"/>
            <w:vAlign w:val="bottom"/>
          </w:tcPr>
          <w:p>
            <w:pPr>
              <w:jc w:val="right"/>
              <w:spacing w:after="0"/>
              <w:rPr>
                <w:sz w:val="20"/>
                <w:szCs w:val="20"/>
                <w:color w:val="auto"/>
              </w:rPr>
            </w:pPr>
            <w:r>
              <w:rPr>
                <w:rFonts w:ascii="Arial" w:cs="Arial" w:eastAsia="Arial" w:hAnsi="Arial"/>
                <w:sz w:val="20"/>
                <w:szCs w:val="20"/>
                <w:color w:val="auto"/>
                <w:w w:val="87"/>
              </w:rPr>
              <w:t>10.4</w:t>
            </w:r>
          </w:p>
        </w:tc>
        <w:tc>
          <w:tcPr>
            <w:tcW w:w="860" w:type="dxa"/>
            <w:vAlign w:val="bottom"/>
          </w:tcPr>
          <w:p>
            <w:pPr>
              <w:ind w:left="60"/>
              <w:spacing w:after="0"/>
              <w:rPr>
                <w:sz w:val="20"/>
                <w:szCs w:val="20"/>
                <w:color w:val="auto"/>
              </w:rPr>
            </w:pPr>
            <w:r>
              <w:rPr>
                <w:rFonts w:ascii="Arial" w:cs="Arial" w:eastAsia="Arial" w:hAnsi="Arial"/>
                <w:sz w:val="20"/>
                <w:szCs w:val="20"/>
                <w:color w:val="auto"/>
                <w:w w:val="97"/>
              </w:rPr>
              <w:t>Crediting</w:t>
            </w:r>
          </w:p>
        </w:tc>
        <w:tc>
          <w:tcPr>
            <w:tcW w:w="220" w:type="dxa"/>
            <w:vAlign w:val="bottom"/>
          </w:tcPr>
          <w:p>
            <w:pPr>
              <w:jc w:val="right"/>
              <w:spacing w:after="0"/>
              <w:rPr>
                <w:sz w:val="20"/>
                <w:szCs w:val="20"/>
                <w:color w:val="auto"/>
              </w:rPr>
            </w:pPr>
            <w:r>
              <w:rPr>
                <w:rFonts w:ascii="Arial" w:cs="Arial" w:eastAsia="Arial" w:hAnsi="Arial"/>
                <w:sz w:val="20"/>
                <w:szCs w:val="20"/>
                <w:color w:val="auto"/>
              </w:rPr>
              <w:t>of</w:t>
            </w:r>
          </w:p>
        </w:tc>
        <w:tc>
          <w:tcPr>
            <w:tcW w:w="0" w:type="dxa"/>
            <w:vAlign w:val="bottom"/>
          </w:tcPr>
          <w:p>
            <w:pPr>
              <w:spacing w:after="0"/>
              <w:rPr>
                <w:sz w:val="1"/>
                <w:szCs w:val="1"/>
                <w:color w:val="auto"/>
              </w:rPr>
            </w:pPr>
          </w:p>
        </w:tc>
      </w:tr>
      <w:tr>
        <w:trPr>
          <w:trHeight w:val="338"/>
        </w:trPr>
        <w:tc>
          <w:tcPr>
            <w:tcW w:w="2900" w:type="dxa"/>
            <w:vAlign w:val="bottom"/>
            <w:gridSpan w:val="4"/>
          </w:tcPr>
          <w:p>
            <w:pPr>
              <w:ind w:left="640"/>
              <w:spacing w:after="0"/>
              <w:rPr>
                <w:sz w:val="20"/>
                <w:szCs w:val="20"/>
                <w:color w:val="auto"/>
              </w:rPr>
            </w:pPr>
            <w:r>
              <w:rPr>
                <w:rFonts w:ascii="Arial" w:cs="Arial" w:eastAsia="Arial" w:hAnsi="Arial"/>
                <w:sz w:val="12"/>
                <w:szCs w:val="12"/>
                <w:color w:val="auto"/>
                <w:w w:val="73"/>
              </w:rPr>
              <w:t>Payments and Proceeds....................................................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134</w:t>
            </w:r>
          </w:p>
        </w:tc>
        <w:tc>
          <w:tcPr>
            <w:tcW w:w="500" w:type="dxa"/>
            <w:vAlign w:val="bottom"/>
            <w:gridSpan w:val="2"/>
          </w:tcPr>
          <w:p>
            <w:pPr>
              <w:jc w:val="right"/>
              <w:ind w:right="121"/>
              <w:spacing w:after="0"/>
              <w:rPr>
                <w:sz w:val="20"/>
                <w:szCs w:val="20"/>
                <w:color w:val="auto"/>
              </w:rPr>
            </w:pPr>
            <w:r>
              <w:rPr>
                <w:rFonts w:ascii="Arial" w:cs="Arial" w:eastAsia="Arial" w:hAnsi="Arial"/>
                <w:sz w:val="20"/>
                <w:szCs w:val="20"/>
                <w:color w:val="0000FF"/>
                <w:w w:val="77"/>
              </w:rPr>
              <w:t>140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580" w:type="dxa"/>
            <w:vAlign w:val="bottom"/>
            <w:gridSpan w:val="18"/>
          </w:tcPr>
          <w:p>
            <w:pPr>
              <w:ind w:left="640"/>
              <w:spacing w:after="0"/>
              <w:rPr>
                <w:sz w:val="20"/>
                <w:szCs w:val="20"/>
                <w:color w:val="auto"/>
              </w:rPr>
            </w:pPr>
            <w:r>
              <w:rPr>
                <w:rFonts w:ascii="Arial" w:cs="Arial" w:eastAsia="Arial" w:hAnsi="Arial"/>
                <w:sz w:val="20"/>
                <w:szCs w:val="20"/>
                <w:color w:val="auto"/>
                <w:w w:val="80"/>
              </w:rPr>
              <w:t>SECTION 10.5 Administrative Agent May File Proofs of Claim .................................</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6"/>
          </w:tcPr>
          <w:p>
            <w:pPr>
              <w:ind w:left="40"/>
              <w:spacing w:after="0"/>
              <w:rPr>
                <w:sz w:val="20"/>
                <w:szCs w:val="20"/>
                <w:color w:val="auto"/>
              </w:rPr>
            </w:pPr>
            <w:r>
              <w:rPr>
                <w:rFonts w:ascii="Arial" w:cs="Arial" w:eastAsia="Arial" w:hAnsi="Arial"/>
                <w:sz w:val="20"/>
                <w:szCs w:val="20"/>
                <w:color w:val="FF0000"/>
                <w:strike w:val="1"/>
                <w:w w:val="83"/>
              </w:rPr>
              <w:t>136</w:t>
            </w:r>
          </w:p>
        </w:tc>
        <w:tc>
          <w:tcPr>
            <w:tcW w:w="2940" w:type="dxa"/>
            <w:vAlign w:val="bottom"/>
            <w:gridSpan w:val="7"/>
          </w:tcPr>
          <w:p>
            <w:pPr>
              <w:jc w:val="right"/>
              <w:spacing w:after="0"/>
              <w:rPr>
                <w:sz w:val="20"/>
                <w:szCs w:val="20"/>
                <w:color w:val="auto"/>
              </w:rPr>
            </w:pPr>
            <w:r>
              <w:rPr>
                <w:rFonts w:ascii="Arial" w:cs="Arial" w:eastAsia="Arial" w:hAnsi="Arial"/>
                <w:sz w:val="20"/>
                <w:szCs w:val="20"/>
                <w:color w:val="0000FF"/>
                <w:w w:val="96"/>
              </w:rPr>
              <w:t xml:space="preserve">141 </w:t>
            </w:r>
            <w:r>
              <w:rPr>
                <w:rFonts w:ascii="Arial" w:cs="Arial" w:eastAsia="Arial" w:hAnsi="Arial"/>
                <w:sz w:val="20"/>
                <w:szCs w:val="20"/>
                <w:color w:val="000000"/>
                <w:w w:val="96"/>
              </w:rPr>
              <w:t>SECTION 10.6 Credit Bidding</w:t>
            </w:r>
          </w:p>
        </w:tc>
        <w:tc>
          <w:tcPr>
            <w:tcW w:w="0" w:type="dxa"/>
            <w:vAlign w:val="bottom"/>
          </w:tcPr>
          <w:p>
            <w:pPr>
              <w:spacing w:after="0"/>
              <w:rPr>
                <w:sz w:val="1"/>
                <w:szCs w:val="1"/>
                <w:color w:val="auto"/>
              </w:rPr>
            </w:pPr>
          </w:p>
        </w:tc>
      </w:tr>
      <w:tr>
        <w:trPr>
          <w:trHeight w:val="338"/>
        </w:trPr>
        <w:tc>
          <w:tcPr>
            <w:tcW w:w="4460" w:type="dxa"/>
            <w:vAlign w:val="bottom"/>
            <w:gridSpan w:val="7"/>
            <w:vMerge w:val="restart"/>
          </w:tcPr>
          <w:p>
            <w:pPr>
              <w:ind w:left="640"/>
              <w:spacing w:after="0"/>
              <w:rPr>
                <w:sz w:val="20"/>
                <w:szCs w:val="20"/>
                <w:color w:val="auto"/>
              </w:rPr>
            </w:pPr>
            <w:r>
              <w:rPr>
                <w:rFonts w:ascii="Arial" w:cs="Arial" w:eastAsia="Arial" w:hAnsi="Arial"/>
                <w:sz w:val="10"/>
                <w:szCs w:val="10"/>
                <w:color w:val="auto"/>
                <w:w w:val="74"/>
                <w:vertAlign w:val="subscript"/>
              </w:rPr>
              <w:t>SECTION</w:t>
            </w:r>
            <w:r>
              <w:rPr>
                <w:rFonts w:ascii="Arial" w:cs="Arial" w:eastAsia="Arial" w:hAnsi="Arial"/>
                <w:sz w:val="9"/>
                <w:szCs w:val="9"/>
                <w:color w:val="auto"/>
                <w:w w:val="74"/>
              </w:rPr>
              <w:t>......................................................................................</w:t>
            </w:r>
            <w:r>
              <w:rPr>
                <w:rFonts w:ascii="Arial" w:cs="Arial" w:eastAsia="Arial" w:hAnsi="Arial"/>
                <w:sz w:val="10"/>
                <w:szCs w:val="10"/>
                <w:color w:val="auto"/>
                <w:w w:val="74"/>
                <w:vertAlign w:val="subscript"/>
              </w:rPr>
              <w:t>10.7JudgmentCurrency</w:t>
            </w:r>
            <w:r>
              <w:rPr>
                <w:rFonts w:ascii="Arial" w:cs="Arial" w:eastAsia="Arial" w:hAnsi="Arial"/>
                <w:sz w:val="9"/>
                <w:szCs w:val="9"/>
                <w:color w:val="auto"/>
                <w:w w:val="74"/>
              </w:rPr>
              <w:t>..............................................................................</w:t>
            </w:r>
          </w:p>
        </w:tc>
        <w:tc>
          <w:tcPr>
            <w:tcW w:w="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137</w:t>
            </w:r>
          </w:p>
        </w:tc>
        <w:tc>
          <w:tcPr>
            <w:tcW w:w="360" w:type="dxa"/>
            <w:vAlign w:val="bottom"/>
            <w:gridSpan w:val="2"/>
          </w:tcPr>
          <w:p>
            <w:pPr>
              <w:jc w:val="right"/>
              <w:spacing w:after="0"/>
              <w:rPr>
                <w:sz w:val="20"/>
                <w:szCs w:val="20"/>
                <w:color w:val="auto"/>
              </w:rPr>
            </w:pPr>
            <w:r>
              <w:rPr>
                <w:rFonts w:ascii="Arial" w:cs="Arial" w:eastAsia="Arial" w:hAnsi="Arial"/>
                <w:sz w:val="20"/>
                <w:szCs w:val="20"/>
                <w:color w:val="0000FF"/>
                <w:w w:val="83"/>
              </w:rPr>
              <w:t>142</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color w:val="FF0000"/>
                <w:strike w:val="1"/>
                <w:w w:val="83"/>
              </w:rPr>
              <w:t>137</w:t>
            </w:r>
          </w:p>
        </w:tc>
        <w:tc>
          <w:tcPr>
            <w:tcW w:w="320" w:type="dxa"/>
            <w:vAlign w:val="bottom"/>
            <w:gridSpan w:val="6"/>
            <w:vMerge w:val="restart"/>
          </w:tcPr>
          <w:p>
            <w:pPr>
              <w:jc w:val="right"/>
              <w:spacing w:after="0"/>
              <w:rPr>
                <w:sz w:val="20"/>
                <w:szCs w:val="20"/>
                <w:color w:val="auto"/>
              </w:rPr>
            </w:pPr>
            <w:r>
              <w:rPr>
                <w:rFonts w:ascii="Arial" w:cs="Arial" w:eastAsia="Arial" w:hAnsi="Arial"/>
                <w:sz w:val="20"/>
                <w:szCs w:val="20"/>
                <w:color w:val="0000FF"/>
                <w:w w:val="83"/>
              </w:rPr>
              <w:t>143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46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4"/>
            <w:vMerge w:val="continue"/>
          </w:tcPr>
          <w:p>
            <w:pPr>
              <w:spacing w:after="0"/>
              <w:rPr>
                <w:sz w:val="24"/>
                <w:szCs w:val="24"/>
                <w:color w:val="auto"/>
              </w:rPr>
            </w:pPr>
          </w:p>
        </w:tc>
        <w:tc>
          <w:tcPr>
            <w:tcW w:w="32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20"/>
                <w:szCs w:val="20"/>
                <w:color w:val="auto"/>
              </w:rPr>
              <w:t>ARTICLE XI</w:t>
            </w:r>
          </w:p>
        </w:tc>
        <w:tc>
          <w:tcPr>
            <w:tcW w:w="3180" w:type="dxa"/>
            <w:vAlign w:val="bottom"/>
            <w:gridSpan w:val="6"/>
          </w:tcPr>
          <w:p>
            <w:pPr>
              <w:jc w:val="right"/>
              <w:spacing w:after="0"/>
              <w:rPr>
                <w:sz w:val="20"/>
                <w:szCs w:val="20"/>
                <w:color w:val="auto"/>
              </w:rPr>
            </w:pPr>
            <w:r>
              <w:rPr>
                <w:rFonts w:ascii="Arial" w:cs="Arial" w:eastAsia="Arial" w:hAnsi="Arial"/>
                <w:sz w:val="13"/>
                <w:szCs w:val="13"/>
                <w:color w:val="auto"/>
                <w:w w:val="73"/>
              </w:rPr>
              <w:t>THE ADMINISTRATIVE AGENT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Arial" w:cs="Arial" w:eastAsia="Arial" w:hAnsi="Arial"/>
                <w:sz w:val="20"/>
                <w:szCs w:val="20"/>
                <w:color w:val="FF0000"/>
                <w:strike w:val="1"/>
                <w:w w:val="83"/>
              </w:rPr>
              <w:t>138</w:t>
            </w:r>
          </w:p>
        </w:tc>
        <w:tc>
          <w:tcPr>
            <w:tcW w:w="460" w:type="dxa"/>
            <w:vAlign w:val="bottom"/>
            <w:gridSpan w:val="3"/>
          </w:tcPr>
          <w:p>
            <w:pPr>
              <w:spacing w:after="0"/>
              <w:rPr>
                <w:sz w:val="20"/>
                <w:szCs w:val="20"/>
                <w:color w:val="auto"/>
              </w:rPr>
            </w:pPr>
            <w:r>
              <w:rPr>
                <w:rFonts w:ascii="Arial" w:cs="Arial" w:eastAsia="Arial" w:hAnsi="Arial"/>
                <w:sz w:val="20"/>
                <w:szCs w:val="20"/>
                <w:color w:val="0000FF"/>
              </w:rPr>
              <w:t>143</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3"/>
              </w:rPr>
              <w:t>SECTION 11.1 Appointment and Authority..................................................................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20"/>
                <w:szCs w:val="20"/>
                <w:color w:val="FF0000"/>
                <w:strike w:val="1"/>
              </w:rPr>
              <w:t>138</w:t>
            </w:r>
          </w:p>
        </w:tc>
        <w:tc>
          <w:tcPr>
            <w:tcW w:w="340" w:type="dxa"/>
            <w:vAlign w:val="bottom"/>
            <w:gridSpan w:val="7"/>
          </w:tcPr>
          <w:p>
            <w:pPr>
              <w:jc w:val="right"/>
              <w:spacing w:after="0"/>
              <w:rPr>
                <w:sz w:val="20"/>
                <w:szCs w:val="20"/>
                <w:color w:val="auto"/>
              </w:rPr>
            </w:pPr>
            <w:r>
              <w:rPr>
                <w:rFonts w:ascii="Arial" w:cs="Arial" w:eastAsia="Arial" w:hAnsi="Arial"/>
                <w:sz w:val="20"/>
                <w:szCs w:val="20"/>
                <w:color w:val="0000FF"/>
                <w:w w:val="83"/>
              </w:rPr>
              <w:t>143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1"/>
              </w:rPr>
              <w:t>SECTION 11.2 Rights as a Lender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20" w:type="dxa"/>
            <w:vAlign w:val="bottom"/>
            <w:gridSpan w:val="5"/>
          </w:tcPr>
          <w:p>
            <w:pPr>
              <w:ind w:left="20"/>
              <w:spacing w:after="0"/>
              <w:rPr>
                <w:sz w:val="20"/>
                <w:szCs w:val="20"/>
                <w:color w:val="auto"/>
              </w:rPr>
            </w:pPr>
            <w:r>
              <w:rPr>
                <w:rFonts w:ascii="Arial" w:cs="Arial" w:eastAsia="Arial" w:hAnsi="Arial"/>
                <w:sz w:val="20"/>
                <w:szCs w:val="20"/>
                <w:color w:val="FF0000"/>
                <w:strike w:val="1"/>
                <w:w w:val="83"/>
              </w:rPr>
              <w:t>138</w:t>
            </w:r>
          </w:p>
        </w:tc>
        <w:tc>
          <w:tcPr>
            <w:tcW w:w="300" w:type="dxa"/>
            <w:vAlign w:val="bottom"/>
            <w:gridSpan w:val="5"/>
          </w:tcPr>
          <w:p>
            <w:pPr>
              <w:spacing w:after="0"/>
              <w:rPr>
                <w:sz w:val="20"/>
                <w:szCs w:val="20"/>
                <w:color w:val="auto"/>
              </w:rPr>
            </w:pPr>
            <w:r>
              <w:rPr>
                <w:rFonts w:ascii="Arial" w:cs="Arial" w:eastAsia="Arial" w:hAnsi="Arial"/>
                <w:sz w:val="20"/>
                <w:szCs w:val="20"/>
                <w:color w:val="0000FF"/>
                <w:w w:val="83"/>
              </w:rPr>
              <w:t>144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2"/>
              </w:rPr>
              <w:t>SECTION 11.3 Exculpatory Provisions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138</w:t>
            </w:r>
          </w:p>
        </w:tc>
        <w:tc>
          <w:tcPr>
            <w:tcW w:w="3100" w:type="dxa"/>
            <w:vAlign w:val="bottom"/>
            <w:gridSpan w:val="10"/>
          </w:tcPr>
          <w:p>
            <w:pPr>
              <w:jc w:val="right"/>
              <w:spacing w:after="0"/>
              <w:rPr>
                <w:sz w:val="20"/>
                <w:szCs w:val="20"/>
                <w:color w:val="auto"/>
              </w:rPr>
            </w:pPr>
            <w:r>
              <w:rPr>
                <w:rFonts w:ascii="Arial" w:cs="Arial" w:eastAsia="Arial" w:hAnsi="Arial"/>
                <w:sz w:val="20"/>
                <w:szCs w:val="20"/>
                <w:color w:val="0000FF"/>
                <w:w w:val="97"/>
              </w:rPr>
              <w:t xml:space="preserve">144 </w:t>
            </w:r>
            <w:r>
              <w:rPr>
                <w:rFonts w:ascii="Arial" w:cs="Arial" w:eastAsia="Arial" w:hAnsi="Arial"/>
                <w:sz w:val="20"/>
                <w:szCs w:val="20"/>
                <w:color w:val="000000"/>
                <w:w w:val="97"/>
              </w:rPr>
              <w:t>SECTION 11.4 Reliance by the</w:t>
            </w:r>
          </w:p>
        </w:tc>
        <w:tc>
          <w:tcPr>
            <w:tcW w:w="0" w:type="dxa"/>
            <w:vAlign w:val="bottom"/>
          </w:tcPr>
          <w:p>
            <w:pPr>
              <w:spacing w:after="0"/>
              <w:rPr>
                <w:sz w:val="1"/>
                <w:szCs w:val="1"/>
                <w:color w:val="auto"/>
              </w:rPr>
            </w:pPr>
          </w:p>
        </w:tc>
      </w:tr>
      <w:tr>
        <w:trPr>
          <w:trHeight w:val="225"/>
        </w:trPr>
        <w:tc>
          <w:tcPr>
            <w:tcW w:w="2260" w:type="dxa"/>
            <w:vAlign w:val="bottom"/>
            <w:gridSpan w:val="3"/>
            <w:vMerge w:val="restart"/>
          </w:tcPr>
          <w:p>
            <w:pPr>
              <w:ind w:left="640"/>
              <w:spacing w:after="0"/>
              <w:rPr>
                <w:sz w:val="20"/>
                <w:szCs w:val="20"/>
                <w:color w:val="auto"/>
              </w:rPr>
            </w:pPr>
            <w:r>
              <w:rPr>
                <w:rFonts w:ascii="Arial" w:cs="Arial" w:eastAsia="Arial" w:hAnsi="Arial"/>
                <w:sz w:val="20"/>
                <w:szCs w:val="20"/>
                <w:color w:val="auto"/>
              </w:rPr>
              <w:t>Administrative</w:t>
            </w:r>
          </w:p>
        </w:tc>
        <w:tc>
          <w:tcPr>
            <w:tcW w:w="640" w:type="dxa"/>
            <w:vAlign w:val="bottom"/>
            <w:vMerge w:val="restart"/>
          </w:tcPr>
          <w:p>
            <w:pPr>
              <w:ind w:left="80"/>
              <w:spacing w:after="0"/>
              <w:rPr>
                <w:sz w:val="20"/>
                <w:szCs w:val="20"/>
                <w:color w:val="auto"/>
              </w:rPr>
            </w:pPr>
            <w:r>
              <w:rPr>
                <w:rFonts w:ascii="Arial" w:cs="Arial" w:eastAsia="Arial" w:hAnsi="Arial"/>
                <w:sz w:val="20"/>
                <w:szCs w:val="20"/>
                <w:color w:val="auto"/>
              </w:rPr>
              <w:t>Agent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w w:val="72"/>
              </w:rPr>
              <w:t>.................................................</w:t>
            </w:r>
          </w:p>
        </w:tc>
        <w:tc>
          <w:tcPr>
            <w:tcW w:w="460" w:type="dxa"/>
            <w:vAlign w:val="bottom"/>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80" w:type="dxa"/>
            <w:vAlign w:val="bottom"/>
            <w:gridSpan w:val="3"/>
            <w:vMerge w:val="restart"/>
          </w:tcPr>
          <w:p>
            <w:pPr>
              <w:spacing w:after="0"/>
              <w:rPr>
                <w:sz w:val="19"/>
                <w:szCs w:val="19"/>
                <w:color w:val="auto"/>
              </w:rPr>
            </w:pPr>
          </w:p>
        </w:tc>
        <w:tc>
          <w:tcPr>
            <w:tcW w:w="360" w:type="dxa"/>
            <w:vAlign w:val="bottom"/>
            <w:gridSpan w:val="2"/>
            <w:vMerge w:val="restart"/>
          </w:tcPr>
          <w:p>
            <w:pPr>
              <w:spacing w:after="0"/>
              <w:rPr>
                <w:sz w:val="19"/>
                <w:szCs w:val="19"/>
                <w:color w:val="auto"/>
              </w:rPr>
            </w:pPr>
          </w:p>
        </w:tc>
        <w:tc>
          <w:tcPr>
            <w:tcW w:w="640" w:type="dxa"/>
            <w:vAlign w:val="bottom"/>
            <w:gridSpan w:val="2"/>
            <w:vMerge w:val="restart"/>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color w:val="FF0000"/>
                <w:strike w:val="1"/>
                <w:w w:val="83"/>
              </w:rPr>
              <w:t>140</w:t>
            </w:r>
          </w:p>
        </w:tc>
        <w:tc>
          <w:tcPr>
            <w:tcW w:w="780" w:type="dxa"/>
            <w:vAlign w:val="bottom"/>
            <w:gridSpan w:val="2"/>
            <w:vMerge w:val="restart"/>
          </w:tcPr>
          <w:p>
            <w:pPr>
              <w:jc w:val="right"/>
              <w:ind w:right="381"/>
              <w:spacing w:after="0"/>
              <w:rPr>
                <w:sz w:val="20"/>
                <w:szCs w:val="20"/>
                <w:color w:val="auto"/>
              </w:rPr>
            </w:pPr>
            <w:r>
              <w:rPr>
                <w:rFonts w:ascii="Arial" w:cs="Arial" w:eastAsia="Arial" w:hAnsi="Arial"/>
                <w:sz w:val="20"/>
                <w:szCs w:val="20"/>
                <w:color w:val="0000FF"/>
                <w:w w:val="83"/>
              </w:rPr>
              <w:t>145</w:t>
            </w:r>
          </w:p>
        </w:tc>
        <w:tc>
          <w:tcPr>
            <w:tcW w:w="1200" w:type="dxa"/>
            <w:vAlign w:val="bottom"/>
            <w:gridSpan w:val="15"/>
            <w:vMerge w:val="restart"/>
          </w:tcPr>
          <w:p>
            <w:pPr>
              <w:spacing w:after="0"/>
              <w:rPr>
                <w:sz w:val="20"/>
                <w:szCs w:val="20"/>
                <w:color w:val="auto"/>
              </w:rPr>
            </w:pPr>
            <w:r>
              <w:rPr>
                <w:rFonts w:ascii="Arial" w:cs="Arial" w:eastAsia="Arial" w:hAnsi="Arial"/>
                <w:sz w:val="20"/>
                <w:szCs w:val="20"/>
                <w:color w:val="auto"/>
              </w:rPr>
              <w:t>SECTION</w:t>
            </w:r>
          </w:p>
        </w:tc>
        <w:tc>
          <w:tcPr>
            <w:tcW w:w="780" w:type="dxa"/>
            <w:vAlign w:val="bottom"/>
            <w:vMerge w:val="restart"/>
          </w:tcPr>
          <w:p>
            <w:pPr>
              <w:jc w:val="right"/>
              <w:ind w:right="201"/>
              <w:spacing w:after="0"/>
              <w:rPr>
                <w:sz w:val="20"/>
                <w:szCs w:val="20"/>
                <w:color w:val="auto"/>
              </w:rPr>
            </w:pPr>
            <w:r>
              <w:rPr>
                <w:rFonts w:ascii="Arial" w:cs="Arial" w:eastAsia="Arial" w:hAnsi="Arial"/>
                <w:sz w:val="20"/>
                <w:szCs w:val="20"/>
                <w:color w:val="auto"/>
              </w:rPr>
              <w:t>11.5</w:t>
            </w:r>
          </w:p>
        </w:tc>
        <w:tc>
          <w:tcPr>
            <w:tcW w:w="1520" w:type="dxa"/>
            <w:vAlign w:val="bottom"/>
            <w:gridSpan w:val="3"/>
            <w:vMerge w:val="restart"/>
          </w:tcPr>
          <w:p>
            <w:pPr>
              <w:ind w:left="200"/>
              <w:spacing w:after="0"/>
              <w:rPr>
                <w:sz w:val="20"/>
                <w:szCs w:val="20"/>
                <w:color w:val="auto"/>
              </w:rPr>
            </w:pPr>
            <w:r>
              <w:rPr>
                <w:rFonts w:ascii="Arial" w:cs="Arial" w:eastAsia="Arial" w:hAnsi="Arial"/>
                <w:sz w:val="20"/>
                <w:szCs w:val="20"/>
                <w:color w:val="auto"/>
              </w:rPr>
              <w:t>Delegation</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of</w:t>
            </w:r>
          </w:p>
        </w:tc>
        <w:tc>
          <w:tcPr>
            <w:tcW w:w="0" w:type="dxa"/>
            <w:vAlign w:val="bottom"/>
          </w:tcPr>
          <w:p>
            <w:pPr>
              <w:spacing w:after="0"/>
              <w:rPr>
                <w:sz w:val="1"/>
                <w:szCs w:val="1"/>
                <w:color w:val="auto"/>
              </w:rPr>
            </w:pPr>
          </w:p>
        </w:tc>
      </w:tr>
      <w:tr>
        <w:trPr>
          <w:trHeight w:val="112"/>
        </w:trPr>
        <w:tc>
          <w:tcPr>
            <w:tcW w:w="226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0" w:type="dxa"/>
            <w:vAlign w:val="bottom"/>
            <w:gridSpan w:val="15"/>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280" w:type="dxa"/>
            <w:vAlign w:val="bottom"/>
          </w:tcPr>
          <w:p>
            <w:pPr>
              <w:ind w:left="640"/>
              <w:spacing w:after="0"/>
              <w:rPr>
                <w:sz w:val="20"/>
                <w:szCs w:val="20"/>
                <w:color w:val="auto"/>
              </w:rPr>
            </w:pPr>
            <w:r>
              <w:rPr>
                <w:rFonts w:ascii="Arial" w:cs="Arial" w:eastAsia="Arial" w:hAnsi="Arial"/>
                <w:sz w:val="3"/>
                <w:szCs w:val="3"/>
                <w:color w:val="auto"/>
                <w:w w:val="85"/>
              </w:rPr>
              <w:t>Duties.............................................................................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20"/>
                <w:szCs w:val="20"/>
                <w:color w:val="FF0000"/>
                <w:strike w:val="1"/>
              </w:rPr>
              <w:t>140</w:t>
            </w:r>
          </w:p>
        </w:tc>
        <w:tc>
          <w:tcPr>
            <w:tcW w:w="1720" w:type="dxa"/>
            <w:vAlign w:val="bottom"/>
            <w:gridSpan w:val="5"/>
          </w:tcPr>
          <w:p>
            <w:pPr>
              <w:jc w:val="right"/>
              <w:ind w:right="161"/>
              <w:spacing w:after="0"/>
              <w:rPr>
                <w:sz w:val="20"/>
                <w:szCs w:val="20"/>
                <w:color w:val="auto"/>
              </w:rPr>
            </w:pPr>
            <w:r>
              <w:rPr>
                <w:rFonts w:ascii="Arial" w:cs="Arial" w:eastAsia="Arial" w:hAnsi="Arial"/>
                <w:sz w:val="20"/>
                <w:szCs w:val="20"/>
                <w:color w:val="0000FF"/>
                <w:w w:val="99"/>
              </w:rPr>
              <w:t xml:space="preserve">146    </w:t>
            </w:r>
            <w:r>
              <w:rPr>
                <w:rFonts w:ascii="Arial" w:cs="Arial" w:eastAsia="Arial" w:hAnsi="Arial"/>
                <w:sz w:val="20"/>
                <w:szCs w:val="20"/>
                <w:color w:val="000000"/>
                <w:w w:val="99"/>
              </w:rPr>
              <w:t>SECTION</w:t>
            </w:r>
          </w:p>
        </w:tc>
        <w:tc>
          <w:tcPr>
            <w:tcW w:w="420" w:type="dxa"/>
            <w:vAlign w:val="bottom"/>
            <w:gridSpan w:val="6"/>
          </w:tcPr>
          <w:p>
            <w:pPr>
              <w:jc w:val="right"/>
              <w:spacing w:after="0"/>
              <w:rPr>
                <w:sz w:val="20"/>
                <w:szCs w:val="20"/>
                <w:color w:val="auto"/>
              </w:rPr>
            </w:pPr>
            <w:r>
              <w:rPr>
                <w:rFonts w:ascii="Arial" w:cs="Arial" w:eastAsia="Arial" w:hAnsi="Arial"/>
                <w:sz w:val="20"/>
                <w:szCs w:val="20"/>
                <w:color w:val="auto"/>
              </w:rPr>
              <w:t>11.6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20"/>
                <w:szCs w:val="20"/>
                <w:color w:val="auto"/>
              </w:rPr>
              <w:t>Resignation</w:t>
            </w:r>
          </w:p>
        </w:tc>
        <w:tc>
          <w:tcPr>
            <w:tcW w:w="240" w:type="dxa"/>
            <w:vAlign w:val="bottom"/>
          </w:tcPr>
          <w:p>
            <w:pPr>
              <w:ind w:left="40"/>
              <w:spacing w:after="0"/>
              <w:rPr>
                <w:sz w:val="20"/>
                <w:szCs w:val="20"/>
                <w:color w:val="auto"/>
              </w:rPr>
            </w:pPr>
            <w:r>
              <w:rPr>
                <w:rFonts w:ascii="Arial" w:cs="Arial" w:eastAsia="Arial" w:hAnsi="Arial"/>
                <w:sz w:val="20"/>
                <w:szCs w:val="20"/>
                <w:color w:val="auto"/>
              </w:rPr>
              <w:t>of</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Administrative</w:t>
            </w:r>
          </w:p>
        </w:tc>
        <w:tc>
          <w:tcPr>
            <w:tcW w:w="0" w:type="dxa"/>
            <w:vAlign w:val="bottom"/>
          </w:tcPr>
          <w:p>
            <w:pPr>
              <w:spacing w:after="0"/>
              <w:rPr>
                <w:sz w:val="1"/>
                <w:szCs w:val="1"/>
                <w:color w:val="auto"/>
              </w:rPr>
            </w:pPr>
          </w:p>
        </w:tc>
      </w:tr>
      <w:tr>
        <w:trPr>
          <w:trHeight w:val="338"/>
        </w:trPr>
        <w:tc>
          <w:tcPr>
            <w:tcW w:w="1280" w:type="dxa"/>
            <w:vAlign w:val="bottom"/>
          </w:tcPr>
          <w:p>
            <w:pPr>
              <w:ind w:left="640"/>
              <w:spacing w:after="0"/>
              <w:rPr>
                <w:sz w:val="20"/>
                <w:szCs w:val="20"/>
                <w:color w:val="auto"/>
              </w:rPr>
            </w:pPr>
            <w:r>
              <w:rPr>
                <w:rFonts w:ascii="Arial" w:cs="Arial" w:eastAsia="Arial" w:hAnsi="Arial"/>
                <w:sz w:val="5"/>
                <w:szCs w:val="5"/>
                <w:color w:val="auto"/>
                <w:w w:val="73"/>
              </w:rPr>
              <w:t>Agent...................................................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140</w:t>
            </w:r>
          </w:p>
        </w:tc>
        <w:tc>
          <w:tcPr>
            <w:tcW w:w="460" w:type="dxa"/>
            <w:vAlign w:val="bottom"/>
          </w:tcPr>
          <w:p>
            <w:pPr>
              <w:jc w:val="right"/>
              <w:ind w:right="61"/>
              <w:spacing w:after="0"/>
              <w:rPr>
                <w:sz w:val="20"/>
                <w:szCs w:val="20"/>
                <w:color w:val="auto"/>
              </w:rPr>
            </w:pPr>
            <w:r>
              <w:rPr>
                <w:rFonts w:ascii="Arial" w:cs="Arial" w:eastAsia="Arial" w:hAnsi="Arial"/>
                <w:sz w:val="20"/>
                <w:szCs w:val="20"/>
                <w:color w:val="0000FF"/>
                <w:w w:val="83"/>
              </w:rPr>
              <w:t>146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80" w:type="dxa"/>
            <w:vAlign w:val="bottom"/>
            <w:gridSpan w:val="18"/>
            <w:vMerge w:val="restart"/>
          </w:tcPr>
          <w:p>
            <w:pPr>
              <w:ind w:left="640"/>
              <w:spacing w:after="0"/>
              <w:rPr>
                <w:sz w:val="20"/>
                <w:szCs w:val="20"/>
                <w:color w:val="auto"/>
              </w:rPr>
            </w:pPr>
            <w:r>
              <w:rPr>
                <w:rFonts w:ascii="Arial" w:cs="Arial" w:eastAsia="Arial" w:hAnsi="Arial"/>
                <w:sz w:val="20"/>
                <w:szCs w:val="20"/>
                <w:color w:val="auto"/>
                <w:w w:val="91"/>
              </w:rPr>
              <w:t>SECTION 11.7 Non-Reliance on Administrative Agent and Other Lenders</w:t>
            </w:r>
          </w:p>
        </w:tc>
        <w:tc>
          <w:tcPr>
            <w:tcW w:w="760" w:type="dxa"/>
            <w:vAlign w:val="bottom"/>
            <w:gridSpan w:val="2"/>
          </w:tcPr>
          <w:p>
            <w:pPr>
              <w:jc w:val="right"/>
              <w:spacing w:after="0" w:line="226" w:lineRule="exact"/>
              <w:rPr>
                <w:sz w:val="20"/>
                <w:szCs w:val="20"/>
                <w:color w:val="auto"/>
              </w:rPr>
            </w:pPr>
            <w:r>
              <w:rPr>
                <w:rFonts w:ascii="Arial" w:cs="Arial" w:eastAsia="Arial" w:hAnsi="Arial"/>
                <w:sz w:val="20"/>
                <w:szCs w:val="20"/>
                <w:color w:val="auto"/>
                <w:w w:val="83"/>
              </w:rPr>
              <w:t>................</w:t>
            </w:r>
          </w:p>
        </w:tc>
        <w:tc>
          <w:tcPr>
            <w:tcW w:w="100" w:type="dxa"/>
            <w:vAlign w:val="bottom"/>
          </w:tcPr>
          <w:p>
            <w:pPr>
              <w:spacing w:after="0"/>
              <w:rPr>
                <w:sz w:val="19"/>
                <w:szCs w:val="19"/>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color w:val="FF0000"/>
                <w:strike w:val="1"/>
                <w:w w:val="83"/>
              </w:rPr>
              <w:t>141</w:t>
            </w:r>
          </w:p>
        </w:tc>
        <w:tc>
          <w:tcPr>
            <w:tcW w:w="3300" w:type="dxa"/>
            <w:vAlign w:val="bottom"/>
            <w:gridSpan w:val="14"/>
            <w:vMerge w:val="restart"/>
          </w:tcPr>
          <w:p>
            <w:pPr>
              <w:jc w:val="right"/>
              <w:spacing w:after="0"/>
              <w:rPr>
                <w:sz w:val="20"/>
                <w:szCs w:val="20"/>
                <w:color w:val="auto"/>
              </w:rPr>
            </w:pPr>
            <w:r>
              <w:rPr>
                <w:rFonts w:ascii="Arial" w:cs="Arial" w:eastAsia="Arial" w:hAnsi="Arial"/>
                <w:sz w:val="20"/>
                <w:szCs w:val="20"/>
                <w:color w:val="0000FF"/>
                <w:w w:val="90"/>
              </w:rPr>
              <w:t xml:space="preserve">147 </w:t>
            </w:r>
            <w:r>
              <w:rPr>
                <w:rFonts w:ascii="Arial" w:cs="Arial" w:eastAsia="Arial" w:hAnsi="Arial"/>
                <w:sz w:val="20"/>
                <w:szCs w:val="20"/>
                <w:color w:val="000000"/>
                <w:w w:val="90"/>
              </w:rPr>
              <w:t>SECTION 11.8 No Other Duties, Etc</w:t>
            </w:r>
          </w:p>
        </w:tc>
        <w:tc>
          <w:tcPr>
            <w:tcW w:w="0" w:type="dxa"/>
            <w:vAlign w:val="bottom"/>
          </w:tcPr>
          <w:p>
            <w:pPr>
              <w:spacing w:after="0"/>
              <w:rPr>
                <w:sz w:val="1"/>
                <w:szCs w:val="1"/>
                <w:color w:val="auto"/>
              </w:rPr>
            </w:pPr>
          </w:p>
        </w:tc>
      </w:tr>
      <w:tr>
        <w:trPr>
          <w:trHeight w:val="112"/>
        </w:trPr>
        <w:tc>
          <w:tcPr>
            <w:tcW w:w="6580" w:type="dxa"/>
            <w:vAlign w:val="bottom"/>
            <w:gridSpan w:val="18"/>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4"/>
            <w:vMerge w:val="continue"/>
          </w:tcPr>
          <w:p>
            <w:pPr>
              <w:spacing w:after="0"/>
              <w:rPr>
                <w:sz w:val="9"/>
                <w:szCs w:val="9"/>
                <w:color w:val="auto"/>
              </w:rPr>
            </w:pPr>
          </w:p>
        </w:tc>
        <w:tc>
          <w:tcPr>
            <w:tcW w:w="3300" w:type="dxa"/>
            <w:vAlign w:val="bottom"/>
            <w:gridSpan w:val="1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540" w:type="dxa"/>
            <w:vAlign w:val="bottom"/>
            <w:gridSpan w:val="2"/>
          </w:tcPr>
          <w:p>
            <w:pPr>
              <w:ind w:left="640"/>
              <w:spacing w:after="0"/>
              <w:rPr>
                <w:sz w:val="20"/>
                <w:szCs w:val="20"/>
                <w:color w:val="auto"/>
              </w:rPr>
            </w:pPr>
            <w:r>
              <w:rPr>
                <w:rFonts w:ascii="Arial" w:cs="Arial" w:eastAsia="Arial" w:hAnsi="Arial"/>
                <w:sz w:val="5"/>
                <w:szCs w:val="5"/>
                <w:color w:val="auto"/>
                <w:w w:val="83"/>
              </w:rPr>
              <w:t>............................................................................</w:t>
            </w: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3"/>
              </w:rPr>
              <w:t>142</w:t>
            </w:r>
          </w:p>
        </w:tc>
        <w:tc>
          <w:tcPr>
            <w:tcW w:w="380" w:type="dxa"/>
            <w:vAlign w:val="bottom"/>
            <w:gridSpan w:val="2"/>
            <w:vMerge w:val="restart"/>
          </w:tcPr>
          <w:p>
            <w:pPr>
              <w:jc w:val="right"/>
              <w:ind w:right="1"/>
              <w:spacing w:after="0"/>
              <w:rPr>
                <w:sz w:val="20"/>
                <w:szCs w:val="20"/>
                <w:color w:val="auto"/>
              </w:rPr>
            </w:pPr>
            <w:r>
              <w:rPr>
                <w:rFonts w:ascii="Arial" w:cs="Arial" w:eastAsia="Arial" w:hAnsi="Arial"/>
                <w:sz w:val="20"/>
                <w:szCs w:val="20"/>
                <w:color w:val="0000FF"/>
                <w:w w:val="77"/>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580" w:type="dxa"/>
            <w:vAlign w:val="bottom"/>
            <w:gridSpan w:val="18"/>
          </w:tcPr>
          <w:p>
            <w:pPr>
              <w:ind w:left="640"/>
              <w:spacing w:after="0"/>
              <w:rPr>
                <w:sz w:val="20"/>
                <w:szCs w:val="20"/>
                <w:color w:val="auto"/>
              </w:rPr>
            </w:pPr>
            <w:r>
              <w:rPr>
                <w:rFonts w:ascii="Arial" w:cs="Arial" w:eastAsia="Arial" w:hAnsi="Arial"/>
                <w:sz w:val="20"/>
                <w:szCs w:val="20"/>
                <w:color w:val="auto"/>
                <w:w w:val="78"/>
              </w:rPr>
              <w:t>SECTION 11.9 Collateral and Guaranty Matters ..........................................................</w:t>
            </w:r>
          </w:p>
        </w:tc>
        <w:tc>
          <w:tcPr>
            <w:tcW w:w="74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142</w:t>
            </w:r>
          </w:p>
        </w:tc>
        <w:tc>
          <w:tcPr>
            <w:tcW w:w="320" w:type="dxa"/>
            <w:vAlign w:val="bottom"/>
            <w:gridSpan w:val="6"/>
          </w:tcPr>
          <w:p>
            <w:pPr>
              <w:jc w:val="right"/>
              <w:spacing w:after="0"/>
              <w:rPr>
                <w:sz w:val="20"/>
                <w:szCs w:val="20"/>
                <w:color w:val="auto"/>
              </w:rPr>
            </w:pPr>
            <w:r>
              <w:rPr>
                <w:rFonts w:ascii="Arial" w:cs="Arial" w:eastAsia="Arial" w:hAnsi="Arial"/>
                <w:sz w:val="20"/>
                <w:szCs w:val="20"/>
                <w:color w:val="0000FF"/>
                <w:w w:val="83"/>
              </w:rPr>
              <w:t>148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320" w:type="dxa"/>
            <w:vAlign w:val="bottom"/>
            <w:gridSpan w:val="19"/>
          </w:tcPr>
          <w:p>
            <w:pPr>
              <w:ind w:left="640"/>
              <w:spacing w:after="0"/>
              <w:rPr>
                <w:sz w:val="20"/>
                <w:szCs w:val="20"/>
                <w:color w:val="auto"/>
              </w:rPr>
            </w:pPr>
            <w:r>
              <w:rPr>
                <w:rFonts w:ascii="Arial" w:cs="Arial" w:eastAsia="Arial" w:hAnsi="Arial"/>
                <w:sz w:val="20"/>
                <w:szCs w:val="20"/>
                <w:color w:val="auto"/>
                <w:w w:val="94"/>
              </w:rPr>
              <w:t>SECTION 11.10  Secured Hedge Agreements and Secured Cash Management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0" w:type="dxa"/>
            <w:vAlign w:val="bottom"/>
            <w:gridSpan w:val="4"/>
          </w:tcPr>
          <w:p>
            <w:pPr>
              <w:jc w:val="right"/>
              <w:spacing w:after="0"/>
              <w:rPr>
                <w:sz w:val="20"/>
                <w:szCs w:val="20"/>
                <w:color w:val="auto"/>
              </w:rPr>
            </w:pPr>
            <w:r>
              <w:rPr>
                <w:rFonts w:ascii="Arial" w:cs="Arial" w:eastAsia="Arial" w:hAnsi="Arial"/>
                <w:sz w:val="10"/>
                <w:szCs w:val="10"/>
                <w:color w:val="auto"/>
                <w:w w:val="75"/>
              </w:rPr>
              <w:t>Agreements...........................................................................................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gridSpan w:val="3"/>
          </w:tcPr>
          <w:p>
            <w:pPr>
              <w:spacing w:after="0"/>
              <w:rPr>
                <w:sz w:val="21"/>
                <w:szCs w:val="21"/>
                <w:color w:val="auto"/>
              </w:rPr>
            </w:pPr>
          </w:p>
        </w:tc>
        <w:tc>
          <w:tcPr>
            <w:tcW w:w="300" w:type="dxa"/>
            <w:vAlign w:val="bottom"/>
            <w:gridSpan w:val="5"/>
          </w:tcPr>
          <w:p>
            <w:pPr>
              <w:ind w:left="20"/>
              <w:spacing w:after="0"/>
              <w:rPr>
                <w:sz w:val="20"/>
                <w:szCs w:val="20"/>
                <w:color w:val="auto"/>
              </w:rPr>
            </w:pPr>
            <w:r>
              <w:rPr>
                <w:rFonts w:ascii="Arial" w:cs="Arial" w:eastAsia="Arial" w:hAnsi="Arial"/>
                <w:sz w:val="20"/>
                <w:szCs w:val="20"/>
                <w:color w:val="FF0000"/>
                <w:strike w:val="1"/>
                <w:w w:val="77"/>
              </w:rPr>
              <w:t>143</w:t>
            </w:r>
          </w:p>
        </w:tc>
        <w:tc>
          <w:tcPr>
            <w:tcW w:w="460" w:type="dxa"/>
            <w:vAlign w:val="bottom"/>
            <w:gridSpan w:val="3"/>
          </w:tcPr>
          <w:p>
            <w:pPr>
              <w:spacing w:after="0"/>
              <w:rPr>
                <w:sz w:val="20"/>
                <w:szCs w:val="20"/>
                <w:color w:val="auto"/>
              </w:rPr>
            </w:pPr>
            <w:r>
              <w:rPr>
                <w:rFonts w:ascii="Arial" w:cs="Arial" w:eastAsia="Arial" w:hAnsi="Arial"/>
                <w:sz w:val="20"/>
                <w:szCs w:val="20"/>
                <w:color w:val="0000FF"/>
              </w:rPr>
              <w:t>149</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460" w:type="dxa"/>
            <w:vAlign w:val="bottom"/>
            <w:gridSpan w:val="7"/>
          </w:tcPr>
          <w:p>
            <w:pPr>
              <w:ind w:left="640"/>
              <w:spacing w:after="0"/>
              <w:rPr>
                <w:sz w:val="20"/>
                <w:szCs w:val="20"/>
                <w:color w:val="auto"/>
              </w:rPr>
            </w:pPr>
            <w:r>
              <w:rPr>
                <w:rFonts w:ascii="Arial" w:cs="Arial" w:eastAsia="Arial" w:hAnsi="Arial"/>
                <w:sz w:val="14"/>
                <w:szCs w:val="14"/>
                <w:color w:val="auto"/>
                <w:w w:val="70"/>
              </w:rPr>
              <w:t>SECTION 11.11 Erroneous Payments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00" w:type="dxa"/>
            <w:vAlign w:val="bottom"/>
            <w:gridSpan w:val="6"/>
          </w:tcPr>
          <w:p>
            <w:pPr>
              <w:ind w:left="120"/>
              <w:spacing w:after="0"/>
              <w:rPr>
                <w:sz w:val="20"/>
                <w:szCs w:val="20"/>
                <w:color w:val="auto"/>
              </w:rPr>
            </w:pPr>
            <w:r>
              <w:rPr>
                <w:rFonts w:ascii="Arial" w:cs="Arial" w:eastAsia="Arial" w:hAnsi="Arial"/>
                <w:sz w:val="20"/>
                <w:szCs w:val="20"/>
                <w:color w:val="FF0000"/>
                <w:strike w:val="1"/>
                <w:w w:val="77"/>
              </w:rPr>
              <w:t>144</w:t>
            </w:r>
          </w:p>
        </w:tc>
        <w:tc>
          <w:tcPr>
            <w:tcW w:w="380" w:type="dxa"/>
            <w:vAlign w:val="bottom"/>
            <w:gridSpan w:val="6"/>
          </w:tcPr>
          <w:p>
            <w:pPr>
              <w:jc w:val="right"/>
              <w:spacing w:after="0"/>
              <w:rPr>
                <w:sz w:val="20"/>
                <w:szCs w:val="20"/>
                <w:color w:val="auto"/>
              </w:rPr>
            </w:pPr>
            <w:r>
              <w:rPr>
                <w:rFonts w:ascii="Arial" w:cs="Arial" w:eastAsia="Arial" w:hAnsi="Arial"/>
                <w:sz w:val="20"/>
                <w:szCs w:val="20"/>
                <w:color w:val="0000FF"/>
                <w:w w:val="83"/>
              </w:rPr>
              <w:t>149</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900" w:type="dxa"/>
            <w:vAlign w:val="bottom"/>
            <w:gridSpan w:val="4"/>
          </w:tcPr>
          <w:p>
            <w:pPr>
              <w:spacing w:after="0"/>
              <w:rPr>
                <w:sz w:val="20"/>
                <w:szCs w:val="20"/>
                <w:color w:val="auto"/>
              </w:rPr>
            </w:pPr>
            <w:r>
              <w:rPr>
                <w:rFonts w:ascii="Arial" w:cs="Arial" w:eastAsia="Arial" w:hAnsi="Arial"/>
                <w:sz w:val="9"/>
                <w:szCs w:val="9"/>
                <w:color w:val="auto"/>
                <w:w w:val="77"/>
              </w:rPr>
              <w:t>ARTICLE XII MISCELLANEOUS ................................................................................................</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4"/>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Arial" w:cs="Arial" w:eastAsia="Arial" w:hAnsi="Arial"/>
                <w:sz w:val="20"/>
                <w:szCs w:val="20"/>
                <w:color w:val="FF0000"/>
                <w:strike w:val="1"/>
                <w:w w:val="89"/>
              </w:rPr>
              <w:t>146</w:t>
            </w:r>
          </w:p>
        </w:tc>
        <w:tc>
          <w:tcPr>
            <w:tcW w:w="540" w:type="dxa"/>
            <w:vAlign w:val="bottom"/>
            <w:gridSpan w:val="4"/>
          </w:tcPr>
          <w:p>
            <w:pPr>
              <w:jc w:val="right"/>
              <w:ind w:right="141"/>
              <w:spacing w:after="0"/>
              <w:rPr>
                <w:sz w:val="20"/>
                <w:szCs w:val="20"/>
                <w:color w:val="auto"/>
              </w:rPr>
            </w:pPr>
            <w:r>
              <w:rPr>
                <w:rFonts w:ascii="Arial" w:cs="Arial" w:eastAsia="Arial" w:hAnsi="Arial"/>
                <w:sz w:val="20"/>
                <w:szCs w:val="20"/>
                <w:color w:val="0000FF"/>
                <w:w w:val="83"/>
              </w:rPr>
              <w:t>151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60" w:top="757" w:right="439" w:bottom="1440" w:gutter="0" w:footer="0" w:header="0"/>
        </w:sect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146960219_6</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165457743_4</w:t>
      </w:r>
    </w:p>
    <w:p>
      <w:pPr>
        <w:sectPr>
          <w:pgSz w:w="11900" w:h="16838" w:orient="portrait"/>
          <w:cols w:equalWidth="0" w:num="1">
            <w:col w:w="11100"/>
          </w:cols>
          <w:pgMar w:left="360" w:top="757" w:right="439" w:bottom="1440" w:gutter="0" w:footer="0" w:header="0"/>
          <w:type w:val="continuous"/>
        </w:sectPr>
      </w:pPr>
    </w:p>
    <w:bookmarkStart w:id="74" w:name="page75"/>
    <w:bookmarkEnd w:id="74"/>
    <w:tbl>
      <w:tblPr>
        <w:tblLayout w:type="fixed"/>
        <w:tblInd w:w="700" w:type="dxa"/>
        <w:tblCellMar>
          <w:top w:w="0" w:type="dxa"/>
          <w:left w:w="0" w:type="dxa"/>
          <w:bottom w:w="0" w:type="dxa"/>
          <w:right w:w="0" w:type="dxa"/>
        </w:tblCellMar>
      </w:tblPr>
      <w:tr>
        <w:trPr>
          <w:trHeight w:val="138"/>
        </w:trPr>
        <w:tc>
          <w:tcPr>
            <w:tcW w:w="960" w:type="dxa"/>
            <w:vAlign w:val="bottom"/>
            <w:vMerge w:val="restart"/>
          </w:tcPr>
          <w:p>
            <w:pPr>
              <w:spacing w:after="0"/>
              <w:rPr>
                <w:sz w:val="20"/>
                <w:szCs w:val="20"/>
                <w:color w:val="auto"/>
              </w:rPr>
            </w:pPr>
            <w:r>
              <w:rPr>
                <w:rFonts w:ascii="Arial" w:cs="Arial" w:eastAsia="Arial" w:hAnsi="Arial"/>
                <w:sz w:val="20"/>
                <w:szCs w:val="20"/>
                <w:color w:val="auto"/>
              </w:rPr>
              <w:t>SECTION</w:t>
            </w:r>
          </w:p>
        </w:tc>
        <w:tc>
          <w:tcPr>
            <w:tcW w:w="420" w:type="dxa"/>
            <w:vAlign w:val="bottom"/>
            <w:vMerge w:val="restart"/>
          </w:tcPr>
          <w:p>
            <w:pPr>
              <w:ind w:left="20"/>
              <w:spacing w:after="0"/>
              <w:rPr>
                <w:sz w:val="20"/>
                <w:szCs w:val="20"/>
                <w:color w:val="auto"/>
              </w:rPr>
            </w:pPr>
            <w:r>
              <w:rPr>
                <w:rFonts w:ascii="Arial" w:cs="Arial" w:eastAsia="Arial" w:hAnsi="Arial"/>
                <w:sz w:val="20"/>
                <w:szCs w:val="20"/>
                <w:color w:val="auto"/>
                <w:w w:val="97"/>
              </w:rPr>
              <w:t>12.1</w:t>
            </w:r>
          </w:p>
        </w:tc>
        <w:tc>
          <w:tcPr>
            <w:tcW w:w="4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20"/>
                <w:szCs w:val="20"/>
                <w:color w:val="auto"/>
                <w:w w:val="86"/>
              </w:rPr>
              <w:t>Notices</w:t>
            </w:r>
          </w:p>
        </w:tc>
        <w:tc>
          <w:tcPr>
            <w:tcW w:w="1000" w:type="dxa"/>
            <w:vAlign w:val="bottom"/>
            <w:gridSpan w:val="2"/>
          </w:tcPr>
          <w:p>
            <w:pPr>
              <w:jc w:val="right"/>
              <w:spacing w:after="0"/>
              <w:rPr>
                <w:sz w:val="20"/>
                <w:szCs w:val="20"/>
                <w:color w:val="auto"/>
              </w:rPr>
            </w:pPr>
            <w:r>
              <w:rPr>
                <w:rFonts w:ascii="Arial" w:cs="Arial" w:eastAsia="Arial" w:hAnsi="Arial"/>
                <w:sz w:val="5"/>
                <w:szCs w:val="5"/>
                <w:color w:val="auto"/>
                <w:w w:val="71"/>
              </w:rPr>
              <w:t>..................................................................................................</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color w:val="FF0000"/>
                <w:strike w:val="1"/>
                <w:w w:val="77"/>
              </w:rPr>
              <w:t>146</w:t>
            </w:r>
          </w:p>
        </w:tc>
        <w:tc>
          <w:tcPr>
            <w:tcW w:w="3040" w:type="dxa"/>
            <w:vAlign w:val="bottom"/>
            <w:gridSpan w:val="13"/>
            <w:vMerge w:val="restart"/>
          </w:tcPr>
          <w:p>
            <w:pPr>
              <w:jc w:val="right"/>
              <w:spacing w:after="0"/>
              <w:rPr>
                <w:sz w:val="20"/>
                <w:szCs w:val="20"/>
                <w:color w:val="auto"/>
              </w:rPr>
            </w:pPr>
            <w:r>
              <w:rPr>
                <w:rFonts w:ascii="Arial" w:cs="Arial" w:eastAsia="Arial" w:hAnsi="Arial"/>
                <w:sz w:val="20"/>
                <w:szCs w:val="20"/>
                <w:color w:val="0000FF"/>
                <w:w w:val="94"/>
              </w:rPr>
              <w:t xml:space="preserve">151  </w:t>
            </w:r>
            <w:r>
              <w:rPr>
                <w:rFonts w:ascii="Arial" w:cs="Arial" w:eastAsia="Arial" w:hAnsi="Arial"/>
                <w:sz w:val="20"/>
                <w:szCs w:val="20"/>
                <w:color w:val="000000"/>
                <w:w w:val="94"/>
              </w:rPr>
              <w:t>SECTION  12.2  Amendments,</w:t>
            </w:r>
          </w:p>
        </w:tc>
        <w:tc>
          <w:tcPr>
            <w:tcW w:w="0" w:type="dxa"/>
            <w:vAlign w:val="bottom"/>
          </w:tcPr>
          <w:p>
            <w:pPr>
              <w:spacing w:after="0"/>
              <w:rPr>
                <w:sz w:val="1"/>
                <w:szCs w:val="1"/>
                <w:color w:val="auto"/>
              </w:rPr>
            </w:pPr>
          </w:p>
        </w:tc>
      </w:tr>
      <w:tr>
        <w:trPr>
          <w:trHeight w:val="112"/>
        </w:trPr>
        <w:tc>
          <w:tcPr>
            <w:tcW w:w="9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6"/>
            <w:vMerge w:val="continue"/>
          </w:tcPr>
          <w:p>
            <w:pPr>
              <w:spacing w:after="0"/>
              <w:rPr>
                <w:sz w:val="9"/>
                <w:szCs w:val="9"/>
                <w:color w:val="auto"/>
              </w:rPr>
            </w:pPr>
          </w:p>
        </w:tc>
        <w:tc>
          <w:tcPr>
            <w:tcW w:w="3040" w:type="dxa"/>
            <w:vAlign w:val="bottom"/>
            <w:gridSpan w:val="1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20"/>
                <w:szCs w:val="20"/>
                <w:color w:val="auto"/>
              </w:rPr>
              <w:t>Waivers</w:t>
            </w:r>
          </w:p>
        </w:tc>
        <w:tc>
          <w:tcPr>
            <w:tcW w:w="420" w:type="dxa"/>
            <w:vAlign w:val="bottom"/>
          </w:tcPr>
          <w:p>
            <w:pPr>
              <w:ind w:left="40"/>
              <w:spacing w:after="0"/>
              <w:rPr>
                <w:sz w:val="20"/>
                <w:szCs w:val="20"/>
                <w:color w:val="auto"/>
              </w:rPr>
            </w:pPr>
            <w:r>
              <w:rPr>
                <w:rFonts w:ascii="Arial" w:cs="Arial" w:eastAsia="Arial" w:hAnsi="Arial"/>
                <w:sz w:val="20"/>
                <w:szCs w:val="20"/>
                <w:color w:val="auto"/>
              </w:rPr>
              <w:t>and</w:t>
            </w:r>
          </w:p>
        </w:tc>
        <w:tc>
          <w:tcPr>
            <w:tcW w:w="40" w:type="dxa"/>
            <w:vAlign w:val="bottom"/>
          </w:tcPr>
          <w:p>
            <w:pPr>
              <w:spacing w:after="0"/>
              <w:rPr>
                <w:sz w:val="24"/>
                <w:szCs w:val="24"/>
                <w:color w:val="auto"/>
              </w:rPr>
            </w:pPr>
          </w:p>
        </w:tc>
        <w:tc>
          <w:tcPr>
            <w:tcW w:w="2400" w:type="dxa"/>
            <w:vAlign w:val="bottom"/>
            <w:gridSpan w:val="4"/>
          </w:tcPr>
          <w:p>
            <w:pPr>
              <w:ind w:left="220"/>
              <w:spacing w:after="0"/>
              <w:rPr>
                <w:sz w:val="20"/>
                <w:szCs w:val="20"/>
                <w:color w:val="auto"/>
              </w:rPr>
            </w:pPr>
            <w:r>
              <w:rPr>
                <w:rFonts w:ascii="Arial" w:cs="Arial" w:eastAsia="Arial" w:hAnsi="Arial"/>
                <w:sz w:val="20"/>
                <w:szCs w:val="20"/>
                <w:color w:val="auto"/>
                <w:w w:val="70"/>
              </w:rPr>
              <w:t>Consents</w:t>
            </w:r>
            <w:r>
              <w:rPr>
                <w:rFonts w:ascii="Arial" w:cs="Arial" w:eastAsia="Arial" w:hAnsi="Arial"/>
                <w:sz w:val="11"/>
                <w:szCs w:val="11"/>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20"/>
                <w:szCs w:val="20"/>
                <w:color w:val="FF0000"/>
                <w:strike w:val="1"/>
                <w:w w:val="83"/>
              </w:rPr>
              <w:t>151</w:t>
            </w:r>
          </w:p>
        </w:tc>
        <w:tc>
          <w:tcPr>
            <w:tcW w:w="340" w:type="dxa"/>
            <w:vAlign w:val="bottom"/>
            <w:gridSpan w:val="2"/>
            <w:vMerge w:val="restart"/>
          </w:tcPr>
          <w:p>
            <w:pPr>
              <w:jc w:val="right"/>
              <w:spacing w:after="0"/>
              <w:rPr>
                <w:sz w:val="20"/>
                <w:szCs w:val="20"/>
                <w:color w:val="auto"/>
              </w:rPr>
            </w:pPr>
            <w:r>
              <w:rPr>
                <w:rFonts w:ascii="Arial" w:cs="Arial" w:eastAsia="Arial" w:hAnsi="Arial"/>
                <w:sz w:val="20"/>
                <w:szCs w:val="20"/>
                <w:color w:val="0000FF"/>
                <w:w w:val="77"/>
              </w:rPr>
              <w:t>157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148</w:t>
            </w:r>
          </w:p>
        </w:tc>
        <w:tc>
          <w:tcPr>
            <w:tcW w:w="1500" w:type="dxa"/>
            <w:vAlign w:val="bottom"/>
            <w:gridSpan w:val="13"/>
          </w:tcPr>
          <w:p>
            <w:pPr>
              <w:jc w:val="right"/>
              <w:spacing w:after="0"/>
              <w:rPr>
                <w:sz w:val="20"/>
                <w:szCs w:val="20"/>
                <w:color w:val="auto"/>
              </w:rPr>
            </w:pPr>
            <w:r>
              <w:rPr>
                <w:rFonts w:ascii="Arial" w:cs="Arial" w:eastAsia="Arial" w:hAnsi="Arial"/>
                <w:sz w:val="20"/>
                <w:szCs w:val="20"/>
                <w:color w:val="0000FF"/>
              </w:rPr>
              <w:t xml:space="preserve">154    </w:t>
            </w:r>
            <w:r>
              <w:rPr>
                <w:rFonts w:ascii="Arial" w:cs="Arial" w:eastAsia="Arial" w:hAnsi="Arial"/>
                <w:sz w:val="20"/>
                <w:szCs w:val="20"/>
                <w:color w:val="000000"/>
              </w:rPr>
              <w:t>SECTION</w:t>
            </w:r>
          </w:p>
        </w:tc>
        <w:tc>
          <w:tcPr>
            <w:tcW w:w="740" w:type="dxa"/>
            <w:vAlign w:val="bottom"/>
            <w:gridSpan w:val="7"/>
          </w:tcPr>
          <w:p>
            <w:pPr>
              <w:jc w:val="right"/>
              <w:spacing w:after="0"/>
              <w:rPr>
                <w:sz w:val="20"/>
                <w:szCs w:val="20"/>
                <w:color w:val="auto"/>
              </w:rPr>
            </w:pPr>
            <w:r>
              <w:rPr>
                <w:rFonts w:ascii="Arial" w:cs="Arial" w:eastAsia="Arial" w:hAnsi="Arial"/>
                <w:sz w:val="20"/>
                <w:szCs w:val="20"/>
                <w:color w:val="auto"/>
              </w:rPr>
              <w:t>12.3</w:t>
            </w:r>
          </w:p>
        </w:tc>
        <w:tc>
          <w:tcPr>
            <w:tcW w:w="1200" w:type="dxa"/>
            <w:vAlign w:val="bottom"/>
            <w:gridSpan w:val="3"/>
          </w:tcPr>
          <w:p>
            <w:pPr>
              <w:ind w:left="280"/>
              <w:spacing w:after="0"/>
              <w:rPr>
                <w:sz w:val="20"/>
                <w:szCs w:val="20"/>
                <w:color w:val="auto"/>
              </w:rPr>
            </w:pPr>
            <w:r>
              <w:rPr>
                <w:rFonts w:ascii="Arial" w:cs="Arial" w:eastAsia="Arial" w:hAnsi="Arial"/>
                <w:sz w:val="20"/>
                <w:szCs w:val="20"/>
                <w:color w:val="auto"/>
                <w:w w:val="96"/>
              </w:rPr>
              <w:t>Expenses;</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Indemnity</w:t>
            </w:r>
          </w:p>
        </w:tc>
        <w:tc>
          <w:tcPr>
            <w:tcW w:w="0" w:type="dxa"/>
            <w:vAlign w:val="bottom"/>
          </w:tcPr>
          <w:p>
            <w:pPr>
              <w:spacing w:after="0"/>
              <w:rPr>
                <w:sz w:val="1"/>
                <w:szCs w:val="1"/>
                <w:color w:val="auto"/>
              </w:rPr>
            </w:pPr>
          </w:p>
        </w:tc>
      </w:tr>
      <w:tr>
        <w:trPr>
          <w:trHeight w:val="338"/>
        </w:trPr>
        <w:tc>
          <w:tcPr>
            <w:tcW w:w="3820" w:type="dxa"/>
            <w:vAlign w:val="bottom"/>
            <w:gridSpan w:val="7"/>
            <w:vMerge w:val="restart"/>
          </w:tcPr>
          <w:p>
            <w:pPr>
              <w:spacing w:after="0"/>
              <w:rPr>
                <w:sz w:val="20"/>
                <w:szCs w:val="20"/>
                <w:color w:val="auto"/>
              </w:rPr>
            </w:pPr>
            <w:r>
              <w:rPr>
                <w:rFonts w:ascii="Arial" w:cs="Arial" w:eastAsia="Arial" w:hAnsi="Arial"/>
                <w:sz w:val="11"/>
                <w:szCs w:val="11"/>
                <w:color w:val="auto"/>
                <w:w w:val="70"/>
                <w:vertAlign w:val="subscript"/>
              </w:rPr>
              <w:t>SECTION</w:t>
            </w:r>
            <w:r>
              <w:rPr>
                <w:rFonts w:ascii="Arial" w:cs="Arial" w:eastAsia="Arial" w:hAnsi="Arial"/>
                <w:sz w:val="10"/>
                <w:szCs w:val="10"/>
                <w:color w:val="auto"/>
                <w:w w:val="70"/>
              </w:rPr>
              <w:t>............................................................................</w:t>
            </w:r>
            <w:r>
              <w:rPr>
                <w:rFonts w:ascii="Arial" w:cs="Arial" w:eastAsia="Arial" w:hAnsi="Arial"/>
                <w:sz w:val="11"/>
                <w:szCs w:val="11"/>
                <w:color w:val="auto"/>
                <w:w w:val="70"/>
                <w:vertAlign w:val="subscript"/>
              </w:rPr>
              <w:t>12.4RightofSetoff</w:t>
            </w:r>
            <w:r>
              <w:rPr>
                <w:rFonts w:ascii="Arial" w:cs="Arial" w:eastAsia="Arial" w:hAnsi="Arial"/>
                <w:sz w:val="10"/>
                <w:szCs w:val="10"/>
                <w:color w:val="auto"/>
                <w:w w:val="70"/>
              </w:rPr>
              <w:t>......................................................................................</w:t>
            </w:r>
          </w:p>
        </w:tc>
        <w:tc>
          <w:tcPr>
            <w:tcW w:w="30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3"/>
              </w:rPr>
              <w:t>153</w:t>
            </w:r>
          </w:p>
        </w:tc>
        <w:tc>
          <w:tcPr>
            <w:tcW w:w="3080" w:type="dxa"/>
            <w:vAlign w:val="bottom"/>
            <w:gridSpan w:val="15"/>
            <w:vMerge w:val="restart"/>
          </w:tcPr>
          <w:p>
            <w:pPr>
              <w:jc w:val="right"/>
              <w:spacing w:after="0"/>
              <w:rPr>
                <w:sz w:val="20"/>
                <w:szCs w:val="20"/>
                <w:color w:val="auto"/>
              </w:rPr>
            </w:pPr>
            <w:r>
              <w:rPr>
                <w:rFonts w:ascii="Arial" w:cs="Arial" w:eastAsia="Arial" w:hAnsi="Arial"/>
                <w:sz w:val="20"/>
                <w:szCs w:val="20"/>
                <w:color w:val="0000FF"/>
                <w:w w:val="96"/>
              </w:rPr>
              <w:t xml:space="preserve">158 </w:t>
            </w:r>
            <w:r>
              <w:rPr>
                <w:rFonts w:ascii="Arial" w:cs="Arial" w:eastAsia="Arial" w:hAnsi="Arial"/>
                <w:sz w:val="20"/>
                <w:szCs w:val="20"/>
                <w:color w:val="000000"/>
                <w:w w:val="96"/>
              </w:rPr>
              <w:t>SECTION 12.5 Governing Law;</w:t>
            </w:r>
          </w:p>
        </w:tc>
        <w:tc>
          <w:tcPr>
            <w:tcW w:w="0" w:type="dxa"/>
            <w:vAlign w:val="bottom"/>
          </w:tcPr>
          <w:p>
            <w:pPr>
              <w:spacing w:after="0"/>
              <w:rPr>
                <w:sz w:val="1"/>
                <w:szCs w:val="1"/>
                <w:color w:val="auto"/>
              </w:rPr>
            </w:pPr>
          </w:p>
        </w:tc>
      </w:tr>
      <w:tr>
        <w:trPr>
          <w:trHeight w:val="338"/>
        </w:trPr>
        <w:tc>
          <w:tcPr>
            <w:tcW w:w="3820" w:type="dxa"/>
            <w:vAlign w:val="bottom"/>
            <w:gridSpan w:val="7"/>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308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80" w:type="dxa"/>
            <w:vAlign w:val="bottom"/>
            <w:gridSpan w:val="2"/>
          </w:tcPr>
          <w:p>
            <w:pPr>
              <w:spacing w:after="0"/>
              <w:rPr>
                <w:sz w:val="20"/>
                <w:szCs w:val="20"/>
                <w:color w:val="auto"/>
              </w:rPr>
            </w:pPr>
            <w:r>
              <w:rPr>
                <w:rFonts w:ascii="Arial" w:cs="Arial" w:eastAsia="Arial" w:hAnsi="Arial"/>
                <w:sz w:val="8"/>
                <w:szCs w:val="8"/>
                <w:color w:val="auto"/>
                <w:w w:val="74"/>
              </w:rPr>
              <w:t>Jurisdiction, Etc.........................................................</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153</w:t>
            </w:r>
          </w:p>
        </w:tc>
        <w:tc>
          <w:tcPr>
            <w:tcW w:w="320" w:type="dxa"/>
            <w:vAlign w:val="bottom"/>
            <w:gridSpan w:val="2"/>
          </w:tcPr>
          <w:p>
            <w:pPr>
              <w:jc w:val="right"/>
              <w:spacing w:after="0"/>
              <w:rPr>
                <w:sz w:val="20"/>
                <w:szCs w:val="20"/>
                <w:color w:val="auto"/>
              </w:rPr>
            </w:pPr>
            <w:r>
              <w:rPr>
                <w:rFonts w:ascii="Arial" w:cs="Arial" w:eastAsia="Arial" w:hAnsi="Arial"/>
                <w:sz w:val="20"/>
                <w:szCs w:val="20"/>
                <w:color w:val="0000FF"/>
                <w:w w:val="83"/>
              </w:rPr>
              <w:t>159</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gridSpan w:val="7"/>
          </w:tcPr>
          <w:p>
            <w:pPr>
              <w:spacing w:after="0"/>
              <w:rPr>
                <w:sz w:val="20"/>
                <w:szCs w:val="20"/>
                <w:color w:val="auto"/>
              </w:rPr>
            </w:pPr>
            <w:r>
              <w:rPr>
                <w:rFonts w:ascii="Arial" w:cs="Arial" w:eastAsia="Arial" w:hAnsi="Arial"/>
                <w:sz w:val="14"/>
                <w:szCs w:val="14"/>
                <w:color w:val="auto"/>
                <w:w w:val="72"/>
              </w:rPr>
              <w:t>SECTION 12.6 Waiver of Jury Trial .............................................................................</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gridSpan w:val="4"/>
          </w:tcPr>
          <w:p>
            <w:pPr>
              <w:ind w:left="40"/>
              <w:spacing w:after="0"/>
              <w:rPr>
                <w:sz w:val="20"/>
                <w:szCs w:val="20"/>
                <w:color w:val="auto"/>
              </w:rPr>
            </w:pPr>
            <w:r>
              <w:rPr>
                <w:rFonts w:ascii="Arial" w:cs="Arial" w:eastAsia="Arial" w:hAnsi="Arial"/>
                <w:sz w:val="20"/>
                <w:szCs w:val="20"/>
                <w:color w:val="FF0000"/>
                <w:strike w:val="1"/>
                <w:w w:val="77"/>
              </w:rPr>
              <w:t>154</w:t>
            </w:r>
          </w:p>
        </w:tc>
        <w:tc>
          <w:tcPr>
            <w:tcW w:w="320" w:type="dxa"/>
            <w:vAlign w:val="bottom"/>
            <w:gridSpan w:val="7"/>
          </w:tcPr>
          <w:p>
            <w:pPr>
              <w:jc w:val="right"/>
              <w:spacing w:after="0"/>
              <w:rPr>
                <w:sz w:val="20"/>
                <w:szCs w:val="20"/>
                <w:color w:val="auto"/>
              </w:rPr>
            </w:pPr>
            <w:r>
              <w:rPr>
                <w:rFonts w:ascii="Arial" w:cs="Arial" w:eastAsia="Arial" w:hAnsi="Arial"/>
                <w:sz w:val="20"/>
                <w:szCs w:val="20"/>
                <w:color w:val="0000FF"/>
                <w:w w:val="83"/>
              </w:rPr>
              <w:t>160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820" w:type="dxa"/>
            <w:vAlign w:val="bottom"/>
            <w:gridSpan w:val="7"/>
          </w:tcPr>
          <w:p>
            <w:pPr>
              <w:spacing w:after="0"/>
              <w:rPr>
                <w:sz w:val="20"/>
                <w:szCs w:val="20"/>
                <w:color w:val="auto"/>
              </w:rPr>
            </w:pPr>
            <w:r>
              <w:rPr>
                <w:rFonts w:ascii="Arial" w:cs="Arial" w:eastAsia="Arial" w:hAnsi="Arial"/>
                <w:sz w:val="14"/>
                <w:szCs w:val="14"/>
                <w:color w:val="auto"/>
                <w:w w:val="71"/>
              </w:rPr>
              <w:t>SECTION 12.7 Reversal of Payments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5"/>
          </w:tcPr>
          <w:p>
            <w:pPr>
              <w:ind w:left="60"/>
              <w:spacing w:after="0"/>
              <w:rPr>
                <w:sz w:val="20"/>
                <w:szCs w:val="20"/>
                <w:color w:val="auto"/>
              </w:rPr>
            </w:pPr>
            <w:r>
              <w:rPr>
                <w:rFonts w:ascii="Arial" w:cs="Arial" w:eastAsia="Arial" w:hAnsi="Arial"/>
                <w:sz w:val="20"/>
                <w:szCs w:val="20"/>
                <w:color w:val="FF0000"/>
                <w:strike w:val="1"/>
                <w:w w:val="83"/>
              </w:rPr>
              <w:t>154</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83"/>
              </w:rPr>
              <w:t>160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20" w:type="dxa"/>
            <w:vAlign w:val="bottom"/>
            <w:gridSpan w:val="7"/>
          </w:tcPr>
          <w:p>
            <w:pPr>
              <w:spacing w:after="0"/>
              <w:rPr>
                <w:sz w:val="20"/>
                <w:szCs w:val="20"/>
                <w:color w:val="auto"/>
              </w:rPr>
            </w:pPr>
            <w:r>
              <w:rPr>
                <w:rFonts w:ascii="Arial" w:cs="Arial" w:eastAsia="Arial" w:hAnsi="Arial"/>
                <w:sz w:val="14"/>
                <w:szCs w:val="14"/>
                <w:color w:val="auto"/>
                <w:w w:val="72"/>
              </w:rPr>
              <w:t>SECTION 12.8 Injunctive Relief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5"/>
          </w:tcPr>
          <w:p>
            <w:pPr>
              <w:ind w:left="60"/>
              <w:spacing w:after="0"/>
              <w:rPr>
                <w:sz w:val="20"/>
                <w:szCs w:val="20"/>
                <w:color w:val="auto"/>
              </w:rPr>
            </w:pPr>
            <w:r>
              <w:rPr>
                <w:rFonts w:ascii="Arial" w:cs="Arial" w:eastAsia="Arial" w:hAnsi="Arial"/>
                <w:sz w:val="20"/>
                <w:szCs w:val="20"/>
                <w:color w:val="FF0000"/>
                <w:strike w:val="1"/>
                <w:w w:val="83"/>
              </w:rPr>
              <w:t>155</w:t>
            </w:r>
          </w:p>
        </w:tc>
        <w:tc>
          <w:tcPr>
            <w:tcW w:w="340" w:type="dxa"/>
            <w:vAlign w:val="bottom"/>
            <w:gridSpan w:val="8"/>
          </w:tcPr>
          <w:p>
            <w:pPr>
              <w:jc w:val="right"/>
              <w:spacing w:after="0"/>
              <w:rPr>
                <w:sz w:val="20"/>
                <w:szCs w:val="20"/>
                <w:color w:val="auto"/>
              </w:rPr>
            </w:pPr>
            <w:r>
              <w:rPr>
                <w:rFonts w:ascii="Arial" w:cs="Arial" w:eastAsia="Arial" w:hAnsi="Arial"/>
                <w:sz w:val="20"/>
                <w:szCs w:val="20"/>
                <w:color w:val="0000FF"/>
                <w:w w:val="83"/>
              </w:rPr>
              <w:t>160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gridSpan w:val="19"/>
          </w:tcPr>
          <w:p>
            <w:pPr>
              <w:spacing w:after="0"/>
              <w:rPr>
                <w:sz w:val="20"/>
                <w:szCs w:val="20"/>
                <w:color w:val="auto"/>
              </w:rPr>
            </w:pPr>
            <w:r>
              <w:rPr>
                <w:rFonts w:ascii="Arial" w:cs="Arial" w:eastAsia="Arial" w:hAnsi="Arial"/>
                <w:sz w:val="20"/>
                <w:szCs w:val="20"/>
                <w:color w:val="auto"/>
                <w:w w:val="89"/>
              </w:rPr>
              <w:t>SECTION 12.9 Successors and Assigns; Participations................................................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155</w:t>
            </w:r>
          </w:p>
        </w:tc>
        <w:tc>
          <w:tcPr>
            <w:tcW w:w="2980" w:type="dxa"/>
            <w:vAlign w:val="bottom"/>
            <w:gridSpan w:val="11"/>
          </w:tcPr>
          <w:p>
            <w:pPr>
              <w:jc w:val="right"/>
              <w:spacing w:after="0"/>
              <w:rPr>
                <w:sz w:val="20"/>
                <w:szCs w:val="20"/>
                <w:color w:val="auto"/>
              </w:rPr>
            </w:pPr>
            <w:r>
              <w:rPr>
                <w:rFonts w:ascii="Arial" w:cs="Arial" w:eastAsia="Arial" w:hAnsi="Arial"/>
                <w:sz w:val="20"/>
                <w:szCs w:val="20"/>
                <w:color w:val="0000FF"/>
                <w:w w:val="97"/>
              </w:rPr>
              <w:t xml:space="preserve">160 </w:t>
            </w:r>
            <w:r>
              <w:rPr>
                <w:rFonts w:ascii="Arial" w:cs="Arial" w:eastAsia="Arial" w:hAnsi="Arial"/>
                <w:sz w:val="20"/>
                <w:szCs w:val="20"/>
                <w:color w:val="000000"/>
                <w:w w:val="97"/>
              </w:rPr>
              <w:t>SECTION 12.10 Treatment of</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20"/>
                <w:szCs w:val="20"/>
                <w:color w:val="auto"/>
              </w:rPr>
              <w:t>Certain</w:t>
            </w:r>
          </w:p>
        </w:tc>
        <w:tc>
          <w:tcPr>
            <w:tcW w:w="1120" w:type="dxa"/>
            <w:vAlign w:val="bottom"/>
            <w:gridSpan w:val="3"/>
          </w:tcPr>
          <w:p>
            <w:pPr>
              <w:ind w:left="20"/>
              <w:spacing w:after="0"/>
              <w:rPr>
                <w:sz w:val="20"/>
                <w:szCs w:val="20"/>
                <w:color w:val="auto"/>
              </w:rPr>
            </w:pPr>
            <w:r>
              <w:rPr>
                <w:rFonts w:ascii="Arial" w:cs="Arial" w:eastAsia="Arial" w:hAnsi="Arial"/>
                <w:sz w:val="20"/>
                <w:szCs w:val="20"/>
                <w:color w:val="auto"/>
              </w:rPr>
              <w:t>Information;</w:t>
            </w:r>
          </w:p>
        </w:tc>
        <w:tc>
          <w:tcPr>
            <w:tcW w:w="1740" w:type="dxa"/>
            <w:vAlign w:val="bottom"/>
            <w:gridSpan w:val="3"/>
          </w:tcPr>
          <w:p>
            <w:pPr>
              <w:jc w:val="right"/>
              <w:ind w:right="161"/>
              <w:spacing w:after="0"/>
              <w:rPr>
                <w:sz w:val="20"/>
                <w:szCs w:val="20"/>
                <w:color w:val="auto"/>
              </w:rPr>
            </w:pPr>
            <w:r>
              <w:rPr>
                <w:rFonts w:ascii="Arial" w:cs="Arial" w:eastAsia="Arial" w:hAnsi="Arial"/>
                <w:sz w:val="20"/>
                <w:szCs w:val="20"/>
                <w:color w:val="auto"/>
              </w:rPr>
              <w:t>Confidentiality</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w w:val="76"/>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20"/>
                <w:szCs w:val="20"/>
                <w:color w:val="FF0000"/>
                <w:strike w:val="1"/>
              </w:rPr>
              <w:t>159</w:t>
            </w:r>
          </w:p>
        </w:tc>
        <w:tc>
          <w:tcPr>
            <w:tcW w:w="660" w:type="dxa"/>
            <w:vAlign w:val="bottom"/>
          </w:tcPr>
          <w:p>
            <w:pPr>
              <w:jc w:val="right"/>
              <w:ind w:right="261"/>
              <w:spacing w:after="0"/>
              <w:rPr>
                <w:sz w:val="20"/>
                <w:szCs w:val="20"/>
                <w:color w:val="auto"/>
              </w:rPr>
            </w:pPr>
            <w:r>
              <w:rPr>
                <w:rFonts w:ascii="Arial" w:cs="Arial" w:eastAsia="Arial" w:hAnsi="Arial"/>
                <w:sz w:val="20"/>
                <w:szCs w:val="20"/>
                <w:color w:val="0000FF"/>
                <w:w w:val="83"/>
              </w:rPr>
              <w:t>164</w:t>
            </w:r>
          </w:p>
        </w:tc>
        <w:tc>
          <w:tcPr>
            <w:tcW w:w="1120" w:type="dxa"/>
            <w:vAlign w:val="bottom"/>
            <w:gridSpan w:val="17"/>
          </w:tcPr>
          <w:p>
            <w:pPr>
              <w:ind w:left="20"/>
              <w:spacing w:after="0"/>
              <w:rPr>
                <w:sz w:val="20"/>
                <w:szCs w:val="20"/>
                <w:color w:val="auto"/>
              </w:rPr>
            </w:pPr>
            <w:r>
              <w:rPr>
                <w:rFonts w:ascii="Arial" w:cs="Arial" w:eastAsia="Arial" w:hAnsi="Arial"/>
                <w:sz w:val="20"/>
                <w:szCs w:val="20"/>
                <w:color w:val="auto"/>
              </w:rPr>
              <w:t>SECTION</w:t>
            </w:r>
          </w:p>
        </w:tc>
        <w:tc>
          <w:tcPr>
            <w:tcW w:w="920" w:type="dxa"/>
            <w:vAlign w:val="bottom"/>
            <w:gridSpan w:val="2"/>
          </w:tcPr>
          <w:p>
            <w:pPr>
              <w:jc w:val="right"/>
              <w:ind w:right="261"/>
              <w:spacing w:after="0"/>
              <w:rPr>
                <w:sz w:val="20"/>
                <w:szCs w:val="20"/>
                <w:color w:val="auto"/>
              </w:rPr>
            </w:pPr>
            <w:r>
              <w:rPr>
                <w:rFonts w:ascii="Arial" w:cs="Arial" w:eastAsia="Arial" w:hAnsi="Arial"/>
                <w:sz w:val="20"/>
                <w:szCs w:val="20"/>
                <w:color w:val="auto"/>
              </w:rPr>
              <w:t>12.11</w:t>
            </w:r>
          </w:p>
        </w:tc>
        <w:tc>
          <w:tcPr>
            <w:tcW w:w="1400" w:type="dxa"/>
            <w:vAlign w:val="bottom"/>
            <w:gridSpan w:val="3"/>
          </w:tcPr>
          <w:p>
            <w:pPr>
              <w:ind w:left="40"/>
              <w:spacing w:after="0"/>
              <w:rPr>
                <w:sz w:val="20"/>
                <w:szCs w:val="20"/>
                <w:color w:val="auto"/>
              </w:rPr>
            </w:pPr>
            <w:r>
              <w:rPr>
                <w:rFonts w:ascii="Arial" w:cs="Arial" w:eastAsia="Arial" w:hAnsi="Arial"/>
                <w:sz w:val="20"/>
                <w:szCs w:val="20"/>
                <w:color w:val="auto"/>
              </w:rPr>
              <w:t>Performance</w:t>
            </w:r>
          </w:p>
        </w:tc>
        <w:tc>
          <w:tcPr>
            <w:tcW w:w="200" w:type="dxa"/>
            <w:vAlign w:val="bottom"/>
          </w:tcPr>
          <w:p>
            <w:pPr>
              <w:jc w:val="right"/>
              <w:spacing w:after="0"/>
              <w:rPr>
                <w:sz w:val="20"/>
                <w:szCs w:val="20"/>
                <w:color w:val="auto"/>
              </w:rPr>
            </w:pPr>
            <w:r>
              <w:rPr>
                <w:rFonts w:ascii="Arial" w:cs="Arial" w:eastAsia="Arial" w:hAnsi="Arial"/>
                <w:sz w:val="20"/>
                <w:szCs w:val="20"/>
                <w:color w:val="auto"/>
              </w:rPr>
              <w:t>of</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5"/>
                <w:szCs w:val="5"/>
                <w:color w:val="auto"/>
                <w:w w:val="80"/>
              </w:rPr>
              <w:t>Duties..........................................................................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160</w:t>
            </w:r>
          </w:p>
        </w:tc>
        <w:tc>
          <w:tcPr>
            <w:tcW w:w="540" w:type="dxa"/>
            <w:vAlign w:val="bottom"/>
            <w:gridSpan w:val="2"/>
          </w:tcPr>
          <w:p>
            <w:pPr>
              <w:jc w:val="right"/>
              <w:ind w:right="141"/>
              <w:spacing w:after="0"/>
              <w:rPr>
                <w:sz w:val="20"/>
                <w:szCs w:val="20"/>
                <w:color w:val="auto"/>
              </w:rPr>
            </w:pPr>
            <w:r>
              <w:rPr>
                <w:rFonts w:ascii="Arial" w:cs="Arial" w:eastAsia="Arial" w:hAnsi="Arial"/>
                <w:sz w:val="20"/>
                <w:szCs w:val="20"/>
                <w:color w:val="0000FF"/>
                <w:w w:val="83"/>
              </w:rPr>
              <w:t>165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20"/>
                <w:szCs w:val="20"/>
                <w:color w:val="auto"/>
              </w:rPr>
              <w:t>SECTION</w:t>
            </w:r>
          </w:p>
        </w:tc>
        <w:tc>
          <w:tcPr>
            <w:tcW w:w="460" w:type="dxa"/>
            <w:vAlign w:val="bottom"/>
            <w:gridSpan w:val="2"/>
          </w:tcPr>
          <w:p>
            <w:pPr>
              <w:spacing w:after="0"/>
              <w:rPr>
                <w:sz w:val="20"/>
                <w:szCs w:val="20"/>
                <w:color w:val="auto"/>
              </w:rPr>
            </w:pPr>
            <w:r>
              <w:rPr>
                <w:rFonts w:ascii="Arial" w:cs="Arial" w:eastAsia="Arial" w:hAnsi="Arial"/>
                <w:sz w:val="20"/>
                <w:szCs w:val="20"/>
                <w:color w:val="auto"/>
                <w:w w:val="87"/>
              </w:rPr>
              <w:t>12.12</w:t>
            </w:r>
          </w:p>
        </w:tc>
        <w:tc>
          <w:tcPr>
            <w:tcW w:w="2400" w:type="dxa"/>
            <w:vAlign w:val="bottom"/>
            <w:gridSpan w:val="4"/>
          </w:tcPr>
          <w:p>
            <w:pPr>
              <w:ind w:left="120"/>
              <w:spacing w:after="0"/>
              <w:rPr>
                <w:sz w:val="20"/>
                <w:szCs w:val="20"/>
                <w:color w:val="auto"/>
              </w:rPr>
            </w:pPr>
            <w:r>
              <w:rPr>
                <w:rFonts w:ascii="Arial" w:cs="Arial" w:eastAsia="Arial" w:hAnsi="Arial"/>
                <w:sz w:val="20"/>
                <w:szCs w:val="20"/>
                <w:color w:val="auto"/>
              </w:rPr>
              <w:t>All Powers Coupled with</w:t>
            </w:r>
          </w:p>
        </w:tc>
        <w:tc>
          <w:tcPr>
            <w:tcW w:w="2940" w:type="dxa"/>
            <w:vAlign w:val="bottom"/>
            <w:gridSpan w:val="12"/>
          </w:tcPr>
          <w:p>
            <w:pPr>
              <w:jc w:val="right"/>
              <w:spacing w:after="0"/>
              <w:rPr>
                <w:sz w:val="20"/>
                <w:szCs w:val="20"/>
                <w:color w:val="auto"/>
              </w:rPr>
            </w:pPr>
            <w:r>
              <w:rPr>
                <w:rFonts w:ascii="Arial" w:cs="Arial" w:eastAsia="Arial" w:hAnsi="Arial"/>
                <w:sz w:val="20"/>
                <w:szCs w:val="20"/>
                <w:color w:val="auto"/>
                <w:w w:val="77"/>
              </w:rPr>
              <w:t>Interest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160</w:t>
            </w:r>
          </w:p>
        </w:tc>
        <w:tc>
          <w:tcPr>
            <w:tcW w:w="360" w:type="dxa"/>
            <w:vAlign w:val="bottom"/>
            <w:gridSpan w:val="2"/>
          </w:tcPr>
          <w:p>
            <w:pPr>
              <w:jc w:val="right"/>
              <w:spacing w:after="0"/>
              <w:rPr>
                <w:sz w:val="20"/>
                <w:szCs w:val="20"/>
                <w:color w:val="auto"/>
              </w:rPr>
            </w:pPr>
            <w:r>
              <w:rPr>
                <w:rFonts w:ascii="Arial" w:cs="Arial" w:eastAsia="Arial" w:hAnsi="Arial"/>
                <w:sz w:val="20"/>
                <w:szCs w:val="20"/>
                <w:color w:val="0000FF"/>
                <w:w w:val="83"/>
              </w:rPr>
              <w:t>165</w:t>
            </w:r>
          </w:p>
        </w:tc>
        <w:tc>
          <w:tcPr>
            <w:tcW w:w="960" w:type="dxa"/>
            <w:vAlign w:val="bottom"/>
            <w:gridSpan w:val="2"/>
          </w:tcPr>
          <w:p>
            <w:pPr>
              <w:ind w:left="60"/>
              <w:spacing w:after="0"/>
              <w:rPr>
                <w:sz w:val="20"/>
                <w:szCs w:val="20"/>
                <w:color w:val="auto"/>
              </w:rPr>
            </w:pPr>
            <w:r>
              <w:rPr>
                <w:rFonts w:ascii="Arial" w:cs="Arial" w:eastAsia="Arial" w:hAnsi="Arial"/>
                <w:sz w:val="20"/>
                <w:szCs w:val="20"/>
                <w:color w:val="auto"/>
                <w:w w:val="98"/>
              </w:rPr>
              <w:t>SECTION</w:t>
            </w: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12.13 Survival</w:t>
            </w:r>
          </w:p>
        </w:tc>
        <w:tc>
          <w:tcPr>
            <w:tcW w:w="0" w:type="dxa"/>
            <w:vAlign w:val="bottom"/>
          </w:tcPr>
          <w:p>
            <w:pPr>
              <w:spacing w:after="0"/>
              <w:rPr>
                <w:sz w:val="1"/>
                <w:szCs w:val="1"/>
                <w:color w:val="auto"/>
              </w:rPr>
            </w:pPr>
          </w:p>
        </w:tc>
      </w:tr>
      <w:tr>
        <w:trPr>
          <w:trHeight w:val="338"/>
        </w:trPr>
        <w:tc>
          <w:tcPr>
            <w:tcW w:w="1380" w:type="dxa"/>
            <w:vAlign w:val="bottom"/>
            <w:gridSpan w:val="2"/>
            <w:vMerge w:val="restart"/>
          </w:tcPr>
          <w:p>
            <w:pPr>
              <w:spacing w:after="0"/>
              <w:rPr>
                <w:sz w:val="20"/>
                <w:szCs w:val="20"/>
                <w:color w:val="auto"/>
              </w:rPr>
            </w:pPr>
            <w:r>
              <w:rPr>
                <w:rFonts w:ascii="Arial" w:cs="Arial" w:eastAsia="Arial" w:hAnsi="Arial"/>
                <w:sz w:val="9"/>
                <w:szCs w:val="9"/>
                <w:color w:val="auto"/>
                <w:w w:val="77"/>
                <w:vertAlign w:val="subscript"/>
              </w:rPr>
              <w:t>SECTION</w:t>
            </w:r>
            <w:r>
              <w:rPr>
                <w:rFonts w:ascii="Arial" w:cs="Arial" w:eastAsia="Arial" w:hAnsi="Arial"/>
                <w:sz w:val="5"/>
                <w:szCs w:val="5"/>
                <w:color w:val="auto"/>
                <w:w w:val="77"/>
              </w:rPr>
              <w:t>................................................................................................</w:t>
            </w:r>
            <w:r>
              <w:rPr>
                <w:rFonts w:ascii="Arial" w:cs="Arial" w:eastAsia="Arial" w:hAnsi="Arial"/>
                <w:sz w:val="9"/>
                <w:szCs w:val="9"/>
                <w:color w:val="auto"/>
                <w:w w:val="77"/>
                <w:vertAlign w:val="subscript"/>
              </w:rPr>
              <w:t>12.14</w:t>
            </w:r>
          </w:p>
        </w:tc>
        <w:tc>
          <w:tcPr>
            <w:tcW w:w="2440" w:type="dxa"/>
            <w:vAlign w:val="bottom"/>
            <w:gridSpan w:val="5"/>
            <w:vMerge w:val="restart"/>
          </w:tcPr>
          <w:p>
            <w:pPr>
              <w:jc w:val="right"/>
              <w:spacing w:after="0"/>
              <w:rPr>
                <w:sz w:val="20"/>
                <w:szCs w:val="20"/>
                <w:color w:val="auto"/>
              </w:rPr>
            </w:pPr>
            <w:r>
              <w:rPr>
                <w:rFonts w:ascii="Arial" w:cs="Arial" w:eastAsia="Arial" w:hAnsi="Arial"/>
                <w:sz w:val="20"/>
                <w:szCs w:val="20"/>
                <w:color w:val="auto"/>
                <w:w w:val="88"/>
              </w:rPr>
              <w:t>Titles and Captions...............................................................................</w:t>
            </w:r>
          </w:p>
        </w:tc>
        <w:tc>
          <w:tcPr>
            <w:tcW w:w="64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160</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0000FF"/>
                <w:w w:val="83"/>
              </w:rPr>
              <w:t>165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3"/>
              </w:rPr>
              <w:t>160</w:t>
            </w:r>
          </w:p>
        </w:tc>
        <w:tc>
          <w:tcPr>
            <w:tcW w:w="300" w:type="dxa"/>
            <w:vAlign w:val="bottom"/>
            <w:gridSpan w:val="8"/>
            <w:vMerge w:val="restart"/>
          </w:tcPr>
          <w:p>
            <w:pPr>
              <w:jc w:val="right"/>
              <w:spacing w:after="0"/>
              <w:rPr>
                <w:sz w:val="20"/>
                <w:szCs w:val="20"/>
                <w:color w:val="auto"/>
              </w:rPr>
            </w:pPr>
            <w:r>
              <w:rPr>
                <w:rFonts w:ascii="Arial" w:cs="Arial" w:eastAsia="Arial" w:hAnsi="Arial"/>
                <w:sz w:val="20"/>
                <w:szCs w:val="20"/>
                <w:color w:val="0000FF"/>
                <w:w w:val="77"/>
              </w:rPr>
              <w:t>165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80" w:type="dxa"/>
            <w:vAlign w:val="bottom"/>
            <w:gridSpan w:val="2"/>
            <w:vMerge w:val="continue"/>
          </w:tcPr>
          <w:p>
            <w:pPr>
              <w:spacing w:after="0"/>
              <w:rPr>
                <w:sz w:val="24"/>
                <w:szCs w:val="24"/>
                <w:color w:val="auto"/>
              </w:rPr>
            </w:pPr>
          </w:p>
        </w:tc>
        <w:tc>
          <w:tcPr>
            <w:tcW w:w="244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30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gridSpan w:val="2"/>
          </w:tcPr>
          <w:p>
            <w:pPr>
              <w:spacing w:after="0"/>
              <w:rPr>
                <w:sz w:val="20"/>
                <w:szCs w:val="20"/>
                <w:color w:val="auto"/>
              </w:rPr>
            </w:pPr>
            <w:r>
              <w:rPr>
                <w:rFonts w:ascii="Arial" w:cs="Arial" w:eastAsia="Arial" w:hAnsi="Arial"/>
                <w:sz w:val="20"/>
                <w:szCs w:val="20"/>
                <w:color w:val="auto"/>
                <w:w w:val="94"/>
              </w:rPr>
              <w:t>SECTION 12.15</w:t>
            </w:r>
          </w:p>
        </w:tc>
        <w:tc>
          <w:tcPr>
            <w:tcW w:w="2440" w:type="dxa"/>
            <w:vAlign w:val="bottom"/>
            <w:gridSpan w:val="5"/>
          </w:tcPr>
          <w:p>
            <w:pPr>
              <w:jc w:val="right"/>
              <w:spacing w:after="0"/>
              <w:rPr>
                <w:sz w:val="20"/>
                <w:szCs w:val="20"/>
                <w:color w:val="auto"/>
              </w:rPr>
            </w:pPr>
            <w:r>
              <w:rPr>
                <w:rFonts w:ascii="Arial" w:cs="Arial" w:eastAsia="Arial" w:hAnsi="Arial"/>
                <w:sz w:val="12"/>
                <w:szCs w:val="12"/>
                <w:color w:val="auto"/>
                <w:w w:val="74"/>
              </w:rPr>
              <w:t>Severability of Provisions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160</w:t>
            </w:r>
          </w:p>
        </w:tc>
        <w:tc>
          <w:tcPr>
            <w:tcW w:w="560" w:type="dxa"/>
            <w:vAlign w:val="bottom"/>
            <w:gridSpan w:val="8"/>
          </w:tcPr>
          <w:p>
            <w:pPr>
              <w:jc w:val="right"/>
              <w:ind w:right="161"/>
              <w:spacing w:after="0"/>
              <w:rPr>
                <w:sz w:val="20"/>
                <w:szCs w:val="20"/>
                <w:color w:val="auto"/>
              </w:rPr>
            </w:pPr>
            <w:r>
              <w:rPr>
                <w:rFonts w:ascii="Arial" w:cs="Arial" w:eastAsia="Arial" w:hAnsi="Arial"/>
                <w:sz w:val="20"/>
                <w:szCs w:val="20"/>
                <w:color w:val="0000FF"/>
                <w:w w:val="83"/>
              </w:rPr>
              <w:t>166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760" w:type="dxa"/>
            <w:vAlign w:val="bottom"/>
            <w:gridSpan w:val="19"/>
            <w:vMerge w:val="restart"/>
          </w:tcPr>
          <w:p>
            <w:pPr>
              <w:spacing w:after="0"/>
              <w:rPr>
                <w:sz w:val="20"/>
                <w:szCs w:val="20"/>
                <w:color w:val="auto"/>
              </w:rPr>
            </w:pPr>
            <w:r>
              <w:rPr>
                <w:rFonts w:ascii="Arial" w:cs="Arial" w:eastAsia="Arial" w:hAnsi="Arial"/>
                <w:sz w:val="20"/>
                <w:szCs w:val="20"/>
                <w:color w:val="auto"/>
                <w:w w:val="97"/>
              </w:rPr>
              <w:t>SECTION 12.16 Counterparts; Integration; Effectiveness; Electronic Execution</w:t>
            </w:r>
          </w:p>
        </w:tc>
        <w:tc>
          <w:tcPr>
            <w:tcW w:w="140" w:type="dxa"/>
            <w:vAlign w:val="bottom"/>
            <w:gridSpan w:val="2"/>
          </w:tcPr>
          <w:p>
            <w:pPr>
              <w:ind w:left="80"/>
              <w:spacing w:after="0"/>
              <w:rPr>
                <w:sz w:val="20"/>
                <w:szCs w:val="20"/>
                <w:color w:val="auto"/>
              </w:rPr>
            </w:pPr>
            <w:r>
              <w:rPr>
                <w:rFonts w:ascii="Arial" w:cs="Arial" w:eastAsia="Arial" w:hAnsi="Arial"/>
                <w:sz w:val="2"/>
                <w:szCs w:val="2"/>
                <w:color w:val="auto"/>
                <w:w w:val="71"/>
              </w:rPr>
              <w:t>..........</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3"/>
              </w:rPr>
              <w:t>160</w:t>
            </w:r>
          </w:p>
        </w:tc>
        <w:tc>
          <w:tcPr>
            <w:tcW w:w="2640" w:type="dxa"/>
            <w:vAlign w:val="bottom"/>
            <w:gridSpan w:val="8"/>
            <w:vMerge w:val="restart"/>
          </w:tcPr>
          <w:p>
            <w:pPr>
              <w:jc w:val="right"/>
              <w:spacing w:after="0"/>
              <w:rPr>
                <w:sz w:val="20"/>
                <w:szCs w:val="20"/>
                <w:color w:val="auto"/>
              </w:rPr>
            </w:pPr>
            <w:r>
              <w:rPr>
                <w:rFonts w:ascii="Arial" w:cs="Arial" w:eastAsia="Arial" w:hAnsi="Arial"/>
                <w:sz w:val="20"/>
                <w:szCs w:val="20"/>
                <w:color w:val="0000FF"/>
              </w:rPr>
              <w:t xml:space="preserve">166 </w:t>
            </w:r>
            <w:r>
              <w:rPr>
                <w:rFonts w:ascii="Arial" w:cs="Arial" w:eastAsia="Arial" w:hAnsi="Arial"/>
                <w:sz w:val="20"/>
                <w:szCs w:val="20"/>
                <w:color w:val="000000"/>
              </w:rPr>
              <w:t>SECTION 12.17 Term of</w:t>
            </w:r>
          </w:p>
        </w:tc>
        <w:tc>
          <w:tcPr>
            <w:tcW w:w="0" w:type="dxa"/>
            <w:vAlign w:val="bottom"/>
          </w:tcPr>
          <w:p>
            <w:pPr>
              <w:spacing w:after="0"/>
              <w:rPr>
                <w:sz w:val="1"/>
                <w:szCs w:val="1"/>
                <w:color w:val="auto"/>
              </w:rPr>
            </w:pPr>
          </w:p>
        </w:tc>
      </w:tr>
      <w:tr>
        <w:trPr>
          <w:trHeight w:val="112"/>
        </w:trPr>
        <w:tc>
          <w:tcPr>
            <w:tcW w:w="6760" w:type="dxa"/>
            <w:vAlign w:val="bottom"/>
            <w:gridSpan w:val="19"/>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960" w:type="dxa"/>
            <w:vAlign w:val="bottom"/>
            <w:vMerge w:val="restart"/>
          </w:tcPr>
          <w:p>
            <w:pPr>
              <w:spacing w:after="0"/>
              <w:rPr>
                <w:sz w:val="20"/>
                <w:szCs w:val="20"/>
                <w:color w:val="auto"/>
              </w:rPr>
            </w:pPr>
            <w:r>
              <w:rPr>
                <w:rFonts w:ascii="Arial" w:cs="Arial" w:eastAsia="Arial" w:hAnsi="Arial"/>
                <w:sz w:val="20"/>
                <w:szCs w:val="20"/>
                <w:color w:val="auto"/>
                <w:w w:val="96"/>
              </w:rPr>
              <w:t>Agreement</w:t>
            </w:r>
          </w:p>
        </w:tc>
        <w:tc>
          <w:tcPr>
            <w:tcW w:w="460" w:type="dxa"/>
            <w:vAlign w:val="bottom"/>
            <w:gridSpan w:val="2"/>
          </w:tcPr>
          <w:p>
            <w:pPr>
              <w:ind w:left="80"/>
              <w:spacing w:after="0"/>
              <w:rPr>
                <w:sz w:val="20"/>
                <w:szCs w:val="20"/>
                <w:color w:val="auto"/>
              </w:rPr>
            </w:pPr>
            <w:r>
              <w:rPr>
                <w:rFonts w:ascii="Arial" w:cs="Arial" w:eastAsia="Arial" w:hAnsi="Arial"/>
                <w:sz w:val="2"/>
                <w:szCs w:val="2"/>
                <w:color w:val="auto"/>
                <w:w w:val="82"/>
              </w:rPr>
              <w:t>..............................................................................</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vMerge w:val="restart"/>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3"/>
              </w:rPr>
              <w:t>161</w:t>
            </w:r>
          </w:p>
        </w:tc>
        <w:tc>
          <w:tcPr>
            <w:tcW w:w="1400" w:type="dxa"/>
            <w:vAlign w:val="bottom"/>
            <w:gridSpan w:val="4"/>
            <w:vMerge w:val="restart"/>
          </w:tcPr>
          <w:p>
            <w:pPr>
              <w:jc w:val="right"/>
              <w:ind w:right="21"/>
              <w:spacing w:after="0"/>
              <w:rPr>
                <w:sz w:val="20"/>
                <w:szCs w:val="20"/>
                <w:color w:val="auto"/>
              </w:rPr>
            </w:pPr>
            <w:r>
              <w:rPr>
                <w:rFonts w:ascii="Arial" w:cs="Arial" w:eastAsia="Arial" w:hAnsi="Arial"/>
                <w:sz w:val="20"/>
                <w:szCs w:val="20"/>
                <w:color w:val="0000FF"/>
                <w:w w:val="94"/>
              </w:rPr>
              <w:t xml:space="preserve">167  </w:t>
            </w:r>
            <w:r>
              <w:rPr>
                <w:rFonts w:ascii="Arial" w:cs="Arial" w:eastAsia="Arial" w:hAnsi="Arial"/>
                <w:sz w:val="20"/>
                <w:szCs w:val="20"/>
                <w:color w:val="000000"/>
                <w:w w:val="94"/>
              </w:rPr>
              <w:t>SECTION</w:t>
            </w:r>
          </w:p>
        </w:tc>
        <w:tc>
          <w:tcPr>
            <w:tcW w:w="560" w:type="dxa"/>
            <w:vAlign w:val="bottom"/>
            <w:gridSpan w:val="8"/>
            <w:vMerge w:val="restart"/>
          </w:tcPr>
          <w:p>
            <w:pPr>
              <w:ind w:left="40"/>
              <w:spacing w:after="0"/>
              <w:rPr>
                <w:sz w:val="20"/>
                <w:szCs w:val="20"/>
                <w:color w:val="auto"/>
              </w:rPr>
            </w:pPr>
            <w:r>
              <w:rPr>
                <w:rFonts w:ascii="Arial" w:cs="Arial" w:eastAsia="Arial" w:hAnsi="Arial"/>
                <w:sz w:val="20"/>
                <w:szCs w:val="20"/>
                <w:color w:val="auto"/>
                <w:w w:val="99"/>
              </w:rPr>
              <w:t>12.18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6"/>
            <w:vMerge w:val="restart"/>
          </w:tcPr>
          <w:p>
            <w:pPr>
              <w:spacing w:after="0"/>
              <w:rPr>
                <w:sz w:val="20"/>
                <w:szCs w:val="20"/>
                <w:color w:val="auto"/>
              </w:rPr>
            </w:pPr>
            <w:r>
              <w:rPr>
                <w:rFonts w:ascii="Arial" w:cs="Arial" w:eastAsia="Arial" w:hAnsi="Arial"/>
                <w:sz w:val="20"/>
                <w:szCs w:val="20"/>
                <w:color w:val="auto"/>
              </w:rPr>
              <w:t>USA</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w w:val="99"/>
              </w:rPr>
              <w:t>PATRIOT</w:t>
            </w:r>
          </w:p>
        </w:tc>
        <w:tc>
          <w:tcPr>
            <w:tcW w:w="540" w:type="dxa"/>
            <w:vAlign w:val="bottom"/>
            <w:gridSpan w:val="2"/>
            <w:vMerge w:val="restart"/>
          </w:tcPr>
          <w:p>
            <w:pPr>
              <w:ind w:left="120"/>
              <w:spacing w:after="0"/>
              <w:rPr>
                <w:sz w:val="20"/>
                <w:szCs w:val="20"/>
                <w:color w:val="auto"/>
              </w:rPr>
            </w:pPr>
            <w:r>
              <w:rPr>
                <w:rFonts w:ascii="Arial" w:cs="Arial" w:eastAsia="Arial" w:hAnsi="Arial"/>
                <w:sz w:val="20"/>
                <w:szCs w:val="20"/>
                <w:color w:val="auto"/>
              </w:rPr>
              <w:t>Act;</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Anti-Money</w:t>
            </w:r>
          </w:p>
        </w:tc>
        <w:tc>
          <w:tcPr>
            <w:tcW w:w="0" w:type="dxa"/>
            <w:vAlign w:val="bottom"/>
          </w:tcPr>
          <w:p>
            <w:pPr>
              <w:spacing w:after="0"/>
              <w:rPr>
                <w:sz w:val="1"/>
                <w:szCs w:val="1"/>
                <w:color w:val="auto"/>
              </w:rPr>
            </w:pPr>
          </w:p>
        </w:tc>
      </w:tr>
      <w:tr>
        <w:trPr>
          <w:trHeight w:val="112"/>
        </w:trPr>
        <w:tc>
          <w:tcPr>
            <w:tcW w:w="9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5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6"/>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420" w:type="dxa"/>
            <w:vAlign w:val="bottom"/>
            <w:gridSpan w:val="3"/>
            <w:vMerge w:val="restart"/>
          </w:tcPr>
          <w:p>
            <w:pPr>
              <w:spacing w:after="0"/>
              <w:rPr>
                <w:sz w:val="20"/>
                <w:szCs w:val="20"/>
                <w:color w:val="auto"/>
              </w:rPr>
            </w:pPr>
            <w:r>
              <w:rPr>
                <w:rFonts w:ascii="Arial" w:cs="Arial" w:eastAsia="Arial" w:hAnsi="Arial"/>
                <w:sz w:val="20"/>
                <w:szCs w:val="20"/>
                <w:color w:val="auto"/>
                <w:w w:val="91"/>
              </w:rPr>
              <w:t>Laundering Laws</w:t>
            </w:r>
          </w:p>
        </w:tc>
        <w:tc>
          <w:tcPr>
            <w:tcW w:w="1360" w:type="dxa"/>
            <w:vAlign w:val="bottom"/>
            <w:gridSpan w:val="2"/>
          </w:tcPr>
          <w:p>
            <w:pPr>
              <w:ind w:left="20"/>
              <w:spacing w:after="0" w:line="226" w:lineRule="exact"/>
              <w:rPr>
                <w:sz w:val="20"/>
                <w:szCs w:val="20"/>
                <w:color w:val="auto"/>
              </w:rPr>
            </w:pPr>
            <w:r>
              <w:rPr>
                <w:rFonts w:ascii="Arial" w:cs="Arial" w:eastAsia="Arial" w:hAnsi="Arial"/>
                <w:sz w:val="20"/>
                <w:szCs w:val="20"/>
                <w:color w:val="auto"/>
                <w:w w:val="91"/>
              </w:rPr>
              <w:t>..........................</w:t>
            </w:r>
          </w:p>
        </w:tc>
        <w:tc>
          <w:tcPr>
            <w:tcW w:w="300" w:type="dxa"/>
            <w:vAlign w:val="bottom"/>
            <w:vMerge w:val="restart"/>
          </w:tcPr>
          <w:p>
            <w:pPr>
              <w:jc w:val="right"/>
              <w:spacing w:after="0"/>
              <w:rPr>
                <w:sz w:val="20"/>
                <w:szCs w:val="20"/>
                <w:color w:val="auto"/>
              </w:rPr>
            </w:pPr>
            <w:r>
              <w:rPr>
                <w:rFonts w:ascii="Arial" w:cs="Arial" w:eastAsia="Arial" w:hAnsi="Arial"/>
                <w:sz w:val="20"/>
                <w:szCs w:val="20"/>
                <w:color w:val="FF0000"/>
                <w:strike w:val="1"/>
                <w:w w:val="83"/>
              </w:rPr>
              <w:t>161</w:t>
            </w:r>
          </w:p>
        </w:tc>
        <w:tc>
          <w:tcPr>
            <w:tcW w:w="740" w:type="dxa"/>
            <w:vAlign w:val="bottom"/>
            <w:vMerge w:val="restart"/>
          </w:tcPr>
          <w:p>
            <w:pPr>
              <w:jc w:val="right"/>
              <w:ind w:right="341"/>
              <w:spacing w:after="0"/>
              <w:rPr>
                <w:sz w:val="20"/>
                <w:szCs w:val="20"/>
                <w:color w:val="auto"/>
              </w:rPr>
            </w:pPr>
            <w:r>
              <w:rPr>
                <w:rFonts w:ascii="Arial" w:cs="Arial" w:eastAsia="Arial" w:hAnsi="Arial"/>
                <w:sz w:val="20"/>
                <w:szCs w:val="20"/>
                <w:color w:val="0000FF"/>
                <w:w w:val="83"/>
              </w:rPr>
              <w:t>167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42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1380" w:type="dxa"/>
            <w:vAlign w:val="bottom"/>
            <w:gridSpan w:val="2"/>
          </w:tcPr>
          <w:p>
            <w:pPr>
              <w:spacing w:after="0"/>
              <w:rPr>
                <w:sz w:val="20"/>
                <w:szCs w:val="20"/>
                <w:color w:val="auto"/>
              </w:rPr>
            </w:pPr>
            <w:r>
              <w:rPr>
                <w:rFonts w:ascii="Arial" w:cs="Arial" w:eastAsia="Arial" w:hAnsi="Arial"/>
                <w:sz w:val="20"/>
                <w:szCs w:val="20"/>
                <w:color w:val="auto"/>
                <w:w w:val="94"/>
              </w:rPr>
              <w:t>SECTION 12.19</w:t>
            </w:r>
          </w:p>
        </w:tc>
        <w:tc>
          <w:tcPr>
            <w:tcW w:w="40" w:type="dxa"/>
            <w:vAlign w:val="bottom"/>
          </w:tcPr>
          <w:p>
            <w:pPr>
              <w:spacing w:after="0"/>
              <w:rPr>
                <w:sz w:val="24"/>
                <w:szCs w:val="24"/>
                <w:color w:val="auto"/>
              </w:rPr>
            </w:pPr>
          </w:p>
        </w:tc>
        <w:tc>
          <w:tcPr>
            <w:tcW w:w="5340" w:type="dxa"/>
            <w:vAlign w:val="bottom"/>
            <w:gridSpan w:val="16"/>
          </w:tcPr>
          <w:p>
            <w:pPr>
              <w:ind w:left="120"/>
              <w:spacing w:after="0"/>
              <w:rPr>
                <w:sz w:val="20"/>
                <w:szCs w:val="20"/>
                <w:color w:val="auto"/>
              </w:rPr>
            </w:pPr>
            <w:r>
              <w:rPr>
                <w:rFonts w:ascii="Arial" w:cs="Arial" w:eastAsia="Arial" w:hAnsi="Arial"/>
                <w:sz w:val="20"/>
                <w:szCs w:val="20"/>
                <w:color w:val="auto"/>
                <w:w w:val="84"/>
              </w:rPr>
              <w:t>Independent Effect of Covenants .........................................................</w:t>
            </w:r>
          </w:p>
        </w:tc>
        <w:tc>
          <w:tcPr>
            <w:tcW w:w="260" w:type="dxa"/>
            <w:vAlign w:val="bottom"/>
            <w:gridSpan w:val="3"/>
          </w:tcPr>
          <w:p>
            <w:pPr>
              <w:spacing w:after="0"/>
              <w:rPr>
                <w:sz w:val="24"/>
                <w:szCs w:val="24"/>
                <w:color w:val="auto"/>
              </w:rPr>
            </w:pPr>
          </w:p>
        </w:tc>
        <w:tc>
          <w:tcPr>
            <w:tcW w:w="340" w:type="dxa"/>
            <w:vAlign w:val="bottom"/>
            <w:gridSpan w:val="7"/>
          </w:tcPr>
          <w:p>
            <w:pPr>
              <w:jc w:val="right"/>
              <w:spacing w:after="0"/>
              <w:rPr>
                <w:sz w:val="20"/>
                <w:szCs w:val="20"/>
                <w:color w:val="auto"/>
              </w:rPr>
            </w:pPr>
            <w:r>
              <w:rPr>
                <w:rFonts w:ascii="Arial" w:cs="Arial" w:eastAsia="Arial" w:hAnsi="Arial"/>
                <w:sz w:val="20"/>
                <w:szCs w:val="20"/>
                <w:color w:val="FF0000"/>
                <w:strike w:val="1"/>
                <w:w w:val="95"/>
              </w:rPr>
              <w:t>162</w:t>
            </w:r>
          </w:p>
        </w:tc>
        <w:tc>
          <w:tcPr>
            <w:tcW w:w="400" w:type="dxa"/>
            <w:vAlign w:val="bottom"/>
            <w:gridSpan w:val="5"/>
          </w:tcPr>
          <w:p>
            <w:pPr>
              <w:jc w:val="right"/>
              <w:ind w:right="1"/>
              <w:spacing w:after="0"/>
              <w:rPr>
                <w:sz w:val="20"/>
                <w:szCs w:val="20"/>
                <w:color w:val="auto"/>
              </w:rPr>
            </w:pPr>
            <w:r>
              <w:rPr>
                <w:rFonts w:ascii="Arial" w:cs="Arial" w:eastAsia="Arial" w:hAnsi="Arial"/>
                <w:sz w:val="20"/>
                <w:szCs w:val="20"/>
                <w:color w:val="0000FF"/>
                <w:w w:val="83"/>
              </w:rPr>
              <w:t>167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80" w:type="dxa"/>
            <w:vAlign w:val="bottom"/>
            <w:gridSpan w:val="2"/>
          </w:tcPr>
          <w:p>
            <w:pPr>
              <w:spacing w:after="0"/>
              <w:rPr>
                <w:sz w:val="20"/>
                <w:szCs w:val="20"/>
                <w:color w:val="auto"/>
              </w:rPr>
            </w:pPr>
            <w:r>
              <w:rPr>
                <w:rFonts w:ascii="Arial" w:cs="Arial" w:eastAsia="Arial" w:hAnsi="Arial"/>
                <w:sz w:val="20"/>
                <w:szCs w:val="20"/>
                <w:color w:val="auto"/>
                <w:w w:val="94"/>
              </w:rPr>
              <w:t>SECTION 12.20</w:t>
            </w:r>
          </w:p>
        </w:tc>
        <w:tc>
          <w:tcPr>
            <w:tcW w:w="40" w:type="dxa"/>
            <w:vAlign w:val="bottom"/>
          </w:tcPr>
          <w:p>
            <w:pPr>
              <w:spacing w:after="0"/>
              <w:rPr>
                <w:sz w:val="24"/>
                <w:szCs w:val="24"/>
                <w:color w:val="auto"/>
              </w:rPr>
            </w:pPr>
          </w:p>
        </w:tc>
        <w:tc>
          <w:tcPr>
            <w:tcW w:w="5340" w:type="dxa"/>
            <w:vAlign w:val="bottom"/>
            <w:gridSpan w:val="16"/>
          </w:tcPr>
          <w:p>
            <w:pPr>
              <w:ind w:left="120"/>
              <w:spacing w:after="0"/>
              <w:rPr>
                <w:sz w:val="20"/>
                <w:szCs w:val="20"/>
                <w:color w:val="auto"/>
              </w:rPr>
            </w:pPr>
            <w:r>
              <w:rPr>
                <w:rFonts w:ascii="Arial" w:cs="Arial" w:eastAsia="Arial" w:hAnsi="Arial"/>
                <w:sz w:val="20"/>
                <w:szCs w:val="20"/>
                <w:color w:val="auto"/>
                <w:w w:val="87"/>
              </w:rPr>
              <w:t>No Advisory or Fiduciary Responsibility ............................................</w:t>
            </w:r>
          </w:p>
        </w:tc>
        <w:tc>
          <w:tcPr>
            <w:tcW w:w="260" w:type="dxa"/>
            <w:vAlign w:val="bottom"/>
            <w:gridSpan w:val="3"/>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162</w:t>
            </w:r>
          </w:p>
        </w:tc>
        <w:tc>
          <w:tcPr>
            <w:tcW w:w="420" w:type="dxa"/>
            <w:vAlign w:val="bottom"/>
            <w:gridSpan w:val="6"/>
          </w:tcPr>
          <w:p>
            <w:pPr>
              <w:jc w:val="right"/>
              <w:ind w:right="21"/>
              <w:spacing w:after="0"/>
              <w:rPr>
                <w:sz w:val="20"/>
                <w:szCs w:val="20"/>
                <w:color w:val="auto"/>
              </w:rPr>
            </w:pPr>
            <w:r>
              <w:rPr>
                <w:rFonts w:ascii="Arial" w:cs="Arial" w:eastAsia="Arial" w:hAnsi="Arial"/>
                <w:sz w:val="20"/>
                <w:szCs w:val="20"/>
                <w:color w:val="0000FF"/>
                <w:w w:val="83"/>
              </w:rPr>
              <w:t>167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gridSpan w:val="2"/>
          </w:tcPr>
          <w:p>
            <w:pPr>
              <w:spacing w:after="0"/>
              <w:rPr>
                <w:sz w:val="20"/>
                <w:szCs w:val="20"/>
                <w:color w:val="auto"/>
              </w:rPr>
            </w:pPr>
            <w:r>
              <w:rPr>
                <w:rFonts w:ascii="Arial" w:cs="Arial" w:eastAsia="Arial" w:hAnsi="Arial"/>
                <w:sz w:val="20"/>
                <w:szCs w:val="20"/>
                <w:color w:val="auto"/>
                <w:w w:val="94"/>
              </w:rPr>
              <w:t>SECTION 12.21</w:t>
            </w:r>
          </w:p>
        </w:tc>
        <w:tc>
          <w:tcPr>
            <w:tcW w:w="40" w:type="dxa"/>
            <w:vAlign w:val="bottom"/>
          </w:tcPr>
          <w:p>
            <w:pPr>
              <w:spacing w:after="0"/>
              <w:rPr>
                <w:sz w:val="24"/>
                <w:szCs w:val="24"/>
                <w:color w:val="auto"/>
              </w:rPr>
            </w:pPr>
          </w:p>
        </w:tc>
        <w:tc>
          <w:tcPr>
            <w:tcW w:w="5340" w:type="dxa"/>
            <w:vAlign w:val="bottom"/>
            <w:gridSpan w:val="16"/>
          </w:tcPr>
          <w:p>
            <w:pPr>
              <w:ind w:left="120"/>
              <w:spacing w:after="0"/>
              <w:rPr>
                <w:sz w:val="20"/>
                <w:szCs w:val="20"/>
                <w:color w:val="auto"/>
              </w:rPr>
            </w:pPr>
            <w:r>
              <w:rPr>
                <w:rFonts w:ascii="Arial" w:cs="Arial" w:eastAsia="Arial" w:hAnsi="Arial"/>
                <w:sz w:val="20"/>
                <w:szCs w:val="20"/>
                <w:color w:val="auto"/>
                <w:w w:val="84"/>
              </w:rPr>
              <w:t>Inconsistencies with Other Documents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7"/>
          </w:tcPr>
          <w:p>
            <w:pPr>
              <w:jc w:val="right"/>
              <w:spacing w:after="0"/>
              <w:rPr>
                <w:sz w:val="20"/>
                <w:szCs w:val="20"/>
                <w:color w:val="auto"/>
              </w:rPr>
            </w:pPr>
            <w:r>
              <w:rPr>
                <w:rFonts w:ascii="Arial" w:cs="Arial" w:eastAsia="Arial" w:hAnsi="Arial"/>
                <w:sz w:val="20"/>
                <w:szCs w:val="20"/>
                <w:color w:val="FF0000"/>
                <w:strike w:val="1"/>
                <w:w w:val="95"/>
              </w:rPr>
              <w:t>162</w:t>
            </w:r>
          </w:p>
        </w:tc>
        <w:tc>
          <w:tcPr>
            <w:tcW w:w="1440" w:type="dxa"/>
            <w:vAlign w:val="bottom"/>
            <w:gridSpan w:val="9"/>
          </w:tcPr>
          <w:p>
            <w:pPr>
              <w:spacing w:after="0"/>
              <w:rPr>
                <w:sz w:val="20"/>
                <w:szCs w:val="20"/>
                <w:color w:val="auto"/>
              </w:rPr>
            </w:pPr>
            <w:r>
              <w:rPr>
                <w:rFonts w:ascii="Arial" w:cs="Arial" w:eastAsia="Arial" w:hAnsi="Arial"/>
                <w:sz w:val="20"/>
                <w:szCs w:val="20"/>
                <w:color w:val="0000FF"/>
              </w:rPr>
              <w:t xml:space="preserve">168 </w:t>
            </w:r>
            <w:r>
              <w:rPr>
                <w:rFonts w:ascii="Arial" w:cs="Arial" w:eastAsia="Arial" w:hAnsi="Arial"/>
                <w:sz w:val="20"/>
                <w:szCs w:val="20"/>
                <w:color w:val="000000"/>
              </w:rPr>
              <w:t>SECTION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gridSpan w:val="19"/>
          </w:tcPr>
          <w:p>
            <w:pPr>
              <w:spacing w:after="0"/>
              <w:rPr>
                <w:sz w:val="20"/>
                <w:szCs w:val="20"/>
                <w:color w:val="auto"/>
              </w:rPr>
            </w:pPr>
            <w:r>
              <w:rPr>
                <w:rFonts w:ascii="Arial" w:cs="Arial" w:eastAsia="Arial" w:hAnsi="Arial"/>
                <w:sz w:val="20"/>
                <w:szCs w:val="20"/>
                <w:color w:val="auto"/>
              </w:rPr>
              <w:t>12.22  Acknowledgement and Consent to Bail-In of Affected Financial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Arial" w:cs="Arial" w:eastAsia="Arial" w:hAnsi="Arial"/>
                <w:sz w:val="12"/>
                <w:szCs w:val="12"/>
                <w:color w:val="auto"/>
                <w:w w:val="73"/>
              </w:rPr>
              <w:t>Institutions............................................................................................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8"/>
          </w:tcPr>
          <w:p>
            <w:pPr>
              <w:jc w:val="right"/>
              <w:spacing w:after="0"/>
              <w:rPr>
                <w:sz w:val="20"/>
                <w:szCs w:val="20"/>
                <w:color w:val="auto"/>
              </w:rPr>
            </w:pPr>
            <w:r>
              <w:rPr>
                <w:rFonts w:ascii="Arial" w:cs="Arial" w:eastAsia="Arial" w:hAnsi="Arial"/>
                <w:sz w:val="20"/>
                <w:szCs w:val="20"/>
                <w:color w:val="FF0000"/>
                <w:strike w:val="1"/>
                <w:w w:val="95"/>
              </w:rPr>
              <w:t>163</w:t>
            </w:r>
          </w:p>
        </w:tc>
        <w:tc>
          <w:tcPr>
            <w:tcW w:w="340" w:type="dxa"/>
            <w:vAlign w:val="bottom"/>
            <w:gridSpan w:val="3"/>
          </w:tcPr>
          <w:p>
            <w:pPr>
              <w:jc w:val="right"/>
              <w:spacing w:after="0"/>
              <w:rPr>
                <w:sz w:val="20"/>
                <w:szCs w:val="20"/>
                <w:color w:val="auto"/>
              </w:rPr>
            </w:pPr>
            <w:r>
              <w:rPr>
                <w:rFonts w:ascii="Arial" w:cs="Arial" w:eastAsia="Arial" w:hAnsi="Arial"/>
                <w:sz w:val="20"/>
                <w:szCs w:val="20"/>
                <w:color w:val="0000FF"/>
                <w:w w:val="83"/>
              </w:rPr>
              <w:t>168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80" w:type="dxa"/>
            <w:vAlign w:val="bottom"/>
            <w:gridSpan w:val="2"/>
          </w:tcPr>
          <w:p>
            <w:pPr>
              <w:spacing w:after="0"/>
              <w:rPr>
                <w:sz w:val="20"/>
                <w:szCs w:val="20"/>
                <w:color w:val="auto"/>
              </w:rPr>
            </w:pPr>
            <w:r>
              <w:rPr>
                <w:rFonts w:ascii="Arial" w:cs="Arial" w:eastAsia="Arial" w:hAnsi="Arial"/>
                <w:sz w:val="20"/>
                <w:szCs w:val="20"/>
                <w:color w:val="auto"/>
                <w:w w:val="94"/>
              </w:rPr>
              <w:t>SECTION 12.23</w:t>
            </w:r>
          </w:p>
        </w:tc>
        <w:tc>
          <w:tcPr>
            <w:tcW w:w="40" w:type="dxa"/>
            <w:vAlign w:val="bottom"/>
          </w:tcPr>
          <w:p>
            <w:pPr>
              <w:spacing w:after="0"/>
              <w:rPr>
                <w:sz w:val="24"/>
                <w:szCs w:val="24"/>
                <w:color w:val="auto"/>
              </w:rPr>
            </w:pPr>
          </w:p>
        </w:tc>
        <w:tc>
          <w:tcPr>
            <w:tcW w:w="2400" w:type="dxa"/>
            <w:vAlign w:val="bottom"/>
            <w:gridSpan w:val="4"/>
          </w:tcPr>
          <w:p>
            <w:pPr>
              <w:ind w:left="120"/>
              <w:spacing w:after="0"/>
              <w:rPr>
                <w:sz w:val="20"/>
                <w:szCs w:val="20"/>
                <w:color w:val="auto"/>
              </w:rPr>
            </w:pPr>
            <w:r>
              <w:rPr>
                <w:rFonts w:ascii="Arial" w:cs="Arial" w:eastAsia="Arial" w:hAnsi="Arial"/>
                <w:sz w:val="10"/>
                <w:szCs w:val="10"/>
                <w:color w:val="auto"/>
                <w:w w:val="74"/>
              </w:rPr>
              <w:t>Certain ERISA Matters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163</w:t>
            </w:r>
          </w:p>
        </w:tc>
        <w:tc>
          <w:tcPr>
            <w:tcW w:w="420" w:type="dxa"/>
            <w:vAlign w:val="bottom"/>
            <w:gridSpan w:val="6"/>
          </w:tcPr>
          <w:p>
            <w:pPr>
              <w:jc w:val="right"/>
              <w:ind w:right="21"/>
              <w:spacing w:after="0"/>
              <w:rPr>
                <w:sz w:val="20"/>
                <w:szCs w:val="20"/>
                <w:color w:val="auto"/>
              </w:rPr>
            </w:pPr>
            <w:r>
              <w:rPr>
                <w:rFonts w:ascii="Arial" w:cs="Arial" w:eastAsia="Arial" w:hAnsi="Arial"/>
                <w:sz w:val="20"/>
                <w:szCs w:val="20"/>
                <w:color w:val="0000FF"/>
                <w:w w:val="83"/>
              </w:rPr>
              <w:t>168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60" w:type="dxa"/>
            <w:vAlign w:val="bottom"/>
            <w:gridSpan w:val="19"/>
          </w:tcPr>
          <w:p>
            <w:pPr>
              <w:spacing w:after="0"/>
              <w:rPr>
                <w:sz w:val="20"/>
                <w:szCs w:val="20"/>
                <w:color w:val="auto"/>
              </w:rPr>
            </w:pPr>
            <w:r>
              <w:rPr>
                <w:rFonts w:ascii="Arial" w:cs="Arial" w:eastAsia="Arial" w:hAnsi="Arial"/>
                <w:sz w:val="20"/>
                <w:szCs w:val="20"/>
                <w:color w:val="auto"/>
                <w:w w:val="88"/>
              </w:rPr>
              <w:t>SECTION 12.24  Acknowledgement Regarding Any Supported QFCs...........................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164</w:t>
            </w:r>
          </w:p>
        </w:tc>
        <w:tc>
          <w:tcPr>
            <w:tcW w:w="1760" w:type="dxa"/>
            <w:vAlign w:val="bottom"/>
            <w:gridSpan w:val="11"/>
          </w:tcPr>
          <w:p>
            <w:pPr>
              <w:spacing w:after="0"/>
              <w:rPr>
                <w:sz w:val="20"/>
                <w:szCs w:val="20"/>
                <w:color w:val="auto"/>
              </w:rPr>
            </w:pPr>
            <w:r>
              <w:rPr>
                <w:rFonts w:ascii="Arial" w:cs="Arial" w:eastAsia="Arial" w:hAnsi="Arial"/>
                <w:sz w:val="20"/>
                <w:szCs w:val="20"/>
                <w:color w:val="0000FF"/>
                <w:w w:val="94"/>
              </w:rPr>
              <w:t xml:space="preserve">169 </w:t>
            </w:r>
            <w:r>
              <w:rPr>
                <w:rFonts w:ascii="Arial" w:cs="Arial" w:eastAsia="Arial" w:hAnsi="Arial"/>
                <w:sz w:val="20"/>
                <w:szCs w:val="20"/>
                <w:color w:val="000000"/>
                <w:w w:val="94"/>
              </w:rPr>
              <w:t>SECTION 12.25</w:t>
            </w:r>
          </w:p>
        </w:tc>
        <w:tc>
          <w:tcPr>
            <w:tcW w:w="1100" w:type="dxa"/>
            <w:vAlign w:val="bottom"/>
            <w:gridSpan w:val="2"/>
          </w:tcPr>
          <w:p>
            <w:pPr>
              <w:ind w:left="100"/>
              <w:spacing w:after="0"/>
              <w:rPr>
                <w:sz w:val="20"/>
                <w:szCs w:val="20"/>
                <w:color w:val="auto"/>
              </w:rPr>
            </w:pPr>
            <w:r>
              <w:rPr>
                <w:rFonts w:ascii="Arial" w:cs="Arial" w:eastAsia="Arial" w:hAnsi="Arial"/>
                <w:sz w:val="20"/>
                <w:szCs w:val="20"/>
                <w:color w:val="auto"/>
                <w:w w:val="90"/>
              </w:rPr>
              <w:t>Amendment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20" w:type="dxa"/>
            <w:vAlign w:val="bottom"/>
            <w:gridSpan w:val="7"/>
          </w:tcPr>
          <w:p>
            <w:pPr>
              <w:spacing w:after="0"/>
              <w:rPr>
                <w:sz w:val="20"/>
                <w:szCs w:val="20"/>
                <w:color w:val="auto"/>
              </w:rPr>
            </w:pPr>
            <w:r>
              <w:rPr>
                <w:rFonts w:ascii="Arial" w:cs="Arial" w:eastAsia="Arial" w:hAnsi="Arial"/>
                <w:sz w:val="20"/>
                <w:szCs w:val="20"/>
                <w:color w:val="auto"/>
                <w:w w:val="76"/>
              </w:rPr>
              <w:t>and Restatement; No Novation........................................</w:t>
            </w:r>
          </w:p>
        </w:tc>
        <w:tc>
          <w:tcPr>
            <w:tcW w:w="640" w:type="dxa"/>
            <w:vAlign w:val="bottom"/>
            <w:gridSpan w:val="3"/>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165</w:t>
            </w:r>
          </w:p>
        </w:tc>
        <w:tc>
          <w:tcPr>
            <w:tcW w:w="320" w:type="dxa"/>
            <w:vAlign w:val="bottom"/>
            <w:gridSpan w:val="2"/>
          </w:tcPr>
          <w:p>
            <w:pPr>
              <w:jc w:val="right"/>
              <w:spacing w:after="0"/>
              <w:rPr>
                <w:sz w:val="20"/>
                <w:szCs w:val="20"/>
                <w:color w:val="auto"/>
              </w:rPr>
            </w:pPr>
            <w:r>
              <w:rPr>
                <w:rFonts w:ascii="Arial" w:cs="Arial" w:eastAsia="Arial" w:hAnsi="Arial"/>
                <w:sz w:val="20"/>
                <w:szCs w:val="20"/>
                <w:color w:val="0000FF"/>
                <w:w w:val="83"/>
              </w:rPr>
              <w:t>170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933" w:right="439" w:bottom="1440" w:gutter="0" w:footer="0" w:header="0"/>
        </w:sectPr>
      </w:pPr>
    </w:p>
    <w:bookmarkStart w:id="75" w:name="page76"/>
    <w:bookmarkEnd w:id="75"/>
    <w:tbl>
      <w:tblPr>
        <w:tblLayout w:type="fixed"/>
        <w:tblInd w:w="80" w:type="dxa"/>
        <w:tblCellMar>
          <w:top w:w="0" w:type="dxa"/>
          <w:left w:w="0" w:type="dxa"/>
          <w:bottom w:w="0" w:type="dxa"/>
          <w:right w:w="0" w:type="dxa"/>
        </w:tblCellMar>
      </w:tblPr>
      <w:tr>
        <w:trPr>
          <w:trHeight w:val="230"/>
        </w:trPr>
        <w:tc>
          <w:tcPr>
            <w:tcW w:w="112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2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spacing w:after="0" w:line="192" w:lineRule="exact"/>
              <w:rPr>
                <w:sz w:val="20"/>
                <w:szCs w:val="20"/>
                <w:color w:val="auto"/>
              </w:rPr>
            </w:pPr>
            <w:r>
              <w:rPr>
                <w:rFonts w:ascii="Arial" w:cs="Arial" w:eastAsia="Arial" w:hAnsi="Arial"/>
                <w:sz w:val="20"/>
                <w:szCs w:val="20"/>
                <w:color w:val="auto"/>
              </w:rPr>
              <w:t>Exhibit A-1</w:t>
            </w:r>
          </w:p>
        </w:tc>
        <w:tc>
          <w:tcPr>
            <w:tcW w:w="260" w:type="dxa"/>
            <w:vAlign w:val="bottom"/>
          </w:tcPr>
          <w:p>
            <w:pPr>
              <w:ind w:left="20"/>
              <w:spacing w:after="0" w:line="192" w:lineRule="exact"/>
              <w:rPr>
                <w:sz w:val="20"/>
                <w:szCs w:val="20"/>
                <w:color w:val="auto"/>
              </w:rPr>
            </w:pPr>
            <w:r>
              <w:rPr>
                <w:rFonts w:ascii="Arial" w:cs="Arial" w:eastAsia="Arial" w:hAnsi="Arial"/>
                <w:sz w:val="20"/>
                <w:szCs w:val="20"/>
                <w:color w:val="auto"/>
              </w:rPr>
              <w:t>-</w:t>
            </w:r>
          </w:p>
        </w:tc>
        <w:tc>
          <w:tcPr>
            <w:tcW w:w="3860" w:type="dxa"/>
            <w:vAlign w:val="bottom"/>
          </w:tcPr>
          <w:p>
            <w:pPr>
              <w:ind w:left="20"/>
              <w:spacing w:after="0" w:line="192" w:lineRule="exact"/>
              <w:rPr>
                <w:sz w:val="20"/>
                <w:szCs w:val="20"/>
                <w:color w:val="auto"/>
              </w:rPr>
            </w:pPr>
            <w:r>
              <w:rPr>
                <w:rFonts w:ascii="Arial" w:cs="Arial" w:eastAsia="Arial" w:hAnsi="Arial"/>
                <w:sz w:val="20"/>
                <w:szCs w:val="20"/>
                <w:color w:val="auto"/>
                <w:w w:val="94"/>
              </w:rPr>
              <w:t>Form of US Revolving Credit Note Exhibit A-2</w:t>
            </w:r>
          </w:p>
        </w:tc>
        <w:tc>
          <w:tcPr>
            <w:tcW w:w="280" w:type="dxa"/>
            <w:vAlign w:val="bottom"/>
          </w:tcPr>
          <w:p>
            <w:pPr>
              <w:jc w:val="right"/>
              <w:spacing w:after="0" w:line="192" w:lineRule="exact"/>
              <w:rPr>
                <w:sz w:val="20"/>
                <w:szCs w:val="20"/>
                <w:color w:val="auto"/>
              </w:rPr>
            </w:pPr>
            <w:r>
              <w:rPr>
                <w:rFonts w:ascii="Arial" w:cs="Arial" w:eastAsia="Arial" w:hAnsi="Arial"/>
                <w:sz w:val="20"/>
                <w:szCs w:val="20"/>
                <w:color w:val="auto"/>
              </w:rPr>
              <w:t>-</w:t>
            </w:r>
          </w:p>
        </w:tc>
        <w:tc>
          <w:tcPr>
            <w:tcW w:w="3680" w:type="dxa"/>
            <w:vAlign w:val="bottom"/>
            <w:gridSpan w:val="4"/>
          </w:tcPr>
          <w:p>
            <w:pPr>
              <w:ind w:left="120"/>
              <w:spacing w:after="0" w:line="192" w:lineRule="exact"/>
              <w:rPr>
                <w:sz w:val="20"/>
                <w:szCs w:val="20"/>
                <w:color w:val="auto"/>
              </w:rPr>
            </w:pPr>
            <w:r>
              <w:rPr>
                <w:rFonts w:ascii="Arial" w:cs="Arial" w:eastAsia="Arial" w:hAnsi="Arial"/>
                <w:sz w:val="20"/>
                <w:szCs w:val="20"/>
                <w:color w:val="auto"/>
              </w:rPr>
              <w:t>Form of Canadian Revolving</w:t>
            </w:r>
          </w:p>
        </w:tc>
        <w:tc>
          <w:tcPr>
            <w:tcW w:w="0" w:type="dxa"/>
            <w:vAlign w:val="bottom"/>
          </w:tcPr>
          <w:p>
            <w:pPr>
              <w:spacing w:after="0"/>
              <w:rPr>
                <w:sz w:val="1"/>
                <w:szCs w:val="1"/>
                <w:color w:val="auto"/>
              </w:rPr>
            </w:pPr>
          </w:p>
        </w:tc>
      </w:tr>
      <w:tr>
        <w:trPr>
          <w:trHeight w:val="199"/>
        </w:trPr>
        <w:tc>
          <w:tcPr>
            <w:tcW w:w="5240" w:type="dxa"/>
            <w:vAlign w:val="bottom"/>
            <w:gridSpan w:val="4"/>
          </w:tcPr>
          <w:p>
            <w:pPr>
              <w:spacing w:after="0" w:line="199" w:lineRule="exact"/>
              <w:rPr>
                <w:sz w:val="20"/>
                <w:szCs w:val="20"/>
                <w:color w:val="auto"/>
              </w:rPr>
            </w:pPr>
            <w:r>
              <w:rPr>
                <w:rFonts w:ascii="Arial" w:cs="Arial" w:eastAsia="Arial" w:hAnsi="Arial"/>
                <w:sz w:val="20"/>
                <w:szCs w:val="20"/>
                <w:color w:val="auto"/>
              </w:rPr>
              <w:t>Credit Note Exhibit A-3  -  Form of US Swingline Note</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3" w:lineRule="exact"/>
              <w:rPr>
                <w:sz w:val="20"/>
                <w:szCs w:val="20"/>
                <w:color w:val="auto"/>
              </w:rPr>
            </w:pPr>
            <w:r>
              <w:rPr>
                <w:rFonts w:ascii="Arial" w:cs="Arial" w:eastAsia="Arial" w:hAnsi="Arial"/>
                <w:sz w:val="20"/>
                <w:szCs w:val="20"/>
                <w:color w:val="auto"/>
              </w:rPr>
              <w:t>Exhibit A-4</w:t>
            </w:r>
          </w:p>
        </w:tc>
        <w:tc>
          <w:tcPr>
            <w:tcW w:w="2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3860" w:type="dxa"/>
            <w:vAlign w:val="bottom"/>
          </w:tcPr>
          <w:p>
            <w:pPr>
              <w:ind w:left="20"/>
              <w:spacing w:after="0" w:line="203" w:lineRule="exact"/>
              <w:rPr>
                <w:sz w:val="20"/>
                <w:szCs w:val="20"/>
                <w:color w:val="auto"/>
              </w:rPr>
            </w:pPr>
            <w:r>
              <w:rPr>
                <w:rFonts w:ascii="Arial" w:cs="Arial" w:eastAsia="Arial" w:hAnsi="Arial"/>
                <w:sz w:val="20"/>
                <w:szCs w:val="20"/>
                <w:color w:val="auto"/>
                <w:w w:val="95"/>
              </w:rPr>
              <w:t>Form of Canadian Swingline Note Exhibit A-5</w:t>
            </w:r>
          </w:p>
        </w:tc>
        <w:tc>
          <w:tcPr>
            <w:tcW w:w="280" w:type="dxa"/>
            <w:vAlign w:val="bottom"/>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3680" w:type="dxa"/>
            <w:vAlign w:val="bottom"/>
            <w:gridSpan w:val="4"/>
          </w:tcPr>
          <w:p>
            <w:pPr>
              <w:jc w:val="center"/>
              <w:ind w:right="1601"/>
              <w:spacing w:after="0" w:line="203" w:lineRule="exact"/>
              <w:rPr>
                <w:sz w:val="20"/>
                <w:szCs w:val="20"/>
                <w:color w:val="auto"/>
              </w:rPr>
            </w:pPr>
            <w:r>
              <w:rPr>
                <w:rFonts w:ascii="Arial" w:cs="Arial" w:eastAsia="Arial" w:hAnsi="Arial"/>
                <w:sz w:val="20"/>
                <w:szCs w:val="20"/>
                <w:color w:val="auto"/>
                <w:w w:val="90"/>
              </w:rPr>
              <w:t>Form of US Term Loan</w:t>
            </w:r>
          </w:p>
        </w:tc>
        <w:tc>
          <w:tcPr>
            <w:tcW w:w="0" w:type="dxa"/>
            <w:vAlign w:val="bottom"/>
          </w:tcPr>
          <w:p>
            <w:pPr>
              <w:spacing w:after="0"/>
              <w:rPr>
                <w:sz w:val="1"/>
                <w:szCs w:val="1"/>
                <w:color w:val="auto"/>
              </w:rPr>
            </w:pPr>
          </w:p>
        </w:tc>
      </w:tr>
      <w:tr>
        <w:trPr>
          <w:trHeight w:val="192"/>
        </w:trPr>
        <w:tc>
          <w:tcPr>
            <w:tcW w:w="1380" w:type="dxa"/>
            <w:vAlign w:val="bottom"/>
            <w:gridSpan w:val="3"/>
          </w:tcPr>
          <w:p>
            <w:pPr>
              <w:spacing w:after="0" w:line="192" w:lineRule="exact"/>
              <w:rPr>
                <w:sz w:val="20"/>
                <w:szCs w:val="20"/>
                <w:color w:val="auto"/>
              </w:rPr>
            </w:pPr>
            <w:r>
              <w:rPr>
                <w:rFonts w:ascii="Arial" w:cs="Arial" w:eastAsia="Arial" w:hAnsi="Arial"/>
                <w:sz w:val="20"/>
                <w:szCs w:val="20"/>
                <w:color w:val="auto"/>
                <w:w w:val="94"/>
              </w:rPr>
              <w:t>Note Exhibit A-6</w:t>
            </w:r>
          </w:p>
        </w:tc>
        <w:tc>
          <w:tcPr>
            <w:tcW w:w="4140" w:type="dxa"/>
            <w:vAlign w:val="bottom"/>
            <w:gridSpan w:val="2"/>
          </w:tcPr>
          <w:p>
            <w:pPr>
              <w:ind w:left="180"/>
              <w:spacing w:after="0" w:line="192" w:lineRule="exact"/>
              <w:rPr>
                <w:sz w:val="20"/>
                <w:szCs w:val="20"/>
                <w:color w:val="auto"/>
              </w:rPr>
            </w:pPr>
            <w:r>
              <w:rPr>
                <w:rFonts w:ascii="Arial" w:cs="Arial" w:eastAsia="Arial" w:hAnsi="Arial"/>
                <w:sz w:val="20"/>
                <w:szCs w:val="20"/>
                <w:color w:val="auto"/>
                <w:w w:val="95"/>
              </w:rPr>
              <w:t>-  Form of Canadian Term Loan Note Exhibit B</w:t>
            </w:r>
          </w:p>
        </w:tc>
        <w:tc>
          <w:tcPr>
            <w:tcW w:w="3680" w:type="dxa"/>
            <w:vAlign w:val="bottom"/>
            <w:gridSpan w:val="4"/>
          </w:tcPr>
          <w:p>
            <w:pPr>
              <w:jc w:val="center"/>
              <w:ind w:right="1641"/>
              <w:spacing w:after="0" w:line="192" w:lineRule="exact"/>
              <w:rPr>
                <w:sz w:val="20"/>
                <w:szCs w:val="20"/>
                <w:color w:val="auto"/>
              </w:rPr>
            </w:pPr>
            <w:r>
              <w:rPr>
                <w:rFonts w:ascii="Arial" w:cs="Arial" w:eastAsia="Arial" w:hAnsi="Arial"/>
                <w:sz w:val="20"/>
                <w:szCs w:val="20"/>
                <w:color w:val="auto"/>
                <w:w w:val="99"/>
              </w:rPr>
              <w:t>-  Form of Notice of</w:t>
            </w:r>
          </w:p>
        </w:tc>
        <w:tc>
          <w:tcPr>
            <w:tcW w:w="0" w:type="dxa"/>
            <w:vAlign w:val="bottom"/>
          </w:tcPr>
          <w:p>
            <w:pPr>
              <w:spacing w:after="0"/>
              <w:rPr>
                <w:sz w:val="1"/>
                <w:szCs w:val="1"/>
                <w:color w:val="auto"/>
              </w:rPr>
            </w:pPr>
          </w:p>
        </w:tc>
      </w:tr>
      <w:tr>
        <w:trPr>
          <w:trHeight w:val="213"/>
        </w:trPr>
        <w:tc>
          <w:tcPr>
            <w:tcW w:w="880" w:type="dxa"/>
            <w:vAlign w:val="bottom"/>
          </w:tcPr>
          <w:p>
            <w:pPr>
              <w:spacing w:after="0" w:line="212" w:lineRule="exact"/>
              <w:rPr>
                <w:sz w:val="20"/>
                <w:szCs w:val="20"/>
                <w:color w:val="auto"/>
              </w:rPr>
            </w:pPr>
            <w:r>
              <w:rPr>
                <w:rFonts w:ascii="Arial" w:cs="Arial" w:eastAsia="Arial" w:hAnsi="Arial"/>
                <w:sz w:val="20"/>
                <w:szCs w:val="20"/>
                <w:color w:val="auto"/>
                <w:w w:val="95"/>
              </w:rPr>
              <w:t>Borrowing</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line="216" w:lineRule="exact"/>
              <w:rPr>
                <w:sz w:val="20"/>
                <w:szCs w:val="20"/>
                <w:color w:val="auto"/>
              </w:rPr>
            </w:pPr>
            <w:r>
              <w:rPr>
                <w:rFonts w:ascii="Arial" w:cs="Arial" w:eastAsia="Arial" w:hAnsi="Arial"/>
                <w:sz w:val="20"/>
                <w:szCs w:val="20"/>
                <w:color w:val="auto"/>
              </w:rPr>
              <w:t>Exhibit C</w:t>
            </w:r>
          </w:p>
        </w:tc>
        <w:tc>
          <w:tcPr>
            <w:tcW w:w="24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412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Form of Notice of Account Designation</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line="203" w:lineRule="exact"/>
              <w:rPr>
                <w:sz w:val="20"/>
                <w:szCs w:val="20"/>
                <w:color w:val="auto"/>
              </w:rPr>
            </w:pPr>
            <w:r>
              <w:rPr>
                <w:rFonts w:ascii="Arial" w:cs="Arial" w:eastAsia="Arial" w:hAnsi="Arial"/>
                <w:sz w:val="20"/>
                <w:szCs w:val="20"/>
                <w:color w:val="auto"/>
              </w:rPr>
              <w:t>Exhibit D</w:t>
            </w:r>
          </w:p>
        </w:tc>
        <w:tc>
          <w:tcPr>
            <w:tcW w:w="24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4120" w:type="dxa"/>
            <w:vAlign w:val="bottom"/>
            <w:gridSpan w:val="2"/>
          </w:tcPr>
          <w:p>
            <w:pPr>
              <w:ind w:left="120"/>
              <w:spacing w:after="0" w:line="203" w:lineRule="exact"/>
              <w:rPr>
                <w:sz w:val="20"/>
                <w:szCs w:val="20"/>
                <w:color w:val="auto"/>
              </w:rPr>
            </w:pPr>
            <w:r>
              <w:rPr>
                <w:rFonts w:ascii="Arial" w:cs="Arial" w:eastAsia="Arial" w:hAnsi="Arial"/>
                <w:sz w:val="20"/>
                <w:szCs w:val="20"/>
                <w:color w:val="auto"/>
              </w:rPr>
              <w:t>Form of Notice of Prepayment</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0" w:type="dxa"/>
            <w:vAlign w:val="bottom"/>
          </w:tcPr>
          <w:p>
            <w:pPr>
              <w:spacing w:after="0" w:line="192" w:lineRule="exact"/>
              <w:rPr>
                <w:sz w:val="20"/>
                <w:szCs w:val="20"/>
                <w:color w:val="auto"/>
              </w:rPr>
            </w:pPr>
            <w:r>
              <w:rPr>
                <w:rFonts w:ascii="Arial" w:cs="Arial" w:eastAsia="Arial" w:hAnsi="Arial"/>
                <w:sz w:val="20"/>
                <w:szCs w:val="20"/>
                <w:color w:val="auto"/>
              </w:rPr>
              <w:t>Exhibit E</w:t>
            </w:r>
          </w:p>
        </w:tc>
        <w:tc>
          <w:tcPr>
            <w:tcW w:w="240" w:type="dxa"/>
            <w:vAlign w:val="bottom"/>
          </w:tcPr>
          <w:p>
            <w:pPr>
              <w:jc w:val="right"/>
              <w:ind w:right="1"/>
              <w:spacing w:after="0" w:line="192" w:lineRule="exact"/>
              <w:rPr>
                <w:sz w:val="20"/>
                <w:szCs w:val="20"/>
                <w:color w:val="auto"/>
              </w:rPr>
            </w:pPr>
            <w:r>
              <w:rPr>
                <w:rFonts w:ascii="Arial" w:cs="Arial" w:eastAsia="Arial" w:hAnsi="Arial"/>
                <w:sz w:val="20"/>
                <w:szCs w:val="20"/>
                <w:color w:val="auto"/>
              </w:rPr>
              <w:t>-</w:t>
            </w:r>
          </w:p>
        </w:tc>
        <w:tc>
          <w:tcPr>
            <w:tcW w:w="4400" w:type="dxa"/>
            <w:vAlign w:val="bottom"/>
            <w:gridSpan w:val="3"/>
          </w:tcPr>
          <w:p>
            <w:pPr>
              <w:ind w:left="80"/>
              <w:spacing w:after="0" w:line="192" w:lineRule="exact"/>
              <w:rPr>
                <w:sz w:val="20"/>
                <w:szCs w:val="20"/>
                <w:color w:val="auto"/>
              </w:rPr>
            </w:pPr>
            <w:r>
              <w:rPr>
                <w:rFonts w:ascii="Arial" w:cs="Arial" w:eastAsia="Arial" w:hAnsi="Arial"/>
                <w:sz w:val="20"/>
                <w:szCs w:val="20"/>
                <w:color w:val="auto"/>
                <w:w w:val="93"/>
              </w:rPr>
              <w:t>Form of Notice of Conversion/Continuation Exhibit F</w:t>
            </w:r>
          </w:p>
        </w:tc>
        <w:tc>
          <w:tcPr>
            <w:tcW w:w="3680" w:type="dxa"/>
            <w:vAlign w:val="bottom"/>
            <w:gridSpan w:val="4"/>
          </w:tcPr>
          <w:p>
            <w:pPr>
              <w:ind w:left="160"/>
              <w:spacing w:after="0" w:line="192" w:lineRule="exact"/>
              <w:rPr>
                <w:sz w:val="20"/>
                <w:szCs w:val="20"/>
                <w:color w:val="auto"/>
              </w:rPr>
            </w:pPr>
            <w:r>
              <w:rPr>
                <w:rFonts w:ascii="Arial" w:cs="Arial" w:eastAsia="Arial" w:hAnsi="Arial"/>
                <w:sz w:val="20"/>
                <w:szCs w:val="20"/>
                <w:color w:val="auto"/>
              </w:rPr>
              <w:t>-  Form of Officer’s Compliance</w:t>
            </w:r>
          </w:p>
        </w:tc>
        <w:tc>
          <w:tcPr>
            <w:tcW w:w="0" w:type="dxa"/>
            <w:vAlign w:val="bottom"/>
          </w:tcPr>
          <w:p>
            <w:pPr>
              <w:spacing w:after="0"/>
              <w:rPr>
                <w:sz w:val="1"/>
                <w:szCs w:val="1"/>
                <w:color w:val="auto"/>
              </w:rPr>
            </w:pPr>
          </w:p>
        </w:tc>
      </w:tr>
      <w:tr>
        <w:trPr>
          <w:trHeight w:val="213"/>
        </w:trPr>
        <w:tc>
          <w:tcPr>
            <w:tcW w:w="880" w:type="dxa"/>
            <w:vAlign w:val="bottom"/>
          </w:tcPr>
          <w:p>
            <w:pPr>
              <w:spacing w:after="0" w:line="212" w:lineRule="exact"/>
              <w:rPr>
                <w:sz w:val="20"/>
                <w:szCs w:val="20"/>
                <w:color w:val="auto"/>
              </w:rPr>
            </w:pPr>
            <w:r>
              <w:rPr>
                <w:rFonts w:ascii="Arial" w:cs="Arial" w:eastAsia="Arial" w:hAnsi="Arial"/>
                <w:sz w:val="20"/>
                <w:szCs w:val="20"/>
                <w:color w:val="auto"/>
                <w:w w:val="95"/>
              </w:rPr>
              <w:t>Certificate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Exhibit G</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4120" w:type="dxa"/>
            <w:vAlign w:val="bottom"/>
            <w:gridSpan w:val="2"/>
          </w:tcPr>
          <w:p>
            <w:pPr>
              <w:ind w:left="120"/>
              <w:spacing w:after="0"/>
              <w:rPr>
                <w:sz w:val="20"/>
                <w:szCs w:val="20"/>
                <w:color w:val="auto"/>
              </w:rPr>
            </w:pPr>
            <w:r>
              <w:rPr>
                <w:rFonts w:ascii="Arial" w:cs="Arial" w:eastAsia="Arial" w:hAnsi="Arial"/>
                <w:sz w:val="20"/>
                <w:szCs w:val="20"/>
                <w:color w:val="auto"/>
              </w:rPr>
              <w:t>Form of Assignment and Assumption</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line="216" w:lineRule="exact"/>
              <w:rPr>
                <w:sz w:val="20"/>
                <w:szCs w:val="20"/>
                <w:color w:val="auto"/>
              </w:rPr>
            </w:pPr>
            <w:r>
              <w:rPr>
                <w:rFonts w:ascii="Arial" w:cs="Arial" w:eastAsia="Arial" w:hAnsi="Arial"/>
                <w:sz w:val="20"/>
                <w:szCs w:val="20"/>
                <w:color w:val="auto"/>
              </w:rPr>
              <w:t>Exhibit H-1</w:t>
            </w:r>
          </w:p>
        </w:tc>
        <w:tc>
          <w:tcPr>
            <w:tcW w:w="5220" w:type="dxa"/>
            <w:vAlign w:val="bottom"/>
            <w:gridSpan w:val="4"/>
          </w:tcPr>
          <w:p>
            <w:pPr>
              <w:ind w:left="20"/>
              <w:spacing w:after="0" w:line="216" w:lineRule="exact"/>
              <w:rPr>
                <w:sz w:val="20"/>
                <w:szCs w:val="20"/>
                <w:color w:val="auto"/>
              </w:rPr>
            </w:pPr>
            <w:r>
              <w:rPr>
                <w:rFonts w:ascii="Arial" w:cs="Arial" w:eastAsia="Arial" w:hAnsi="Arial"/>
                <w:sz w:val="20"/>
                <w:szCs w:val="20"/>
                <w:color w:val="auto"/>
                <w:w w:val="96"/>
              </w:rPr>
              <w:t>-  Form of U.S. Tax Compliance Certificate (Non-Partnership</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120" w:type="dxa"/>
            <w:vAlign w:val="bottom"/>
            <w:gridSpan w:val="2"/>
            <w:vMerge w:val="restart"/>
          </w:tcPr>
          <w:p>
            <w:pPr>
              <w:spacing w:after="0"/>
              <w:rPr>
                <w:sz w:val="20"/>
                <w:szCs w:val="20"/>
                <w:color w:val="auto"/>
              </w:rPr>
            </w:pPr>
            <w:r>
              <w:rPr>
                <w:rFonts w:ascii="Arial" w:cs="Arial" w:eastAsia="Arial" w:hAnsi="Arial"/>
                <w:sz w:val="20"/>
                <w:szCs w:val="20"/>
                <w:color w:val="auto"/>
              </w:rPr>
              <w:t>Exhibit H-2</w:t>
            </w:r>
          </w:p>
        </w:tc>
        <w:tc>
          <w:tcPr>
            <w:tcW w:w="260" w:type="dxa"/>
            <w:vAlign w:val="bottom"/>
          </w:tcPr>
          <w:p>
            <w:pPr>
              <w:spacing w:after="0"/>
              <w:rPr>
                <w:sz w:val="16"/>
                <w:szCs w:val="16"/>
                <w:color w:val="auto"/>
              </w:rPr>
            </w:pPr>
          </w:p>
        </w:tc>
        <w:tc>
          <w:tcPr>
            <w:tcW w:w="3860" w:type="dxa"/>
            <w:vAlign w:val="bottom"/>
          </w:tcPr>
          <w:p>
            <w:pPr>
              <w:ind w:left="700"/>
              <w:spacing w:after="0" w:line="192" w:lineRule="exact"/>
              <w:rPr>
                <w:sz w:val="20"/>
                <w:szCs w:val="20"/>
                <w:color w:val="auto"/>
              </w:rPr>
            </w:pPr>
            <w:r>
              <w:rPr>
                <w:rFonts w:ascii="Arial" w:cs="Arial" w:eastAsia="Arial" w:hAnsi="Arial"/>
                <w:sz w:val="20"/>
                <w:szCs w:val="20"/>
                <w:color w:val="auto"/>
              </w:rPr>
              <w:t>Foreign Lenders)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gridSpan w:val="2"/>
            <w:vMerge w:val="continue"/>
          </w:tcPr>
          <w:p>
            <w:pPr>
              <w:spacing w:after="0"/>
              <w:rPr>
                <w:sz w:val="17"/>
                <w:szCs w:val="17"/>
                <w:color w:val="auto"/>
              </w:rPr>
            </w:pPr>
          </w:p>
        </w:tc>
        <w:tc>
          <w:tcPr>
            <w:tcW w:w="5220" w:type="dxa"/>
            <w:vAlign w:val="bottom"/>
            <w:gridSpan w:val="4"/>
          </w:tcPr>
          <w:p>
            <w:pPr>
              <w:ind w:left="20"/>
              <w:spacing w:after="0" w:line="199" w:lineRule="exact"/>
              <w:rPr>
                <w:sz w:val="20"/>
                <w:szCs w:val="20"/>
                <w:color w:val="auto"/>
              </w:rPr>
            </w:pPr>
            <w:r>
              <w:rPr>
                <w:rFonts w:ascii="Arial" w:cs="Arial" w:eastAsia="Arial" w:hAnsi="Arial"/>
                <w:sz w:val="20"/>
                <w:szCs w:val="20"/>
                <w:color w:val="auto"/>
                <w:w w:val="96"/>
              </w:rPr>
              <w:t>-  Form of U.S. Tax Compliance Certificate (Non-Partnership</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tcPr>
          <w:p>
            <w:pPr>
              <w:ind w:left="700"/>
              <w:spacing w:after="0" w:line="203" w:lineRule="exact"/>
              <w:rPr>
                <w:sz w:val="20"/>
                <w:szCs w:val="20"/>
                <w:color w:val="auto"/>
              </w:rPr>
            </w:pPr>
            <w:r>
              <w:rPr>
                <w:rFonts w:ascii="Arial" w:cs="Arial" w:eastAsia="Arial" w:hAnsi="Arial"/>
                <w:sz w:val="20"/>
                <w:szCs w:val="20"/>
                <w:color w:val="auto"/>
              </w:rPr>
              <w:t>Foreign Participants)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spacing w:after="0" w:line="192" w:lineRule="exact"/>
              <w:rPr>
                <w:sz w:val="20"/>
                <w:szCs w:val="20"/>
                <w:color w:val="auto"/>
              </w:rPr>
            </w:pPr>
            <w:r>
              <w:rPr>
                <w:rFonts w:ascii="Arial" w:cs="Arial" w:eastAsia="Arial" w:hAnsi="Arial"/>
                <w:sz w:val="20"/>
                <w:szCs w:val="20"/>
                <w:color w:val="auto"/>
              </w:rPr>
              <w:t>Exhibit H-3</w:t>
            </w:r>
          </w:p>
        </w:tc>
        <w:tc>
          <w:tcPr>
            <w:tcW w:w="8080" w:type="dxa"/>
            <w:vAlign w:val="bottom"/>
            <w:gridSpan w:val="7"/>
          </w:tcPr>
          <w:p>
            <w:pPr>
              <w:ind w:left="20"/>
              <w:spacing w:after="0" w:line="192" w:lineRule="exact"/>
              <w:rPr>
                <w:sz w:val="20"/>
                <w:szCs w:val="20"/>
                <w:color w:val="auto"/>
              </w:rPr>
            </w:pPr>
            <w:r>
              <w:rPr>
                <w:rFonts w:ascii="Arial" w:cs="Arial" w:eastAsia="Arial" w:hAnsi="Arial"/>
                <w:sz w:val="20"/>
                <w:szCs w:val="20"/>
                <w:color w:val="auto"/>
              </w:rPr>
              <w:t>-  Form of U.S. Tax Compliance Certificate (Foreign Participant Partnerships)</w:t>
            </w:r>
          </w:p>
        </w:tc>
        <w:tc>
          <w:tcPr>
            <w:tcW w:w="0" w:type="dxa"/>
            <w:vAlign w:val="bottom"/>
          </w:tcPr>
          <w:p>
            <w:pPr>
              <w:spacing w:after="0"/>
              <w:rPr>
                <w:sz w:val="1"/>
                <w:szCs w:val="1"/>
                <w:color w:val="auto"/>
              </w:rPr>
            </w:pPr>
          </w:p>
        </w:tc>
      </w:tr>
      <w:tr>
        <w:trPr>
          <w:trHeight w:val="199"/>
        </w:trPr>
        <w:tc>
          <w:tcPr>
            <w:tcW w:w="1120" w:type="dxa"/>
            <w:vAlign w:val="bottom"/>
            <w:gridSpan w:val="2"/>
          </w:tcPr>
          <w:p>
            <w:pPr>
              <w:spacing w:after="0" w:line="199" w:lineRule="exact"/>
              <w:rPr>
                <w:sz w:val="20"/>
                <w:szCs w:val="20"/>
                <w:color w:val="auto"/>
              </w:rPr>
            </w:pPr>
            <w:r>
              <w:rPr>
                <w:rFonts w:ascii="Arial" w:cs="Arial" w:eastAsia="Arial" w:hAnsi="Arial"/>
                <w:sz w:val="20"/>
                <w:szCs w:val="20"/>
                <w:color w:val="auto"/>
              </w:rPr>
              <w:t>Exhibit H-4</w:t>
            </w:r>
          </w:p>
        </w:tc>
        <w:tc>
          <w:tcPr>
            <w:tcW w:w="5220" w:type="dxa"/>
            <w:vAlign w:val="bottom"/>
            <w:gridSpan w:val="4"/>
          </w:tcPr>
          <w:p>
            <w:pPr>
              <w:ind w:left="20"/>
              <w:spacing w:after="0" w:line="199" w:lineRule="exact"/>
              <w:rPr>
                <w:sz w:val="20"/>
                <w:szCs w:val="20"/>
                <w:color w:val="auto"/>
              </w:rPr>
            </w:pPr>
            <w:r>
              <w:rPr>
                <w:rFonts w:ascii="Arial" w:cs="Arial" w:eastAsia="Arial" w:hAnsi="Arial"/>
                <w:sz w:val="20"/>
                <w:szCs w:val="20"/>
                <w:color w:val="auto"/>
                <w:w w:val="98"/>
              </w:rPr>
              <w:t>-  Form of U.S. Tax Compliance Certificate (Foreign Lender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60" w:type="dxa"/>
            <w:vAlign w:val="bottom"/>
          </w:tcPr>
          <w:p>
            <w:pPr>
              <w:ind w:left="700"/>
              <w:spacing w:after="0" w:line="203" w:lineRule="exact"/>
              <w:rPr>
                <w:sz w:val="20"/>
                <w:szCs w:val="20"/>
                <w:color w:val="auto"/>
              </w:rPr>
            </w:pPr>
            <w:r>
              <w:rPr>
                <w:rFonts w:ascii="Arial" w:cs="Arial" w:eastAsia="Arial" w:hAnsi="Arial"/>
                <w:sz w:val="20"/>
                <w:szCs w:val="20"/>
                <w:color w:val="auto"/>
              </w:rPr>
              <w:t>Partnerships)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Exhibit I</w:t>
            </w:r>
          </w:p>
        </w:tc>
        <w:tc>
          <w:tcPr>
            <w:tcW w:w="24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5420" w:type="dxa"/>
            <w:vAlign w:val="bottom"/>
            <w:gridSpan w:val="5"/>
          </w:tcPr>
          <w:p>
            <w:pPr>
              <w:ind w:left="20"/>
              <w:spacing w:after="0"/>
              <w:rPr>
                <w:sz w:val="20"/>
                <w:szCs w:val="20"/>
                <w:color w:val="auto"/>
              </w:rPr>
            </w:pPr>
            <w:r>
              <w:rPr>
                <w:rFonts w:ascii="Arial" w:cs="Arial" w:eastAsia="Arial" w:hAnsi="Arial"/>
                <w:sz w:val="20"/>
                <w:szCs w:val="20"/>
                <w:color w:val="auto"/>
                <w:w w:val="91"/>
              </w:rPr>
              <w:t>Additional Borrower Request and Assumption Agreement Exhibit J</w:t>
            </w:r>
          </w:p>
        </w:tc>
        <w:tc>
          <w:tcPr>
            <w:tcW w:w="280" w:type="dxa"/>
            <w:vAlign w:val="bottom"/>
          </w:tcPr>
          <w:p>
            <w:pPr>
              <w:ind w:left="180"/>
              <w:spacing w:after="0"/>
              <w:rPr>
                <w:sz w:val="20"/>
                <w:szCs w:val="20"/>
                <w:color w:val="auto"/>
              </w:rPr>
            </w:pPr>
            <w:r>
              <w:rPr>
                <w:rFonts w:ascii="Arial" w:cs="Arial" w:eastAsia="Arial" w:hAnsi="Arial"/>
                <w:sz w:val="20"/>
                <w:szCs w:val="20"/>
                <w:color w:val="auto"/>
              </w:rPr>
              <w:t>-</w:t>
            </w:r>
          </w:p>
        </w:tc>
        <w:tc>
          <w:tcPr>
            <w:tcW w:w="2380" w:type="dxa"/>
            <w:vAlign w:val="bottom"/>
          </w:tcPr>
          <w:p>
            <w:pPr>
              <w:ind w:left="140"/>
              <w:spacing w:after="0"/>
              <w:rPr>
                <w:sz w:val="20"/>
                <w:szCs w:val="20"/>
                <w:color w:val="auto"/>
              </w:rPr>
            </w:pPr>
            <w:r>
              <w:rPr>
                <w:rFonts w:ascii="Arial" w:cs="Arial" w:eastAsia="Arial" w:hAnsi="Arial"/>
                <w:sz w:val="20"/>
                <w:szCs w:val="20"/>
                <w:color w:val="auto"/>
                <w:w w:val="93"/>
              </w:rPr>
              <w:t>Additional Borrower Notice</w:t>
            </w:r>
          </w:p>
        </w:tc>
        <w:tc>
          <w:tcPr>
            <w:tcW w:w="0" w:type="dxa"/>
            <w:vAlign w:val="bottom"/>
          </w:tcPr>
          <w:p>
            <w:pPr>
              <w:spacing w:after="0"/>
              <w:rPr>
                <w:sz w:val="1"/>
                <w:szCs w:val="1"/>
                <w:color w:val="auto"/>
              </w:rPr>
            </w:pPr>
          </w:p>
        </w:tc>
      </w:tr>
      <w:tr>
        <w:trPr>
          <w:trHeight w:val="398"/>
        </w:trPr>
        <w:tc>
          <w:tcPr>
            <w:tcW w:w="1380" w:type="dxa"/>
            <w:vAlign w:val="bottom"/>
            <w:gridSpan w:val="3"/>
          </w:tcPr>
          <w:p>
            <w:pPr>
              <w:spacing w:after="0"/>
              <w:rPr>
                <w:sz w:val="20"/>
                <w:szCs w:val="20"/>
                <w:color w:val="auto"/>
              </w:rPr>
            </w:pPr>
            <w:r>
              <w:rPr>
                <w:rFonts w:ascii="Arial" w:cs="Arial" w:eastAsia="Arial" w:hAnsi="Arial"/>
                <w:sz w:val="20"/>
                <w:szCs w:val="20"/>
                <w:color w:val="auto"/>
              </w:rPr>
              <w:t>SCHEDULES</w:t>
            </w: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380" w:type="dxa"/>
            <w:vAlign w:val="bottom"/>
            <w:gridSpan w:val="3"/>
          </w:tcPr>
          <w:p>
            <w:pPr>
              <w:spacing w:after="0" w:line="192" w:lineRule="exact"/>
              <w:rPr>
                <w:sz w:val="20"/>
                <w:szCs w:val="20"/>
                <w:color w:val="auto"/>
              </w:rPr>
            </w:pPr>
            <w:r>
              <w:rPr>
                <w:rFonts w:ascii="Arial" w:cs="Arial" w:eastAsia="Arial" w:hAnsi="Arial"/>
                <w:sz w:val="20"/>
                <w:szCs w:val="20"/>
                <w:color w:val="auto"/>
                <w:w w:val="96"/>
              </w:rPr>
              <w:t>Schedule 1.1(a)</w:t>
            </w:r>
          </w:p>
        </w:tc>
        <w:tc>
          <w:tcPr>
            <w:tcW w:w="5160" w:type="dxa"/>
            <w:vAlign w:val="bottom"/>
            <w:gridSpan w:val="4"/>
          </w:tcPr>
          <w:p>
            <w:pPr>
              <w:ind w:left="60"/>
              <w:spacing w:after="0" w:line="192" w:lineRule="exact"/>
              <w:rPr>
                <w:sz w:val="20"/>
                <w:szCs w:val="20"/>
                <w:color w:val="auto"/>
              </w:rPr>
            </w:pPr>
            <w:r>
              <w:rPr>
                <w:rFonts w:ascii="Arial" w:cs="Arial" w:eastAsia="Arial" w:hAnsi="Arial"/>
                <w:sz w:val="20"/>
                <w:szCs w:val="20"/>
                <w:color w:val="auto"/>
                <w:w w:val="90"/>
              </w:rPr>
              <w:t>-  Commitments and Commitment Percentages Schedule 1.1(b)</w:t>
            </w:r>
          </w:p>
        </w:tc>
        <w:tc>
          <w:tcPr>
            <w:tcW w:w="280" w:type="dxa"/>
            <w:vAlign w:val="bottom"/>
          </w:tcPr>
          <w:p>
            <w:pPr>
              <w:ind w:left="200"/>
              <w:spacing w:after="0" w:line="192" w:lineRule="exact"/>
              <w:rPr>
                <w:sz w:val="20"/>
                <w:szCs w:val="20"/>
                <w:color w:val="auto"/>
              </w:rPr>
            </w:pPr>
            <w:r>
              <w:rPr>
                <w:rFonts w:ascii="Arial" w:cs="Arial" w:eastAsia="Arial" w:hAnsi="Arial"/>
                <w:sz w:val="20"/>
                <w:szCs w:val="20"/>
                <w:color w:val="auto"/>
                <w:w w:val="89"/>
              </w:rPr>
              <w:t>-</w:t>
            </w:r>
          </w:p>
        </w:tc>
        <w:tc>
          <w:tcPr>
            <w:tcW w:w="2380" w:type="dxa"/>
            <w:vAlign w:val="bottom"/>
          </w:tcPr>
          <w:p>
            <w:pPr>
              <w:ind w:left="180"/>
              <w:spacing w:after="0" w:line="192" w:lineRule="exact"/>
              <w:rPr>
                <w:sz w:val="20"/>
                <w:szCs w:val="20"/>
                <w:color w:val="auto"/>
              </w:rPr>
            </w:pPr>
            <w:r>
              <w:rPr>
                <w:rFonts w:ascii="Arial" w:cs="Arial" w:eastAsia="Arial" w:hAnsi="Arial"/>
                <w:sz w:val="20"/>
                <w:szCs w:val="20"/>
                <w:color w:val="auto"/>
              </w:rPr>
              <w:t>Existing Letters of</w:t>
            </w:r>
          </w:p>
        </w:tc>
        <w:tc>
          <w:tcPr>
            <w:tcW w:w="0" w:type="dxa"/>
            <w:vAlign w:val="bottom"/>
          </w:tcPr>
          <w:p>
            <w:pPr>
              <w:spacing w:after="0"/>
              <w:rPr>
                <w:sz w:val="1"/>
                <w:szCs w:val="1"/>
                <w:color w:val="auto"/>
              </w:rPr>
            </w:pPr>
          </w:p>
        </w:tc>
      </w:tr>
      <w:tr>
        <w:trPr>
          <w:trHeight w:val="199"/>
        </w:trPr>
        <w:tc>
          <w:tcPr>
            <w:tcW w:w="880" w:type="dxa"/>
            <w:vAlign w:val="bottom"/>
          </w:tcPr>
          <w:p>
            <w:pPr>
              <w:spacing w:after="0" w:line="199" w:lineRule="exact"/>
              <w:rPr>
                <w:sz w:val="20"/>
                <w:szCs w:val="20"/>
                <w:color w:val="auto"/>
              </w:rPr>
            </w:pPr>
            <w:r>
              <w:rPr>
                <w:rFonts w:ascii="Arial" w:cs="Arial" w:eastAsia="Arial" w:hAnsi="Arial"/>
                <w:sz w:val="20"/>
                <w:szCs w:val="20"/>
                <w:color w:val="auto"/>
              </w:rPr>
              <w:t>Credit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6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auto"/>
                <w:w w:val="96"/>
              </w:rPr>
              <w:t xml:space="preserve">-  </w:t>
            </w:r>
            <w:r>
              <w:rPr>
                <w:rFonts w:ascii="Arial" w:cs="Arial" w:eastAsia="Arial" w:hAnsi="Arial"/>
                <w:sz w:val="20"/>
                <w:szCs w:val="20"/>
                <w:color w:val="auto"/>
                <w:w w:val="96"/>
              </w:rPr>
              <w:t>Historical Financial Covenant Amounts Schedule 1.1(d)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3"/>
          </w:tcPr>
          <w:p>
            <w:pPr>
              <w:spacing w:after="0" w:line="203" w:lineRule="exact"/>
              <w:rPr>
                <w:sz w:val="20"/>
                <w:szCs w:val="20"/>
                <w:color w:val="auto"/>
              </w:rPr>
            </w:pPr>
            <w:r>
              <w:rPr>
                <w:rFonts w:ascii="Arial" w:cs="Arial" w:eastAsia="Arial" w:hAnsi="Arial"/>
                <w:sz w:val="20"/>
                <w:szCs w:val="20"/>
                <w:color w:val="auto"/>
                <w:w w:val="97"/>
              </w:rPr>
              <w:t>Schedule 1.1(c)</w:t>
            </w:r>
          </w:p>
        </w:tc>
        <w:tc>
          <w:tcPr>
            <w:tcW w:w="4960" w:type="dxa"/>
            <w:vAlign w:val="bottom"/>
            <w:gridSpan w:val="3"/>
            <w:vMerge w:val="continue"/>
          </w:tcPr>
          <w:p>
            <w:pPr>
              <w:spacing w:after="0"/>
              <w:rPr>
                <w:sz w:val="17"/>
                <w:szCs w:val="17"/>
                <w:color w:val="auto"/>
              </w:rPr>
            </w:pPr>
          </w:p>
        </w:tc>
        <w:tc>
          <w:tcPr>
            <w:tcW w:w="200" w:type="dxa"/>
            <w:vAlign w:val="bottom"/>
          </w:tcPr>
          <w:p>
            <w:pPr>
              <w:jc w:val="right"/>
              <w:ind w:right="21"/>
              <w:spacing w:after="0" w:line="203" w:lineRule="exact"/>
              <w:rPr>
                <w:sz w:val="20"/>
                <w:szCs w:val="20"/>
                <w:color w:val="auto"/>
              </w:rPr>
            </w:pPr>
            <w:r>
              <w:rPr>
                <w:rFonts w:ascii="Arial" w:cs="Arial" w:eastAsia="Arial" w:hAnsi="Arial"/>
                <w:sz w:val="20"/>
                <w:szCs w:val="20"/>
                <w:color w:val="auto"/>
                <w:w w:val="89"/>
              </w:rPr>
              <w:t>-</w:t>
            </w:r>
          </w:p>
        </w:tc>
        <w:tc>
          <w:tcPr>
            <w:tcW w:w="2660" w:type="dxa"/>
            <w:vAlign w:val="bottom"/>
            <w:gridSpan w:val="2"/>
          </w:tcPr>
          <w:p>
            <w:pPr>
              <w:ind w:left="80"/>
              <w:spacing w:after="0" w:line="203" w:lineRule="exact"/>
              <w:rPr>
                <w:sz w:val="20"/>
                <w:szCs w:val="20"/>
                <w:color w:val="auto"/>
              </w:rPr>
            </w:pPr>
            <w:r>
              <w:rPr>
                <w:rFonts w:ascii="Arial" w:cs="Arial" w:eastAsia="Arial" w:hAnsi="Arial"/>
                <w:sz w:val="20"/>
                <w:szCs w:val="20"/>
                <w:color w:val="auto"/>
              </w:rPr>
              <w:t>Initial Issuing</w:t>
            </w:r>
          </w:p>
        </w:tc>
        <w:tc>
          <w:tcPr>
            <w:tcW w:w="0" w:type="dxa"/>
            <w:vAlign w:val="bottom"/>
          </w:tcPr>
          <w:p>
            <w:pPr>
              <w:spacing w:after="0"/>
              <w:rPr>
                <w:sz w:val="1"/>
                <w:szCs w:val="1"/>
                <w:color w:val="auto"/>
              </w:rPr>
            </w:pPr>
          </w:p>
        </w:tc>
      </w:tr>
      <w:tr>
        <w:trPr>
          <w:trHeight w:val="192"/>
        </w:trPr>
        <w:tc>
          <w:tcPr>
            <w:tcW w:w="5240" w:type="dxa"/>
            <w:vAlign w:val="bottom"/>
            <w:gridSpan w:val="4"/>
          </w:tcPr>
          <w:p>
            <w:pPr>
              <w:spacing w:after="0" w:line="192" w:lineRule="exact"/>
              <w:rPr>
                <w:sz w:val="20"/>
                <w:szCs w:val="20"/>
                <w:color w:val="auto"/>
              </w:rPr>
            </w:pPr>
            <w:r>
              <w:rPr>
                <w:rFonts w:ascii="Arial" w:cs="Arial" w:eastAsia="Arial" w:hAnsi="Arial"/>
                <w:sz w:val="20"/>
                <w:szCs w:val="20"/>
                <w:color w:val="auto"/>
              </w:rPr>
              <w:t>Lender Commitments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vMerge w:val="restart"/>
          </w:tcPr>
          <w:p>
            <w:pPr>
              <w:jc w:val="center"/>
              <w:ind w:left="41"/>
              <w:spacing w:after="0"/>
              <w:rPr>
                <w:sz w:val="20"/>
                <w:szCs w:val="20"/>
                <w:color w:val="auto"/>
              </w:rPr>
            </w:pPr>
            <w:r>
              <w:rPr>
                <w:rFonts w:ascii="Arial" w:cs="Arial" w:eastAsia="Arial" w:hAnsi="Arial"/>
                <w:sz w:val="20"/>
                <w:szCs w:val="20"/>
                <w:color w:val="auto"/>
                <w:w w:val="89"/>
              </w:rPr>
              <w:t>-</w:t>
            </w:r>
          </w:p>
        </w:tc>
        <w:tc>
          <w:tcPr>
            <w:tcW w:w="2660" w:type="dxa"/>
            <w:vAlign w:val="bottom"/>
            <w:gridSpan w:val="2"/>
            <w:vMerge w:val="restart"/>
          </w:tcPr>
          <w:p>
            <w:pPr>
              <w:ind w:left="200"/>
              <w:spacing w:after="0"/>
              <w:rPr>
                <w:sz w:val="20"/>
                <w:szCs w:val="20"/>
                <w:color w:val="auto"/>
              </w:rPr>
            </w:pPr>
            <w:r>
              <w:rPr>
                <w:rFonts w:ascii="Arial" w:cs="Arial" w:eastAsia="Arial" w:hAnsi="Arial"/>
                <w:sz w:val="20"/>
                <w:szCs w:val="20"/>
                <w:color w:val="auto"/>
              </w:rPr>
              <w:t>Subsidiaries and</w:t>
            </w:r>
          </w:p>
        </w:tc>
        <w:tc>
          <w:tcPr>
            <w:tcW w:w="0" w:type="dxa"/>
            <w:vAlign w:val="bottom"/>
          </w:tcPr>
          <w:p>
            <w:pPr>
              <w:spacing w:after="0"/>
              <w:rPr>
                <w:sz w:val="1"/>
                <w:szCs w:val="1"/>
                <w:color w:val="auto"/>
              </w:rPr>
            </w:pPr>
          </w:p>
        </w:tc>
      </w:tr>
      <w:tr>
        <w:trPr>
          <w:trHeight w:val="199"/>
        </w:trPr>
        <w:tc>
          <w:tcPr>
            <w:tcW w:w="1120" w:type="dxa"/>
            <w:vAlign w:val="bottom"/>
            <w:gridSpan w:val="2"/>
          </w:tcPr>
          <w:p>
            <w:pPr>
              <w:spacing w:after="0" w:line="199" w:lineRule="exact"/>
              <w:rPr>
                <w:sz w:val="20"/>
                <w:szCs w:val="20"/>
                <w:color w:val="auto"/>
              </w:rPr>
            </w:pPr>
            <w:r>
              <w:rPr>
                <w:rFonts w:ascii="Arial" w:cs="Arial" w:eastAsia="Arial" w:hAnsi="Arial"/>
                <w:sz w:val="20"/>
                <w:szCs w:val="20"/>
                <w:color w:val="auto"/>
                <w:w w:val="94"/>
              </w:rPr>
              <w:t>Schedule 7.1</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00"/>
              <w:spacing w:after="0" w:line="199" w:lineRule="exact"/>
              <w:rPr>
                <w:sz w:val="20"/>
                <w:szCs w:val="20"/>
                <w:color w:val="auto"/>
              </w:rPr>
            </w:pPr>
            <w:r>
              <w:rPr>
                <w:rFonts w:ascii="Arial" w:cs="Arial" w:eastAsia="Arial" w:hAnsi="Arial"/>
                <w:sz w:val="20"/>
                <w:szCs w:val="20"/>
                <w:color w:val="auto"/>
                <w:w w:val="91"/>
              </w:rPr>
              <w:t>Jurisdictions of Organization and Qualification Schedule 7.2</w:t>
            </w:r>
          </w:p>
        </w:tc>
        <w:tc>
          <w:tcPr>
            <w:tcW w:w="200" w:type="dxa"/>
            <w:vAlign w:val="bottom"/>
            <w:vMerge w:val="continue"/>
          </w:tcPr>
          <w:p>
            <w:pPr>
              <w:spacing w:after="0"/>
              <w:rPr>
                <w:sz w:val="17"/>
                <w:szCs w:val="17"/>
                <w:color w:val="auto"/>
              </w:rPr>
            </w:pPr>
          </w:p>
        </w:tc>
        <w:tc>
          <w:tcPr>
            <w:tcW w:w="2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3" w:lineRule="exact"/>
              <w:rPr>
                <w:sz w:val="20"/>
                <w:szCs w:val="20"/>
                <w:color w:val="auto"/>
              </w:rPr>
            </w:pPr>
            <w:r>
              <w:rPr>
                <w:rFonts w:ascii="Arial" w:cs="Arial" w:eastAsia="Arial" w:hAnsi="Arial"/>
                <w:sz w:val="20"/>
                <w:szCs w:val="20"/>
                <w:color w:val="auto"/>
                <w:w w:val="91"/>
              </w:rPr>
              <w:t>Capitalization</w:t>
            </w:r>
          </w:p>
        </w:tc>
        <w:tc>
          <w:tcPr>
            <w:tcW w:w="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spacing w:after="0" w:line="192" w:lineRule="exact"/>
              <w:rPr>
                <w:sz w:val="20"/>
                <w:szCs w:val="20"/>
                <w:color w:val="auto"/>
              </w:rPr>
            </w:pPr>
            <w:r>
              <w:rPr>
                <w:rFonts w:ascii="Arial" w:cs="Arial" w:eastAsia="Arial" w:hAnsi="Arial"/>
                <w:sz w:val="20"/>
                <w:szCs w:val="20"/>
                <w:color w:val="auto"/>
                <w:w w:val="94"/>
              </w:rPr>
              <w:t>Schedule 7.6</w:t>
            </w:r>
          </w:p>
        </w:tc>
        <w:tc>
          <w:tcPr>
            <w:tcW w:w="260" w:type="dxa"/>
            <w:vAlign w:val="bottom"/>
          </w:tcPr>
          <w:p>
            <w:pPr>
              <w:ind w:left="100"/>
              <w:spacing w:after="0" w:line="192" w:lineRule="exact"/>
              <w:rPr>
                <w:sz w:val="20"/>
                <w:szCs w:val="20"/>
                <w:color w:val="auto"/>
              </w:rPr>
            </w:pPr>
            <w:r>
              <w:rPr>
                <w:rFonts w:ascii="Arial" w:cs="Arial" w:eastAsia="Arial" w:hAnsi="Arial"/>
                <w:sz w:val="20"/>
                <w:szCs w:val="20"/>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20"/>
                <w:szCs w:val="20"/>
                <w:color w:val="auto"/>
              </w:rPr>
              <w:t>Tax Matters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gridSpan w:val="2"/>
          </w:tcPr>
          <w:p>
            <w:pPr>
              <w:spacing w:after="0" w:line="199" w:lineRule="exact"/>
              <w:rPr>
                <w:sz w:val="20"/>
                <w:szCs w:val="20"/>
                <w:color w:val="auto"/>
              </w:rPr>
            </w:pPr>
            <w:r>
              <w:rPr>
                <w:rFonts w:ascii="Arial" w:cs="Arial" w:eastAsia="Arial" w:hAnsi="Arial"/>
                <w:sz w:val="20"/>
                <w:szCs w:val="20"/>
                <w:color w:val="auto"/>
                <w:w w:val="94"/>
              </w:rPr>
              <w:t>Schedule 7.9</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rPr>
              <w:t>-</w:t>
            </w:r>
          </w:p>
        </w:tc>
        <w:tc>
          <w:tcPr>
            <w:tcW w:w="3860" w:type="dxa"/>
            <w:vAlign w:val="bottom"/>
          </w:tcPr>
          <w:p>
            <w:pPr>
              <w:ind w:left="100"/>
              <w:spacing w:after="0" w:line="199" w:lineRule="exact"/>
              <w:rPr>
                <w:sz w:val="20"/>
                <w:szCs w:val="20"/>
                <w:color w:val="auto"/>
              </w:rPr>
            </w:pPr>
            <w:r>
              <w:rPr>
                <w:rFonts w:ascii="Arial" w:cs="Arial" w:eastAsia="Arial" w:hAnsi="Arial"/>
                <w:sz w:val="20"/>
                <w:szCs w:val="20"/>
                <w:color w:val="auto"/>
              </w:rPr>
              <w:t>ERISA Plans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3" w:lineRule="exact"/>
              <w:rPr>
                <w:sz w:val="20"/>
                <w:szCs w:val="20"/>
                <w:color w:val="auto"/>
              </w:rPr>
            </w:pPr>
            <w:r>
              <w:rPr>
                <w:rFonts w:ascii="Arial" w:cs="Arial" w:eastAsia="Arial" w:hAnsi="Arial"/>
                <w:sz w:val="20"/>
                <w:szCs w:val="20"/>
                <w:color w:val="auto"/>
                <w:w w:val="85"/>
              </w:rPr>
              <w:t>Schedule 7.13</w:t>
            </w:r>
          </w:p>
        </w:tc>
        <w:tc>
          <w:tcPr>
            <w:tcW w:w="260" w:type="dxa"/>
            <w:vAlign w:val="bottom"/>
          </w:tcPr>
          <w:p>
            <w:pPr>
              <w:ind w:left="200"/>
              <w:spacing w:after="0"/>
              <w:rPr>
                <w:sz w:val="20"/>
                <w:szCs w:val="20"/>
                <w:color w:val="auto"/>
              </w:rPr>
            </w:pPr>
            <w:r>
              <w:rPr>
                <w:rFonts w:ascii="Arial" w:cs="Arial" w:eastAsia="Arial" w:hAnsi="Arial"/>
                <w:sz w:val="16"/>
                <w:szCs w:val="16"/>
                <w:color w:val="auto"/>
                <w:w w:val="74"/>
              </w:rPr>
              <w:t>-</w:t>
            </w:r>
          </w:p>
        </w:tc>
        <w:tc>
          <w:tcPr>
            <w:tcW w:w="4960" w:type="dxa"/>
            <w:vAlign w:val="bottom"/>
            <w:gridSpan w:val="3"/>
          </w:tcPr>
          <w:p>
            <w:pPr>
              <w:ind w:left="200"/>
              <w:spacing w:after="0" w:line="203" w:lineRule="exact"/>
              <w:rPr>
                <w:sz w:val="20"/>
                <w:szCs w:val="20"/>
                <w:color w:val="auto"/>
              </w:rPr>
            </w:pPr>
            <w:r>
              <w:rPr>
                <w:rFonts w:ascii="Arial" w:cs="Arial" w:eastAsia="Arial" w:hAnsi="Arial"/>
                <w:sz w:val="20"/>
                <w:szCs w:val="20"/>
                <w:color w:val="auto"/>
                <w:w w:val="89"/>
              </w:rPr>
              <w:t>Labor and Collective Bargaining Agreements Schedule 7.18</w:t>
            </w:r>
          </w:p>
        </w:tc>
        <w:tc>
          <w:tcPr>
            <w:tcW w:w="200" w:type="dxa"/>
            <w:vAlign w:val="bottom"/>
          </w:tcPr>
          <w:p>
            <w:pPr>
              <w:spacing w:after="0"/>
              <w:rPr>
                <w:sz w:val="17"/>
                <w:szCs w:val="17"/>
                <w:color w:val="auto"/>
              </w:rPr>
            </w:pPr>
          </w:p>
        </w:tc>
        <w:tc>
          <w:tcPr>
            <w:tcW w:w="280" w:type="dxa"/>
            <w:vAlign w:val="bottom"/>
          </w:tcPr>
          <w:p>
            <w:pPr>
              <w:jc w:val="right"/>
              <w:ind w:right="101"/>
              <w:spacing w:after="0" w:line="203" w:lineRule="exact"/>
              <w:rPr>
                <w:sz w:val="20"/>
                <w:szCs w:val="20"/>
                <w:color w:val="auto"/>
              </w:rPr>
            </w:pPr>
            <w:r>
              <w:rPr>
                <w:rFonts w:ascii="Arial" w:cs="Arial" w:eastAsia="Arial" w:hAnsi="Arial"/>
                <w:sz w:val="20"/>
                <w:szCs w:val="20"/>
                <w:color w:val="auto"/>
                <w:w w:val="89"/>
              </w:rPr>
              <w:t>-</w:t>
            </w:r>
          </w:p>
        </w:tc>
        <w:tc>
          <w:tcPr>
            <w:tcW w:w="2380" w:type="dxa"/>
            <w:vAlign w:val="bottom"/>
          </w:tcPr>
          <w:p>
            <w:pPr>
              <w:spacing w:after="0" w:line="203" w:lineRule="exact"/>
              <w:rPr>
                <w:sz w:val="20"/>
                <w:szCs w:val="20"/>
                <w:color w:val="auto"/>
              </w:rPr>
            </w:pPr>
            <w:r>
              <w:rPr>
                <w:rFonts w:ascii="Arial" w:cs="Arial" w:eastAsia="Arial" w:hAnsi="Arial"/>
                <w:sz w:val="20"/>
                <w:szCs w:val="20"/>
                <w:color w:val="auto"/>
              </w:rPr>
              <w:t>Real Property</w:t>
            </w:r>
          </w:p>
        </w:tc>
        <w:tc>
          <w:tcPr>
            <w:tcW w:w="0" w:type="dxa"/>
            <w:vAlign w:val="bottom"/>
          </w:tcPr>
          <w:p>
            <w:pPr>
              <w:spacing w:after="0"/>
              <w:rPr>
                <w:sz w:val="1"/>
                <w:szCs w:val="1"/>
                <w:color w:val="auto"/>
              </w:rPr>
            </w:pPr>
          </w:p>
        </w:tc>
      </w:tr>
      <w:tr>
        <w:trPr>
          <w:trHeight w:val="192"/>
        </w:trPr>
        <w:tc>
          <w:tcPr>
            <w:tcW w:w="1120" w:type="dxa"/>
            <w:vAlign w:val="bottom"/>
            <w:gridSpan w:val="2"/>
          </w:tcPr>
          <w:p>
            <w:pPr>
              <w:spacing w:after="0" w:line="192" w:lineRule="exact"/>
              <w:rPr>
                <w:sz w:val="20"/>
                <w:szCs w:val="20"/>
                <w:color w:val="auto"/>
              </w:rPr>
            </w:pPr>
            <w:r>
              <w:rPr>
                <w:rFonts w:ascii="Arial" w:cs="Arial" w:eastAsia="Arial" w:hAnsi="Arial"/>
                <w:sz w:val="20"/>
                <w:szCs w:val="20"/>
                <w:color w:val="auto"/>
                <w:w w:val="85"/>
              </w:rPr>
              <w:t>Schedule 8.19</w:t>
            </w:r>
          </w:p>
        </w:tc>
        <w:tc>
          <w:tcPr>
            <w:tcW w:w="260" w:type="dxa"/>
            <w:vAlign w:val="bottom"/>
          </w:tcPr>
          <w:p>
            <w:pPr>
              <w:ind w:left="200"/>
              <w:spacing w:after="0"/>
              <w:rPr>
                <w:sz w:val="20"/>
                <w:szCs w:val="20"/>
                <w:color w:val="auto"/>
              </w:rPr>
            </w:pPr>
            <w:r>
              <w:rPr>
                <w:rFonts w:ascii="Arial" w:cs="Arial" w:eastAsia="Arial" w:hAnsi="Arial"/>
                <w:sz w:val="16"/>
                <w:szCs w:val="16"/>
                <w:color w:val="auto"/>
                <w:w w:val="74"/>
              </w:rPr>
              <w:t>-</w:t>
            </w:r>
          </w:p>
        </w:tc>
        <w:tc>
          <w:tcPr>
            <w:tcW w:w="5160" w:type="dxa"/>
            <w:vAlign w:val="bottom"/>
            <w:gridSpan w:val="4"/>
          </w:tcPr>
          <w:p>
            <w:pPr>
              <w:ind w:left="200"/>
              <w:spacing w:after="0" w:line="192" w:lineRule="exact"/>
              <w:rPr>
                <w:sz w:val="20"/>
                <w:szCs w:val="20"/>
                <w:color w:val="auto"/>
              </w:rPr>
            </w:pPr>
            <w:r>
              <w:rPr>
                <w:rFonts w:ascii="Arial" w:cs="Arial" w:eastAsia="Arial" w:hAnsi="Arial"/>
                <w:sz w:val="20"/>
                <w:szCs w:val="20"/>
                <w:color w:val="auto"/>
                <w:w w:val="92"/>
              </w:rPr>
              <w:t>Post-Closing Matters Schedule 9.1  -  Existing Indebtedness</w:t>
            </w: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gridSpan w:val="2"/>
          </w:tcPr>
          <w:p>
            <w:pPr>
              <w:spacing w:after="0" w:line="199" w:lineRule="exact"/>
              <w:rPr>
                <w:sz w:val="20"/>
                <w:szCs w:val="20"/>
                <w:color w:val="auto"/>
              </w:rPr>
            </w:pPr>
            <w:r>
              <w:rPr>
                <w:rFonts w:ascii="Arial" w:cs="Arial" w:eastAsia="Arial" w:hAnsi="Arial"/>
                <w:sz w:val="20"/>
                <w:szCs w:val="20"/>
                <w:color w:val="auto"/>
                <w:w w:val="94"/>
              </w:rPr>
              <w:t>Schedule 9.2</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rPr>
              <w:t>-</w:t>
            </w:r>
          </w:p>
        </w:tc>
        <w:tc>
          <w:tcPr>
            <w:tcW w:w="3860" w:type="dxa"/>
            <w:vAlign w:val="bottom"/>
          </w:tcPr>
          <w:p>
            <w:pPr>
              <w:ind w:left="100"/>
              <w:spacing w:after="0" w:line="199" w:lineRule="exact"/>
              <w:rPr>
                <w:sz w:val="20"/>
                <w:szCs w:val="20"/>
                <w:color w:val="auto"/>
              </w:rPr>
            </w:pPr>
            <w:r>
              <w:rPr>
                <w:rFonts w:ascii="Arial" w:cs="Arial" w:eastAsia="Arial" w:hAnsi="Arial"/>
                <w:sz w:val="20"/>
                <w:szCs w:val="20"/>
                <w:color w:val="auto"/>
              </w:rPr>
              <w:t>Existing Liens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spacing w:after="0" w:line="192" w:lineRule="exact"/>
              <w:rPr>
                <w:sz w:val="20"/>
                <w:szCs w:val="20"/>
                <w:color w:val="auto"/>
              </w:rPr>
            </w:pPr>
            <w:r>
              <w:rPr>
                <w:rFonts w:ascii="Arial" w:cs="Arial" w:eastAsia="Arial" w:hAnsi="Arial"/>
                <w:sz w:val="20"/>
                <w:szCs w:val="20"/>
                <w:color w:val="auto"/>
                <w:w w:val="94"/>
              </w:rPr>
              <w:t>Schedule 9.3</w:t>
            </w:r>
          </w:p>
        </w:tc>
        <w:tc>
          <w:tcPr>
            <w:tcW w:w="260" w:type="dxa"/>
            <w:vAlign w:val="bottom"/>
          </w:tcPr>
          <w:p>
            <w:pPr>
              <w:ind w:left="100"/>
              <w:spacing w:after="0" w:line="192"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00"/>
              <w:spacing w:after="0" w:line="192" w:lineRule="exact"/>
              <w:rPr>
                <w:sz w:val="20"/>
                <w:szCs w:val="20"/>
                <w:color w:val="auto"/>
              </w:rPr>
            </w:pPr>
            <w:r>
              <w:rPr>
                <w:rFonts w:ascii="Arial" w:cs="Arial" w:eastAsia="Arial" w:hAnsi="Arial"/>
                <w:sz w:val="20"/>
                <w:szCs w:val="20"/>
                <w:color w:val="auto"/>
                <w:w w:val="92"/>
              </w:rPr>
              <w:t>Existing Loans, Advances and Investments Schedule 9.7  -</w:t>
            </w:r>
          </w:p>
        </w:tc>
        <w:tc>
          <w:tcPr>
            <w:tcW w:w="2860" w:type="dxa"/>
            <w:vAlign w:val="bottom"/>
            <w:gridSpan w:val="3"/>
          </w:tcPr>
          <w:p>
            <w:pPr>
              <w:ind w:left="80"/>
              <w:spacing w:after="0" w:line="192" w:lineRule="exact"/>
              <w:rPr>
                <w:sz w:val="20"/>
                <w:szCs w:val="20"/>
                <w:color w:val="auto"/>
              </w:rPr>
            </w:pPr>
            <w:r>
              <w:rPr>
                <w:rFonts w:ascii="Arial" w:cs="Arial" w:eastAsia="Arial" w:hAnsi="Arial"/>
                <w:sz w:val="20"/>
                <w:szCs w:val="20"/>
                <w:color w:val="auto"/>
              </w:rPr>
              <w:t>Transactions with</w:t>
            </w:r>
          </w:p>
        </w:tc>
        <w:tc>
          <w:tcPr>
            <w:tcW w:w="0" w:type="dxa"/>
            <w:vAlign w:val="bottom"/>
          </w:tcPr>
          <w:p>
            <w:pPr>
              <w:spacing w:after="0"/>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Affiliates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4"/>
          <w:szCs w:val="14"/>
          <w:color w:val="FF0000"/>
          <w:strike w:val="1"/>
        </w:rPr>
        <w:t>146960219_6</w:t>
      </w:r>
    </w:p>
    <w:p>
      <w:pPr>
        <w:spacing w:after="0"/>
        <w:rPr>
          <w:sz w:val="20"/>
          <w:szCs w:val="20"/>
          <w:color w:val="auto"/>
        </w:rPr>
      </w:pPr>
      <w:r>
        <w:rPr>
          <w:rFonts w:ascii="Arial" w:cs="Arial" w:eastAsia="Arial" w:hAnsi="Arial"/>
          <w:sz w:val="20"/>
          <w:szCs w:val="20"/>
          <w:color w:val="auto"/>
        </w:rPr>
        <w:t xml:space="preserve">vii  </w:t>
      </w:r>
      <w:r>
        <w:rPr>
          <w:rFonts w:ascii="Arial" w:cs="Arial" w:eastAsia="Arial" w:hAnsi="Arial"/>
          <w:sz w:val="14"/>
          <w:szCs w:val="14"/>
          <w:u w:val="single" w:color="auto"/>
          <w:color w:val="0000FF"/>
        </w:rPr>
        <w:t>165457743_4</w:t>
      </w:r>
    </w:p>
    <w:p>
      <w:pPr>
        <w:sectPr>
          <w:pgSz w:w="11900" w:h="16838" w:orient="portrait"/>
          <w:cols w:equalWidth="0" w:num="1">
            <w:col w:w="10099"/>
          </w:cols>
          <w:pgMar w:left="360" w:top="1378" w:right="1440" w:bottom="1440" w:gutter="0" w:footer="0" w:header="0"/>
        </w:sectPr>
      </w:pPr>
    </w:p>
    <w:bookmarkStart w:id="76" w:name="page77"/>
    <w:bookmarkEnd w:id="76"/>
    <w:p>
      <w:pPr>
        <w:ind w:left="640"/>
        <w:spacing w:after="0"/>
        <w:rPr>
          <w:sz w:val="20"/>
          <w:szCs w:val="20"/>
          <w:color w:val="auto"/>
        </w:rPr>
      </w:pPr>
      <w:r>
        <w:rPr>
          <w:rFonts w:ascii="Arial" w:cs="Arial" w:eastAsia="Arial" w:hAnsi="Arial"/>
          <w:sz w:val="20"/>
          <w:szCs w:val="20"/>
          <w:color w:val="auto"/>
        </w:rPr>
        <w:t>SECOND AMENDED AND RESTATED CREDIT AGREEMENT, dated as of August 27, 2021,</w:t>
      </w:r>
    </w:p>
    <w:p>
      <w:pPr>
        <w:jc w:val="both"/>
        <w:spacing w:after="0" w:line="226" w:lineRule="auto"/>
        <w:rPr>
          <w:sz w:val="20"/>
          <w:szCs w:val="20"/>
          <w:color w:val="auto"/>
        </w:rPr>
      </w:pPr>
      <w:r>
        <w:rPr>
          <w:rFonts w:ascii="Arial" w:cs="Arial" w:eastAsia="Arial" w:hAnsi="Arial"/>
          <w:sz w:val="18"/>
          <w:szCs w:val="18"/>
          <w:color w:val="auto"/>
        </w:rPr>
        <w:t>by and among CENTURI GROUP, INC., a Nevada corporation, and each Additional Borrower that becomes a party hereto in accordance with Section 5.17, as US Borrowers, CENTURI CANADA DIVISION INC., a corporation organized under the laws of the Province of</w:t>
      </w:r>
    </w:p>
    <w:p>
      <w:pPr>
        <w:spacing w:after="0" w:line="236" w:lineRule="auto"/>
        <w:rPr>
          <w:sz w:val="20"/>
          <w:szCs w:val="20"/>
          <w:color w:val="auto"/>
        </w:rPr>
      </w:pPr>
      <w:r>
        <w:rPr>
          <w:rFonts w:ascii="Arial" w:cs="Arial" w:eastAsia="Arial" w:hAnsi="Arial"/>
          <w:sz w:val="18"/>
          <w:szCs w:val="18"/>
          <w:color w:val="auto"/>
        </w:rPr>
        <w:t>Ontario, Canada, and each Additional Borrower that becomes a party hereto in accordance with Section 5.17, as Canadian Borrowers,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lenders who are party to this Agreement and the lenders who may become a party to this Agreement pursuant to the terms hereof, as Lenders, and WELLS FARGO BANK, NATIONAL ASSOCIATION, a national banking association, as Administrative Agent for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STATEMENT OF PURPOSE</w:t>
      </w:r>
    </w:p>
    <w:p>
      <w:pPr>
        <w:spacing w:after="0" w:line="2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Certain of the Borrowers, certain financial institutions party thereto (the “Existing Lenders”) and the Administrative Agent are parties to that certain Amended and Restated Credit Agreement dated as of November 7, 2017 (as amended, restated, supplemented or</w:t>
      </w:r>
    </w:p>
    <w:p>
      <w:pPr>
        <w:jc w:val="both"/>
        <w:spacing w:after="0" w:line="220" w:lineRule="auto"/>
        <w:rPr>
          <w:sz w:val="20"/>
          <w:szCs w:val="20"/>
          <w:color w:val="auto"/>
        </w:rPr>
      </w:pPr>
      <w:r>
        <w:rPr>
          <w:rFonts w:ascii="Arial" w:cs="Arial" w:eastAsia="Arial" w:hAnsi="Arial"/>
          <w:sz w:val="20"/>
          <w:szCs w:val="20"/>
          <w:color w:val="auto"/>
        </w:rPr>
        <w:t>otherwise modified prior to the date hereof, the “Existing Credit Agreement”) pursuant to which the Existing Lenders extended senior credit facilities to certain of the Borrowers.</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9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such parties hereby agree as follows: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 DEFINITIONS</w:t>
      </w:r>
    </w:p>
    <w:p>
      <w:pPr>
        <w:spacing w:after="0" w:line="10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color w:val="auto"/>
        </w:rPr>
        <w:t>Definitions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 The following terms when used in this Agreement shall have the meanings assigned to them below:</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“Acceptable Intercreditor Agreement” means an intercreditor agreement, the terms of which are consistent with market terms governing security arrangements for the sharing of liens and/or arrangements relating to the distribution of payments, as applicable, (a) to</w:t>
      </w:r>
    </w:p>
    <w:p>
      <w:pPr>
        <w:jc w:val="both"/>
        <w:spacing w:after="0" w:line="226" w:lineRule="auto"/>
        <w:rPr>
          <w:sz w:val="20"/>
          <w:szCs w:val="20"/>
          <w:color w:val="auto"/>
        </w:rPr>
      </w:pPr>
      <w:r>
        <w:rPr>
          <w:rFonts w:ascii="Arial" w:cs="Arial" w:eastAsia="Arial" w:hAnsi="Arial"/>
          <w:sz w:val="18"/>
          <w:szCs w:val="18"/>
          <w:color w:val="auto"/>
        </w:rPr>
        <w:t>the extent executed in connection with the incurrence of Indebtedness secured by Collateral intended to rank equal in priority to the Liens on the Collateral securing the Obligations, on a pari passu basis, (b) to the extent executed in connection with the incurrence of</w:t>
      </w:r>
    </w:p>
    <w:p>
      <w:pPr>
        <w:spacing w:after="0" w:line="236" w:lineRule="auto"/>
        <w:rPr>
          <w:sz w:val="20"/>
          <w:szCs w:val="20"/>
          <w:color w:val="auto"/>
        </w:rPr>
      </w:pPr>
      <w:r>
        <w:rPr>
          <w:rFonts w:ascii="Arial" w:cs="Arial" w:eastAsia="Arial" w:hAnsi="Arial"/>
          <w:sz w:val="18"/>
          <w:szCs w:val="18"/>
          <w:color w:val="auto"/>
        </w:rPr>
        <w:t>Indebtedness secured by Collateral intended to rank junior in priority to the Liens on the Collateral securing the Obligations, on a junior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basis, and/or (c) to the extent executed in connection with the incurrence of Indebtedness intended to rank junior in rights to payment to the Obligations, on a junior basis, in each case at the time such intercreditor agreement is proposed to be established, as determined by the</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Administrative Agent and the Borrower in the exercise of reasonable judgment, among the Administrative Agent and one or more representatives for the holders of any such Indebtedness.</w:t>
      </w:r>
    </w:p>
    <w:p>
      <w:pPr>
        <w:spacing w:after="0" w:line="19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“Acquisition” means any transaction, or any series of related transactions, consummated on or after the date of this Agreement, by which any Consolidated Company (a) acquires any going business or all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r>
        <w:rPr>
          <w:rFonts w:ascii="Arial" w:cs="Arial" w:eastAsia="Arial" w:hAnsi="Arial"/>
          <w:sz w:val="14"/>
          <w:szCs w:val="14"/>
          <w:u w:val="single" w:color="auto"/>
          <w:color w:val="0000FF"/>
          <w:strike w:val="1"/>
        </w:rPr>
        <w:t>165457743_4</w:t>
      </w:r>
    </w:p>
    <w:p>
      <w:pPr>
        <w:sectPr>
          <w:pgSz w:w="11900" w:h="16838" w:orient="portrait"/>
          <w:cols w:equalWidth="0" w:num="1">
            <w:col w:w="11020"/>
          </w:cols>
          <w:pgMar w:left="440" w:top="1394" w:right="439" w:bottom="1440" w:gutter="0" w:footer="0" w:header="0"/>
        </w:sectPr>
      </w:pPr>
    </w:p>
    <w:bookmarkStart w:id="77" w:name="page78"/>
    <w:bookmarkEnd w:id="77"/>
    <w:p>
      <w:pPr>
        <w:ind w:left="38"/>
        <w:spacing w:after="0"/>
        <w:rPr>
          <w:sz w:val="20"/>
          <w:szCs w:val="20"/>
          <w:color w:val="auto"/>
        </w:rPr>
      </w:pPr>
      <w:r>
        <w:rPr>
          <w:rFonts w:ascii="Arial" w:cs="Arial" w:eastAsia="Arial" w:hAnsi="Arial"/>
          <w:sz w:val="18"/>
          <w:szCs w:val="18"/>
          <w:color w:val="auto"/>
        </w:rPr>
        <w:t>substantially all of the assets of any firm, corporation or limited liability company, or division thereof, whether through purchase of assets,</w:t>
      </w:r>
    </w:p>
    <w:p>
      <w:pPr>
        <w:spacing w:after="0" w:line="12"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merger, amalgamation or otherwise or (b) directly or indirectly acquires (in one transaction or as the most recent transaction in a series of transactions) at least a majority (in number of votes) of the securities of a corporation which have ordinary voting power for the election of</w:t>
      </w:r>
    </w:p>
    <w:p>
      <w:pPr>
        <w:spacing w:after="0" w:line="2" w:lineRule="exact"/>
        <w:rPr>
          <w:sz w:val="20"/>
          <w:szCs w:val="20"/>
          <w:color w:val="auto"/>
        </w:rPr>
      </w:pPr>
    </w:p>
    <w:p>
      <w:pPr>
        <w:ind w:left="38"/>
        <w:spacing w:after="0" w:line="227" w:lineRule="auto"/>
        <w:rPr>
          <w:sz w:val="20"/>
          <w:szCs w:val="20"/>
          <w:color w:val="auto"/>
        </w:rPr>
      </w:pPr>
      <w:r>
        <w:rPr>
          <w:rFonts w:ascii="Arial" w:cs="Arial" w:eastAsia="Arial" w:hAnsi="Arial"/>
          <w:sz w:val="20"/>
          <w:szCs w:val="20"/>
          <w:color w:val="auto"/>
        </w:rPr>
        <w:t>directors (other than securities having such power only by reason of the happening of a contingency) or a majority (by percentage or voting power) of the outstanding ownership interests of a partnership or limited liability company.</w:t>
      </w:r>
    </w:p>
    <w:p>
      <w:pPr>
        <w:spacing w:after="0" w:line="197" w:lineRule="exact"/>
        <w:rPr>
          <w:sz w:val="20"/>
          <w:szCs w:val="20"/>
          <w:color w:val="auto"/>
        </w:rPr>
      </w:pPr>
    </w:p>
    <w:p>
      <w:pPr>
        <w:ind w:left="38" w:firstLine="648"/>
        <w:spacing w:after="0" w:line="236" w:lineRule="auto"/>
        <w:rPr>
          <w:sz w:val="20"/>
          <w:szCs w:val="20"/>
          <w:color w:val="auto"/>
        </w:rPr>
      </w:pPr>
      <w:r>
        <w:rPr>
          <w:rFonts w:ascii="Arial" w:cs="Arial" w:eastAsia="Arial" w:hAnsi="Arial"/>
          <w:sz w:val="20"/>
          <w:szCs w:val="20"/>
          <w:color w:val="auto"/>
        </w:rPr>
        <w:t>“Additional Borrower” means certain Wholly-Owned US Subsidiaries and Wholly-Owned Canadian Subsidiaries of Centuri from time to time accepted as a Borrower to be party hereto pursuant to Section 5.17.</w:t>
      </w:r>
    </w:p>
    <w:p>
      <w:pPr>
        <w:spacing w:after="0" w:line="26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“Additional Borrower Notice” has the meaning set forth in Section 5.17.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3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78" w:name="page79"/>
    <w:bookmarkEnd w:id="78"/>
    <w:tbl>
      <w:tblPr>
        <w:tblLayout w:type="fixed"/>
        <w:tblInd w:w="38"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8000" w:type="dxa"/>
            <w:vAlign w:val="bottom"/>
          </w:tcPr>
          <w:p>
            <w:pPr>
              <w:ind w:left="2600"/>
              <w:spacing w:after="0"/>
              <w:rPr>
                <w:sz w:val="20"/>
                <w:szCs w:val="20"/>
                <w:color w:val="auto"/>
              </w:rPr>
            </w:pPr>
            <w:r>
              <w:rPr>
                <w:rFonts w:ascii="Arial" w:cs="Arial" w:eastAsia="Arial" w:hAnsi="Arial"/>
                <w:sz w:val="20"/>
                <w:szCs w:val="20"/>
                <w:color w:val="auto"/>
                <w:w w:val="90"/>
              </w:rPr>
              <w:t>“Additional Borrower Request and Assumption Agreement” has the</w:t>
            </w:r>
          </w:p>
        </w:tc>
      </w:tr>
      <w:tr>
        <w:trPr>
          <w:trHeight w:val="291"/>
        </w:trPr>
        <w:tc>
          <w:tcPr>
            <w:tcW w:w="3000" w:type="dxa"/>
            <w:vAlign w:val="bottom"/>
          </w:tcPr>
          <w:p>
            <w:pPr>
              <w:jc w:val="right"/>
              <w:ind w:right="2501"/>
              <w:spacing w:after="0"/>
              <w:rPr>
                <w:sz w:val="20"/>
                <w:szCs w:val="20"/>
                <w:color w:val="auto"/>
              </w:rPr>
            </w:pPr>
            <w:r>
              <w:rPr>
                <w:rFonts w:ascii="Arial" w:cs="Arial" w:eastAsia="Arial" w:hAnsi="Arial"/>
                <w:sz w:val="20"/>
                <w:szCs w:val="20"/>
                <w:color w:val="auto"/>
                <w:w w:val="85"/>
              </w:rPr>
              <w:t>5.17.</w:t>
            </w:r>
          </w:p>
        </w:tc>
        <w:tc>
          <w:tcPr>
            <w:tcW w:w="8000" w:type="dxa"/>
            <w:vAlign w:val="bottom"/>
          </w:tcPr>
          <w:p>
            <w:pPr>
              <w:ind w:left="2600"/>
              <w:spacing w:after="0"/>
              <w:rPr>
                <w:sz w:val="20"/>
                <w:szCs w:val="20"/>
                <w:color w:val="auto"/>
              </w:rPr>
            </w:pPr>
            <w:r>
              <w:rPr>
                <w:rFonts w:ascii="Arial" w:cs="Arial" w:eastAsia="Arial" w:hAnsi="Arial"/>
                <w:sz w:val="20"/>
                <w:szCs w:val="20"/>
                <w:color w:val="auto"/>
              </w:rPr>
              <w:t>meaning set forth in Section</w:t>
            </w:r>
          </w:p>
        </w:tc>
      </w:tr>
    </w:tbl>
    <w:p>
      <w:pPr>
        <w:spacing w:after="0" w:line="200" w:lineRule="exact"/>
        <w:rPr>
          <w:sz w:val="20"/>
          <w:szCs w:val="20"/>
          <w:color w:val="auto"/>
        </w:rPr>
      </w:pPr>
    </w:p>
    <w:p>
      <w:pPr>
        <w:spacing w:after="0" w:line="373" w:lineRule="exact"/>
        <w:rPr>
          <w:sz w:val="20"/>
          <w:szCs w:val="20"/>
          <w:color w:val="auto"/>
        </w:rPr>
      </w:pPr>
    </w:p>
    <w:p>
      <w:pPr>
        <w:ind w:left="678"/>
        <w:spacing w:after="0"/>
        <w:rPr>
          <w:sz w:val="20"/>
          <w:szCs w:val="20"/>
          <w:color w:val="auto"/>
        </w:rPr>
      </w:pPr>
      <w:r>
        <w:rPr>
          <w:rFonts w:ascii="Arial" w:cs="Arial" w:eastAsia="Arial" w:hAnsi="Arial"/>
          <w:sz w:val="19"/>
          <w:szCs w:val="19"/>
          <w:color w:val="auto"/>
        </w:rPr>
        <w:t>“Adjusted Consolidated Net Income” means Consolidated Net Income for the applicable period, but excluding in calculating</w:t>
      </w:r>
    </w:p>
    <w:p>
      <w:pPr>
        <w:ind w:left="38"/>
        <w:spacing w:after="0" w:line="226" w:lineRule="auto"/>
        <w:rPr>
          <w:sz w:val="20"/>
          <w:szCs w:val="20"/>
          <w:color w:val="auto"/>
        </w:rPr>
      </w:pPr>
      <w:r>
        <w:rPr>
          <w:rFonts w:ascii="Arial" w:cs="Arial" w:eastAsia="Arial" w:hAnsi="Arial"/>
          <w:sz w:val="18"/>
          <w:szCs w:val="18"/>
          <w:color w:val="auto"/>
        </w:rPr>
        <w:t>Consolidated Net Income (solely to the extent Consolidated Net Income for such period is greater than $0) the following items accrued for the applicable period of the calculation, (a) amortization of goodwill, (b) impairment charges with respect to goodwill and other intangible</w:t>
      </w:r>
    </w:p>
    <w:p>
      <w:pPr>
        <w:spacing w:after="0" w:line="2" w:lineRule="exact"/>
        <w:rPr>
          <w:sz w:val="20"/>
          <w:szCs w:val="20"/>
          <w:color w:val="auto"/>
        </w:rPr>
      </w:pPr>
    </w:p>
    <w:p>
      <w:pPr>
        <w:ind w:left="38"/>
        <w:spacing w:after="0" w:line="227" w:lineRule="auto"/>
        <w:rPr>
          <w:sz w:val="20"/>
          <w:szCs w:val="20"/>
          <w:color w:val="auto"/>
        </w:rPr>
      </w:pPr>
      <w:r>
        <w:rPr>
          <w:rFonts w:ascii="Arial" w:cs="Arial" w:eastAsia="Arial" w:hAnsi="Arial"/>
          <w:sz w:val="20"/>
          <w:szCs w:val="20"/>
          <w:color w:val="auto"/>
        </w:rPr>
        <w:t>assets, (c) non-cash charges related to deferred taxes and valuation allowances on deferred tax assets and (d) non- amortized fees related to Indebtedness that are written off.</w:t>
      </w:r>
    </w:p>
    <w:p>
      <w:pPr>
        <w:spacing w:after="0" w:line="197" w:lineRule="exact"/>
        <w:rPr>
          <w:sz w:val="20"/>
          <w:szCs w:val="20"/>
          <w:color w:val="auto"/>
        </w:rPr>
      </w:pPr>
    </w:p>
    <w:p>
      <w:pPr>
        <w:ind w:left="678"/>
        <w:spacing w:after="0"/>
        <w:rPr>
          <w:sz w:val="20"/>
          <w:szCs w:val="20"/>
          <w:color w:val="auto"/>
        </w:rPr>
      </w:pPr>
      <w:r>
        <w:rPr>
          <w:rFonts w:ascii="Arial" w:cs="Arial" w:eastAsia="Arial" w:hAnsi="Arial"/>
          <w:sz w:val="18"/>
          <w:szCs w:val="18"/>
          <w:color w:val="0000FF"/>
        </w:rPr>
        <w:t>“Adjusted Term SOFR” means, for purposes of any calculation, the rate per annum equal to (a) Term SOFR for such calculation</w:t>
      </w:r>
    </w:p>
    <w:p>
      <w:pPr>
        <w:spacing w:after="0" w:line="12" w:lineRule="exact"/>
        <w:rPr>
          <w:sz w:val="20"/>
          <w:szCs w:val="20"/>
          <w:color w:val="auto"/>
        </w:rPr>
      </w:pPr>
    </w:p>
    <w:p>
      <w:pPr>
        <w:ind w:left="38"/>
        <w:spacing w:after="0" w:line="220" w:lineRule="auto"/>
        <w:rPr>
          <w:sz w:val="20"/>
          <w:szCs w:val="20"/>
          <w:color w:val="auto"/>
        </w:rPr>
      </w:pPr>
      <w:r>
        <w:rPr>
          <w:rFonts w:ascii="Arial" w:cs="Arial" w:eastAsia="Arial" w:hAnsi="Arial"/>
          <w:sz w:val="20"/>
          <w:szCs w:val="20"/>
          <w:color w:val="0000FF"/>
        </w:rPr>
        <w:t>plus (b) the Term SOFR Adjustment; provided that if Adjusted Term SOFR as so determined shall ever be less than the Floor, then Adjusted Term SOFR shall be deemed to be the Floor.</w:t>
      </w:r>
    </w:p>
    <w:p>
      <w:pPr>
        <w:spacing w:after="0" w:line="264" w:lineRule="exact"/>
        <w:rPr>
          <w:sz w:val="20"/>
          <w:szCs w:val="20"/>
          <w:color w:val="auto"/>
        </w:rPr>
      </w:pPr>
    </w:p>
    <w:p>
      <w:pPr>
        <w:ind w:left="38" w:right="800" w:firstLine="648"/>
        <w:spacing w:after="0" w:line="236" w:lineRule="auto"/>
        <w:rPr>
          <w:sz w:val="20"/>
          <w:szCs w:val="20"/>
          <w:color w:val="auto"/>
        </w:rPr>
      </w:pPr>
      <w:r>
        <w:rPr>
          <w:rFonts w:ascii="Arial" w:cs="Arial" w:eastAsia="Arial" w:hAnsi="Arial"/>
          <w:sz w:val="20"/>
          <w:szCs w:val="20"/>
          <w:color w:val="auto"/>
        </w:rPr>
        <w:t>“Administrative Agent” means Wells Fargo, in its capacity as Administrative Agent hereunder, and any successor thereto appointed pursuant to Section 11.6.</w:t>
      </w:r>
    </w:p>
    <w:p>
      <w:pPr>
        <w:spacing w:after="0" w:line="263" w:lineRule="exact"/>
        <w:rPr>
          <w:sz w:val="20"/>
          <w:szCs w:val="20"/>
          <w:color w:val="auto"/>
        </w:rPr>
      </w:pPr>
    </w:p>
    <w:p>
      <w:pPr>
        <w:ind w:left="38" w:right="240" w:firstLine="648"/>
        <w:spacing w:after="0" w:line="229" w:lineRule="auto"/>
        <w:rPr>
          <w:sz w:val="20"/>
          <w:szCs w:val="20"/>
          <w:color w:val="auto"/>
        </w:rPr>
      </w:pPr>
      <w:r>
        <w:rPr>
          <w:rFonts w:ascii="Arial" w:cs="Arial" w:eastAsia="Arial" w:hAnsi="Arial"/>
          <w:sz w:val="20"/>
          <w:szCs w:val="20"/>
          <w:color w:val="auto"/>
        </w:rPr>
        <w:t>“Administrative Agent’s Office” means the office of the Administrative Agent specified in or determined in accordance with the provisions of Section 12.1(c).</w:t>
      </w:r>
    </w:p>
    <w:p>
      <w:pPr>
        <w:spacing w:after="0" w:line="26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“Administrative Questionnaire” means an administrative questionnaire in a form supplied by the Administrative Agent.</w:t>
      </w:r>
    </w:p>
    <w:p>
      <w:pPr>
        <w:spacing w:after="0" w:line="229" w:lineRule="exact"/>
        <w:rPr>
          <w:sz w:val="20"/>
          <w:szCs w:val="20"/>
          <w:color w:val="auto"/>
        </w:rPr>
      </w:pPr>
    </w:p>
    <w:p>
      <w:pPr>
        <w:ind w:left="678"/>
        <w:spacing w:after="0"/>
        <w:rPr>
          <w:sz w:val="20"/>
          <w:szCs w:val="20"/>
          <w:color w:val="auto"/>
        </w:rPr>
      </w:pPr>
      <w:r>
        <w:rPr>
          <w:rFonts w:ascii="Arial" w:cs="Arial" w:eastAsia="Arial" w:hAnsi="Arial"/>
          <w:sz w:val="20"/>
          <w:szCs w:val="20"/>
          <w:color w:val="auto"/>
        </w:rPr>
        <w:t>“Affected Financial Institution” means (a) any EEA Financial Institution or (b) any UK Financial Institution.</w:t>
      </w:r>
    </w:p>
    <w:p>
      <w:pPr>
        <w:spacing w:after="0" w:line="216" w:lineRule="exact"/>
        <w:rPr>
          <w:sz w:val="20"/>
          <w:szCs w:val="20"/>
          <w:color w:val="auto"/>
        </w:rPr>
      </w:pPr>
    </w:p>
    <w:p>
      <w:pPr>
        <w:ind w:left="38" w:firstLine="648"/>
        <w:spacing w:after="0" w:line="236" w:lineRule="auto"/>
        <w:rPr>
          <w:sz w:val="20"/>
          <w:szCs w:val="20"/>
          <w:color w:val="auto"/>
        </w:rPr>
      </w:pPr>
      <w:r>
        <w:rPr>
          <w:rFonts w:ascii="Arial" w:cs="Arial" w:eastAsia="Arial" w:hAnsi="Arial"/>
          <w:sz w:val="20"/>
          <w:szCs w:val="20"/>
          <w:color w:val="auto"/>
        </w:rPr>
        <w:t>“Affiliate” means, with respect to a specified Person, another Person that directly, or indirectly through one or more intermediaries, Controls or is Controlled by or is under common Control with the Person specified.</w:t>
      </w:r>
    </w:p>
    <w:p>
      <w:pPr>
        <w:spacing w:after="0" w:line="196" w:lineRule="exact"/>
        <w:rPr>
          <w:sz w:val="20"/>
          <w:szCs w:val="20"/>
          <w:color w:val="auto"/>
        </w:rPr>
      </w:pPr>
    </w:p>
    <w:p>
      <w:pPr>
        <w:ind w:left="38" w:firstLine="648"/>
        <w:spacing w:after="0" w:line="236" w:lineRule="auto"/>
        <w:rPr>
          <w:sz w:val="20"/>
          <w:szCs w:val="20"/>
          <w:color w:val="auto"/>
        </w:rPr>
      </w:pPr>
      <w:r>
        <w:rPr>
          <w:rFonts w:ascii="Arial" w:cs="Arial" w:eastAsia="Arial" w:hAnsi="Arial"/>
          <w:sz w:val="20"/>
          <w:szCs w:val="20"/>
          <w:color w:val="auto"/>
        </w:rPr>
        <w:t>“Agents” means, collectively, the Administrative Agent, the Arrangers and the syndication agent and the documentation agents listed on the cover page hereto.</w:t>
      </w:r>
    </w:p>
    <w:p>
      <w:pPr>
        <w:spacing w:after="0" w:line="196" w:lineRule="exact"/>
        <w:rPr>
          <w:sz w:val="20"/>
          <w:szCs w:val="20"/>
          <w:color w:val="auto"/>
        </w:rPr>
      </w:pPr>
    </w:p>
    <w:p>
      <w:pPr>
        <w:ind w:left="678"/>
        <w:spacing w:after="0"/>
        <w:rPr>
          <w:sz w:val="20"/>
          <w:szCs w:val="20"/>
          <w:color w:val="auto"/>
        </w:rPr>
      </w:pPr>
      <w:r>
        <w:rPr>
          <w:rFonts w:ascii="Arial" w:cs="Arial" w:eastAsia="Arial" w:hAnsi="Arial"/>
          <w:sz w:val="20"/>
          <w:szCs w:val="20"/>
          <w:color w:val="auto"/>
        </w:rPr>
        <w:t>“Agent Parties” has the meaning assigned thereto in Section 12.1(e).</w:t>
      </w:r>
    </w:p>
    <w:p>
      <w:pPr>
        <w:spacing w:after="0" w:line="200" w:lineRule="exact"/>
        <w:rPr>
          <w:sz w:val="20"/>
          <w:szCs w:val="20"/>
          <w:color w:val="auto"/>
        </w:rPr>
      </w:pPr>
    </w:p>
    <w:p>
      <w:pPr>
        <w:spacing w:after="0" w:line="31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4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30" w:right="439" w:bottom="1440" w:gutter="0" w:footer="0" w:header="0"/>
        </w:sectPr>
      </w:pPr>
    </w:p>
    <w:bookmarkStart w:id="79" w:name="page80"/>
    <w:bookmarkEnd w:id="79"/>
    <w:p>
      <w:pPr>
        <w:ind w:left="700"/>
        <w:spacing w:after="0"/>
        <w:rPr>
          <w:sz w:val="20"/>
          <w:szCs w:val="20"/>
          <w:color w:val="auto"/>
        </w:rPr>
      </w:pPr>
      <w:r>
        <w:rPr>
          <w:rFonts w:ascii="Arial" w:cs="Arial" w:eastAsia="Arial" w:hAnsi="Arial"/>
          <w:sz w:val="19"/>
          <w:szCs w:val="19"/>
          <w:color w:val="auto"/>
        </w:rPr>
        <w:t>“Agreement” means this Credit Agreement, as amended, restated, supplemented or otherwise modified from time to time.</w:t>
      </w:r>
    </w:p>
    <w:p>
      <w:pPr>
        <w:spacing w:after="0" w:line="227" w:lineRule="exact"/>
        <w:rPr>
          <w:sz w:val="20"/>
          <w:szCs w:val="20"/>
          <w:color w:val="auto"/>
        </w:rPr>
      </w:pPr>
    </w:p>
    <w:p>
      <w:pPr>
        <w:ind w:left="60" w:firstLine="648"/>
        <w:spacing w:after="0" w:line="244" w:lineRule="auto"/>
        <w:rPr>
          <w:sz w:val="20"/>
          <w:szCs w:val="20"/>
          <w:color w:val="auto"/>
        </w:rPr>
      </w:pPr>
      <w:r>
        <w:rPr>
          <w:rFonts w:ascii="Arial" w:cs="Arial" w:eastAsia="Arial" w:hAnsi="Arial"/>
          <w:sz w:val="18"/>
          <w:szCs w:val="18"/>
          <w:color w:val="auto"/>
        </w:rPr>
        <w:t>“All-In Yield” means, as to any Indebtedness, the effective all-in yield applicable thereto as reasonably determined by the Administrative Agent in consultation with the Borrowers in a manner consistent with generally accepted financial practices, taking into</w:t>
      </w:r>
    </w:p>
    <w:p>
      <w:pPr>
        <w:ind w:left="60"/>
        <w:spacing w:after="0" w:line="226" w:lineRule="auto"/>
        <w:rPr>
          <w:sz w:val="20"/>
          <w:szCs w:val="20"/>
          <w:color w:val="auto"/>
        </w:rPr>
      </w:pPr>
      <w:r>
        <w:rPr>
          <w:rFonts w:ascii="Arial" w:cs="Arial" w:eastAsia="Arial" w:hAnsi="Arial"/>
          <w:sz w:val="18"/>
          <w:szCs w:val="18"/>
          <w:color w:val="auto"/>
        </w:rPr>
        <w:t>account: (a) interest rate margins, (b) original issue discount (“OID”) and upfront or similar fees (which shall be deemed to constitute like amounts of OID) payable by the Borrowers or any of their respective Subsidiaries or Affiliates to the lenders under, or holders of, such</w:t>
      </w:r>
    </w:p>
    <w:p>
      <w:pPr>
        <w:spacing w:after="0" w:line="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Indebtedness in the initial primary syndication thereof (with OID and upfront fees being equated to interest based on assumed four-year life to maturity (or, if less, the stated Weighted Average Life to Maturity at the time of its incurrence of the applicable Indebtedness)), and</w:t>
      </w:r>
    </w:p>
    <w:p>
      <w:pPr>
        <w:spacing w:after="0" w:line="2" w:lineRule="exact"/>
        <w:rPr>
          <w:sz w:val="20"/>
          <w:szCs w:val="20"/>
          <w:color w:val="auto"/>
        </w:rPr>
      </w:pPr>
    </w:p>
    <w:p>
      <w:pPr>
        <w:jc w:val="both"/>
        <w:ind w:left="60" w:hanging="5"/>
        <w:spacing w:after="0" w:line="223" w:lineRule="auto"/>
        <w:tabs>
          <w:tab w:leader="none" w:pos="33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interest rate floor, but excluding (i) any arrangement, commitment, structuring, agency or underwriting fees that are not paid to or shared with all relevant lenders generally in connection with the commitment or syndication of such Indebtedness, (ii) any ticking, unused line or similar fees or (iii) any other fee that is not paid directly by the Borrowers generally to all relevant lenders ratably in the primary syndication of such Indebtedness; provided that (A) to the extent that any interest rate specified for such Indebtedness that is subject to a floor (in each case, without giving effect to any such floor on the date on which the All-In Yield is being calculated) is less than such floor, the amount of such difference will be deemed added to the interest rate margin applicable to such Indebtedness for purposes of calculating the All-In Yield and (B) to the extent that any interest rate specified for such Indebtedness that is subject to a floor (in each case, without giving effect to any such floor on the date on which the All-In Yield is being calculated) is equal to or greater than such floor, the floor will be disregarded in calculating the All-In Yield.</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“Anti-Corruption Laws” means all laws, rules, and regulations of any jurisdiction applicable to the Borrowers or their respective</w:t>
      </w:r>
    </w:p>
    <w:p>
      <w:pPr>
        <w:spacing w:after="0" w:line="12" w:lineRule="exact"/>
        <w:rPr>
          <w:sz w:val="20"/>
          <w:szCs w:val="20"/>
          <w:color w:val="auto"/>
        </w:rPr>
      </w:pPr>
    </w:p>
    <w:p>
      <w:pPr>
        <w:jc w:val="both"/>
        <w:ind w:left="60"/>
        <w:spacing w:after="0" w:line="220" w:lineRule="auto"/>
        <w:rPr>
          <w:sz w:val="20"/>
          <w:szCs w:val="20"/>
          <w:color w:val="auto"/>
        </w:rPr>
      </w:pPr>
      <w:r>
        <w:rPr>
          <w:rFonts w:ascii="Arial" w:cs="Arial" w:eastAsia="Arial" w:hAnsi="Arial"/>
          <w:sz w:val="20"/>
          <w:szCs w:val="20"/>
          <w:color w:val="auto"/>
        </w:rPr>
        <w:t>Subsidiaries from time to time concerning or relating to bribery or corruption, including, without limitation, the United States Foreign Corrupt Practices Act of 1977, as amended, and the rules and regulations thereunder.</w:t>
      </w:r>
    </w:p>
    <w:p>
      <w:pPr>
        <w:spacing w:after="0" w:line="197" w:lineRule="exact"/>
        <w:rPr>
          <w:sz w:val="20"/>
          <w:szCs w:val="20"/>
          <w:color w:val="auto"/>
        </w:rPr>
      </w:pPr>
    </w:p>
    <w:p>
      <w:pPr>
        <w:jc w:val="both"/>
        <w:ind w:left="60" w:firstLine="648"/>
        <w:spacing w:after="0" w:line="231" w:lineRule="auto"/>
        <w:rPr>
          <w:sz w:val="20"/>
          <w:szCs w:val="20"/>
          <w:color w:val="auto"/>
        </w:rPr>
      </w:pPr>
      <w:r>
        <w:rPr>
          <w:rFonts w:ascii="Arial" w:cs="Arial" w:eastAsia="Arial" w:hAnsi="Arial"/>
          <w:sz w:val="19"/>
          <w:szCs w:val="19"/>
          <w:color w:val="auto"/>
        </w:rPr>
        <w:t>“Anti-Money Laundering Laws” means any and all laws, statutes, regulations or obligatory government decrees, orders, ordinances or rules applicable to the Borrowers or their respective Subsidiaries or Affiliates related to terrorism financing or money</w:t>
      </w:r>
    </w:p>
    <w:p>
      <w:pPr>
        <w:jc w:val="both"/>
        <w:ind w:left="60"/>
        <w:spacing w:after="0" w:line="220" w:lineRule="auto"/>
        <w:rPr>
          <w:sz w:val="20"/>
          <w:szCs w:val="20"/>
          <w:color w:val="auto"/>
        </w:rPr>
      </w:pPr>
      <w:r>
        <w:rPr>
          <w:rFonts w:ascii="Arial" w:cs="Arial" w:eastAsia="Arial" w:hAnsi="Arial"/>
          <w:sz w:val="20"/>
          <w:szCs w:val="20"/>
          <w:color w:val="auto"/>
        </w:rPr>
        <w:t>laundering including any applicable provision of the PATRIOT Act and The Currency and Foreign Transactions Reporting Act (also known as the “Bank Secrecy Act,” 31 U.S.C. §§ 5311-5330 and 12 U.S.C. §§ 1818(s), 1820(b) and 1951-1959).</w:t>
      </w:r>
    </w:p>
    <w:p>
      <w:pPr>
        <w:spacing w:after="0" w:line="210" w:lineRule="exact"/>
        <w:rPr>
          <w:sz w:val="20"/>
          <w:szCs w:val="20"/>
          <w:color w:val="auto"/>
        </w:rPr>
      </w:pPr>
    </w:p>
    <w:p>
      <w:pPr>
        <w:jc w:val="both"/>
        <w:ind w:left="60" w:firstLine="648"/>
        <w:spacing w:after="0" w:line="236" w:lineRule="auto"/>
        <w:rPr>
          <w:sz w:val="20"/>
          <w:szCs w:val="20"/>
          <w:color w:val="auto"/>
        </w:rPr>
      </w:pPr>
      <w:r>
        <w:rPr>
          <w:rFonts w:ascii="Arial" w:cs="Arial" w:eastAsia="Arial" w:hAnsi="Arial"/>
          <w:sz w:val="18"/>
          <w:szCs w:val="18"/>
          <w:color w:val="auto"/>
        </w:rPr>
        <w:t>“Applicable Designee” means any office, branch or Affiliate of a Lender designated thereby from time to time by written notice to the Administrative Agent and Centuri to fund all or any portion of such Lender’s Canadian Revolving Credit Loans and, to the extent</w:t>
      </w:r>
    </w:p>
    <w:p>
      <w:pPr>
        <w:ind w:left="60"/>
        <w:spacing w:after="0" w:line="235" w:lineRule="auto"/>
        <w:rPr>
          <w:sz w:val="20"/>
          <w:szCs w:val="20"/>
          <w:color w:val="auto"/>
        </w:rPr>
      </w:pPr>
      <w:r>
        <w:rPr>
          <w:rFonts w:ascii="Arial" w:cs="Arial" w:eastAsia="Arial" w:hAnsi="Arial"/>
          <w:sz w:val="18"/>
          <w:szCs w:val="18"/>
          <w:color w:val="auto"/>
        </w:rPr>
        <w:t>applicable, any Incremental Term Loan made to any Canadian Borrower under this Agreement. Notwithstanding the designation by any</w:t>
      </w:r>
    </w:p>
    <w:p>
      <w:pPr>
        <w:jc w:val="both"/>
        <w:ind w:left="60"/>
        <w:spacing w:after="0" w:line="226" w:lineRule="auto"/>
        <w:rPr>
          <w:sz w:val="20"/>
          <w:szCs w:val="20"/>
          <w:color w:val="auto"/>
        </w:rPr>
      </w:pPr>
      <w:r>
        <w:rPr>
          <w:rFonts w:ascii="Arial" w:cs="Arial" w:eastAsia="Arial" w:hAnsi="Arial"/>
          <w:sz w:val="18"/>
          <w:szCs w:val="18"/>
          <w:color w:val="auto"/>
        </w:rPr>
        <w:t>Lender of an Applicable Designee, the Borrowers and the Administrative Agent shall be permitted to deal solely and directly with such Lender in connection with such Lender’s rights and obligations under this Agreement, and no such designation shall relieve any such</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Lender of its obligations hereunder.</w:t>
      </w:r>
    </w:p>
    <w:p>
      <w:pPr>
        <w:spacing w:after="0" w:line="200" w:lineRule="exact"/>
        <w:rPr>
          <w:sz w:val="20"/>
          <w:szCs w:val="20"/>
          <w:color w:val="auto"/>
        </w:rPr>
      </w:pPr>
    </w:p>
    <w:p>
      <w:pPr>
        <w:jc w:val="both"/>
        <w:ind w:left="60" w:right="20" w:firstLine="648"/>
        <w:spacing w:after="0" w:line="227" w:lineRule="auto"/>
        <w:rPr>
          <w:sz w:val="20"/>
          <w:szCs w:val="20"/>
          <w:color w:val="auto"/>
        </w:rPr>
      </w:pPr>
      <w:r>
        <w:rPr>
          <w:rFonts w:ascii="Arial" w:cs="Arial" w:eastAsia="Arial" w:hAnsi="Arial"/>
          <w:sz w:val="20"/>
          <w:szCs w:val="20"/>
          <w:color w:val="auto"/>
        </w:rPr>
        <w:t>“Applicable Law”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“Applicable Margin” means:</w:t>
      </w:r>
    </w:p>
    <w:p>
      <w:pPr>
        <w:spacing w:after="0" w:line="258" w:lineRule="exact"/>
        <w:rPr>
          <w:sz w:val="20"/>
          <w:szCs w:val="20"/>
          <w:color w:val="auto"/>
        </w:rPr>
      </w:pPr>
    </w:p>
    <w:p>
      <w:pPr>
        <w:ind w:left="1240" w:hanging="536"/>
        <w:spacing w:after="0"/>
        <w:tabs>
          <w:tab w:leader="none" w:pos="12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with respect to the Initial Term Loans, (i) for LIBOR Rate Loans, 2.50% per annum and</w:t>
      </w:r>
    </w:p>
    <w:p>
      <w:pPr>
        <w:ind w:left="340" w:hanging="285"/>
        <w:spacing w:after="0"/>
        <w:tabs>
          <w:tab w:leader="none" w:pos="3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for Base Rate Loans, 1.50% per annum;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4"/>
          <w:szCs w:val="14"/>
          <w:color w:val="FF0000"/>
          <w:strike w:val="1"/>
        </w:rPr>
        <w:t>146960219_6</w:t>
      </w:r>
    </w:p>
    <w:p>
      <w:pPr>
        <w:spacing w:after="0" w:line="190" w:lineRule="auto"/>
        <w:tabs>
          <w:tab w:leader="none" w:pos="3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4"/>
          <w:szCs w:val="14"/>
          <w:u w:val="single" w:color="auto"/>
          <w:color w:val="0000FF"/>
        </w:rPr>
        <w:t>165457743_4</w:t>
      </w:r>
    </w:p>
    <w:p>
      <w:pPr>
        <w:sectPr>
          <w:pgSz w:w="11900" w:h="16838" w:orient="portrait"/>
          <w:cols w:equalWidth="0" w:num="1">
            <w:col w:w="11080"/>
          </w:cols>
          <w:pgMar w:left="380" w:top="1405" w:right="439" w:bottom="1440" w:gutter="0" w:footer="0" w:header="0"/>
        </w:sectPr>
      </w:pPr>
    </w:p>
    <w:bookmarkStart w:id="80" w:name="page81"/>
    <w:bookmarkEnd w:id="80"/>
    <w:p>
      <w:pPr>
        <w:ind w:left="78" w:right="420" w:firstLine="642"/>
        <w:spacing w:after="0" w:line="236" w:lineRule="auto"/>
        <w:tabs>
          <w:tab w:leader="none" w:pos="12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with respect to the Revolving Credit Facility, the corresponding percentages per annum as set forth below based on the Consolidated Net Leverage Ratio:</w:t>
      </w:r>
    </w:p>
    <w:p>
      <w:pPr>
        <w:spacing w:after="0" w:line="233" w:lineRule="exact"/>
        <w:rPr>
          <w:sz w:val="20"/>
          <w:szCs w:val="20"/>
          <w:color w:val="auto"/>
        </w:rPr>
      </w:pPr>
    </w:p>
    <w:tbl>
      <w:tblPr>
        <w:tblLayout w:type="fixed"/>
        <w:tblInd w:w="48" w:type="dxa"/>
        <w:tblCellMar>
          <w:top w:w="0" w:type="dxa"/>
          <w:left w:w="0" w:type="dxa"/>
          <w:bottom w:w="0" w:type="dxa"/>
          <w:right w:w="0" w:type="dxa"/>
        </w:tblCellMar>
      </w:tblPr>
      <w:tr>
        <w:trPr>
          <w:trHeight w:val="203"/>
        </w:trPr>
        <w:tc>
          <w:tcPr>
            <w:tcW w:w="1400" w:type="dxa"/>
            <w:vAlign w:val="bottom"/>
            <w:tcBorders>
              <w:top w:val="single" w:sz="8" w:color="auto"/>
              <w:left w:val="single" w:sz="8" w:color="auto"/>
              <w:right w:val="single" w:sz="8" w:color="auto"/>
            </w:tcBorders>
            <w:gridSpan w:val="3"/>
          </w:tcPr>
          <w:p>
            <w:pPr>
              <w:jc w:val="center"/>
              <w:ind w:right="280"/>
              <w:spacing w:after="0" w:line="202" w:lineRule="exact"/>
              <w:rPr>
                <w:sz w:val="20"/>
                <w:szCs w:val="20"/>
                <w:color w:val="auto"/>
              </w:rPr>
            </w:pPr>
            <w:r>
              <w:rPr>
                <w:rFonts w:ascii="Arial" w:cs="Arial" w:eastAsia="Arial" w:hAnsi="Arial"/>
                <w:sz w:val="18"/>
                <w:szCs w:val="18"/>
                <w:b w:val="1"/>
                <w:bCs w:val="1"/>
                <w:color w:val="auto"/>
                <w:w w:val="91"/>
              </w:rPr>
              <w:t>Pricing</w:t>
            </w:r>
          </w:p>
        </w:tc>
        <w:tc>
          <w:tcPr>
            <w:tcW w:w="100" w:type="dxa"/>
            <w:vAlign w:val="bottom"/>
            <w:tcBorders>
              <w:top w:val="single" w:sz="8" w:color="auto"/>
            </w:tcBorders>
          </w:tcPr>
          <w:p>
            <w:pPr>
              <w:spacing w:after="0"/>
              <w:rPr>
                <w:sz w:val="17"/>
                <w:szCs w:val="17"/>
                <w:color w:val="auto"/>
              </w:rPr>
            </w:pPr>
          </w:p>
        </w:tc>
        <w:tc>
          <w:tcPr>
            <w:tcW w:w="3900" w:type="dxa"/>
            <w:vAlign w:val="bottom"/>
            <w:tcBorders>
              <w:top w:val="single" w:sz="8" w:color="auto"/>
              <w:right w:val="single" w:sz="8" w:color="auto"/>
            </w:tcBorders>
            <w:gridSpan w:val="7"/>
          </w:tcPr>
          <w:p>
            <w:pPr>
              <w:ind w:left="200"/>
              <w:spacing w:after="0" w:line="202" w:lineRule="exact"/>
              <w:rPr>
                <w:sz w:val="20"/>
                <w:szCs w:val="20"/>
                <w:color w:val="auto"/>
              </w:rPr>
            </w:pPr>
            <w:r>
              <w:rPr>
                <w:rFonts w:ascii="Arial" w:cs="Arial" w:eastAsia="Arial" w:hAnsi="Arial"/>
                <w:sz w:val="18"/>
                <w:szCs w:val="18"/>
                <w:b w:val="1"/>
                <w:bCs w:val="1"/>
                <w:color w:val="auto"/>
              </w:rPr>
              <w:t>Consolidated Net Leverage Ratio</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5"/>
          </w:tcPr>
          <w:p>
            <w:pPr>
              <w:jc w:val="center"/>
              <w:spacing w:after="0" w:line="202" w:lineRule="exact"/>
              <w:rPr>
                <w:sz w:val="20"/>
                <w:szCs w:val="20"/>
                <w:color w:val="auto"/>
              </w:rPr>
            </w:pPr>
            <w:r>
              <w:rPr>
                <w:rFonts w:ascii="Arial" w:cs="Arial" w:eastAsia="Arial" w:hAnsi="Arial"/>
                <w:sz w:val="18"/>
                <w:szCs w:val="18"/>
                <w:b w:val="1"/>
                <w:bCs w:val="1"/>
                <w:color w:val="FF0000"/>
                <w:strike w:val="1"/>
                <w:w w:val="97"/>
              </w:rPr>
              <w:t>LIBOR Rate</w:t>
            </w:r>
          </w:p>
        </w:tc>
        <w:tc>
          <w:tcPr>
            <w:tcW w:w="280" w:type="dxa"/>
            <w:vAlign w:val="bottom"/>
            <w:tcBorders>
              <w:top w:val="single" w:sz="8" w:color="auto"/>
              <w:right w:val="single" w:sz="8" w:color="auto"/>
            </w:tcBorders>
          </w:tcPr>
          <w:p>
            <w:pPr>
              <w:spacing w:after="0"/>
              <w:rPr>
                <w:sz w:val="17"/>
                <w:szCs w:val="17"/>
                <w:color w:val="auto"/>
              </w:rPr>
            </w:pPr>
          </w:p>
        </w:tc>
        <w:tc>
          <w:tcPr>
            <w:tcW w:w="192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88"/>
              </w:rPr>
              <w:t>Base Rate and</w:t>
            </w:r>
          </w:p>
        </w:tc>
        <w:tc>
          <w:tcPr>
            <w:tcW w:w="1920" w:type="dxa"/>
            <w:vAlign w:val="bottom"/>
            <w:tcBorders>
              <w:top w:val="single" w:sz="8" w:color="auto"/>
              <w:right w:val="single" w:sz="8" w:color="auto"/>
            </w:tcBorders>
            <w:gridSpan w:val="3"/>
          </w:tcPr>
          <w:p>
            <w:pPr>
              <w:ind w:left="220"/>
              <w:spacing w:after="0" w:line="202" w:lineRule="exact"/>
              <w:rPr>
                <w:sz w:val="20"/>
                <w:szCs w:val="20"/>
                <w:color w:val="auto"/>
              </w:rPr>
            </w:pPr>
            <w:r>
              <w:rPr>
                <w:rFonts w:ascii="Arial" w:cs="Arial" w:eastAsia="Arial" w:hAnsi="Arial"/>
                <w:sz w:val="18"/>
                <w:szCs w:val="18"/>
                <w:b w:val="1"/>
                <w:bCs w:val="1"/>
                <w:color w:val="auto"/>
              </w:rPr>
              <w:t>Commitment Fee</w:t>
            </w:r>
          </w:p>
        </w:tc>
      </w:tr>
      <w:tr>
        <w:trPr>
          <w:trHeight w:val="175"/>
        </w:trPr>
        <w:tc>
          <w:tcPr>
            <w:tcW w:w="1400" w:type="dxa"/>
            <w:vAlign w:val="bottom"/>
            <w:tcBorders>
              <w:left w:val="single" w:sz="8" w:color="auto"/>
              <w:right w:val="single" w:sz="8" w:color="auto"/>
            </w:tcBorders>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Level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0000FF"/>
                <w:strike w:val="1"/>
                <w:w w:val="92"/>
              </w:rPr>
              <w:t>Adjusted Term</w:t>
            </w:r>
          </w:p>
        </w:tc>
        <w:tc>
          <w:tcPr>
            <w:tcW w:w="2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center"/>
              <w:ind w:right="40"/>
              <w:spacing w:after="0" w:line="176" w:lineRule="exact"/>
              <w:rPr>
                <w:sz w:val="20"/>
                <w:szCs w:val="20"/>
                <w:color w:val="auto"/>
              </w:rPr>
            </w:pPr>
            <w:r>
              <w:rPr>
                <w:rFonts w:ascii="Arial" w:cs="Arial" w:eastAsia="Arial" w:hAnsi="Arial"/>
                <w:sz w:val="18"/>
                <w:szCs w:val="18"/>
                <w:b w:val="1"/>
                <w:bCs w:val="1"/>
                <w:color w:val="auto"/>
                <w:w w:val="90"/>
              </w:rPr>
              <w:t>Canadian Base Rate</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69"/>
        </w:trPr>
        <w:tc>
          <w:tcPr>
            <w:tcW w:w="58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b w:val="1"/>
                <w:bCs w:val="1"/>
                <w:color w:val="0000FF"/>
                <w:strike w:val="1"/>
                <w:w w:val="99"/>
              </w:rPr>
              <w:t>SOFR</w:t>
            </w:r>
          </w:p>
        </w:tc>
        <w:tc>
          <w:tcPr>
            <w:tcW w:w="40" w:type="dxa"/>
            <w:vAlign w:val="bottom"/>
          </w:tcPr>
          <w:p>
            <w:pPr>
              <w:spacing w:after="0"/>
              <w:rPr>
                <w:sz w:val="14"/>
                <w:szCs w:val="14"/>
                <w:color w:val="auto"/>
              </w:rPr>
            </w:pPr>
          </w:p>
        </w:tc>
        <w:tc>
          <w:tcPr>
            <w:tcW w:w="420" w:type="dxa"/>
            <w:vAlign w:val="bottom"/>
            <w:tcBorders>
              <w:top w:val="single" w:sz="8" w:color="0000FF"/>
            </w:tcBorders>
          </w:tcPr>
          <w:p>
            <w:pPr>
              <w:jc w:val="center"/>
              <w:ind w:right="90"/>
              <w:spacing w:after="0" w:line="169" w:lineRule="exact"/>
              <w:rPr>
                <w:sz w:val="20"/>
                <w:szCs w:val="20"/>
                <w:color w:val="auto"/>
              </w:rPr>
            </w:pPr>
            <w:r>
              <w:rPr>
                <w:rFonts w:ascii="Arial" w:cs="Arial" w:eastAsia="Arial" w:hAnsi="Arial"/>
                <w:sz w:val="18"/>
                <w:szCs w:val="18"/>
                <w:b w:val="1"/>
                <w:bCs w:val="1"/>
                <w:color w:val="FF0000"/>
                <w:strike w:val="1"/>
                <w:w w:val="74"/>
              </w:rPr>
              <w:t>and</w:t>
            </w:r>
          </w:p>
        </w:tc>
        <w:tc>
          <w:tcPr>
            <w:tcW w:w="280" w:type="dxa"/>
            <w:vAlign w:val="bottom"/>
            <w:tcBorders>
              <w:right w:val="single" w:sz="8" w:color="auto"/>
            </w:tcBorders>
          </w:tcPr>
          <w:p>
            <w:pPr>
              <w:spacing w:after="0"/>
              <w:rPr>
                <w:sz w:val="14"/>
                <w:szCs w:val="14"/>
                <w:color w:val="auto"/>
              </w:rPr>
            </w:pPr>
          </w:p>
        </w:tc>
        <w:tc>
          <w:tcPr>
            <w:tcW w:w="1180" w:type="dxa"/>
            <w:vAlign w:val="bottom"/>
            <w:gridSpan w:val="2"/>
          </w:tcPr>
          <w:p>
            <w:pPr>
              <w:jc w:val="center"/>
              <w:ind w:left="630"/>
              <w:spacing w:after="0" w:line="169" w:lineRule="exact"/>
              <w:rPr>
                <w:sz w:val="20"/>
                <w:szCs w:val="20"/>
                <w:color w:val="auto"/>
              </w:rPr>
            </w:pPr>
            <w:r>
              <w:rPr>
                <w:rFonts w:ascii="Arial" w:cs="Arial" w:eastAsia="Arial" w:hAnsi="Arial"/>
                <w:sz w:val="18"/>
                <w:szCs w:val="18"/>
                <w:b w:val="1"/>
                <w:bCs w:val="1"/>
                <w:color w:val="auto"/>
                <w:w w:val="94"/>
              </w:rPr>
              <w:t>+</w:t>
            </w:r>
          </w:p>
        </w:tc>
        <w:tc>
          <w:tcPr>
            <w:tcW w:w="7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20"/>
        </w:trPr>
        <w:tc>
          <w:tcPr>
            <w:tcW w:w="5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FF0000"/>
                <w:strike w:val="1"/>
              </w:rPr>
              <w:t>CDOR</w:t>
            </w:r>
          </w:p>
        </w:tc>
        <w:tc>
          <w:tcPr>
            <w:tcW w:w="5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FF0000"/>
                <w:strike w:val="1"/>
                <w:w w:val="87"/>
              </w:rPr>
              <w:t>Rate +</w:t>
            </w:r>
          </w:p>
        </w:tc>
        <w:tc>
          <w:tcPr>
            <w:tcW w:w="2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243"/>
        </w:trPr>
        <w:tc>
          <w:tcPr>
            <w:tcW w:w="580" w:type="dxa"/>
            <w:vAlign w:val="bottom"/>
            <w:tcBorders>
              <w:left w:val="single" w:sz="8" w:color="auto"/>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rPr>
              <w:t>I</w:t>
            </w:r>
          </w:p>
        </w:tc>
        <w:tc>
          <w:tcPr>
            <w:tcW w:w="4000" w:type="dxa"/>
            <w:vAlign w:val="bottom"/>
            <w:tcBorders>
              <w:bottom w:val="single" w:sz="8" w:color="auto"/>
              <w:right w:val="single" w:sz="8" w:color="auto"/>
            </w:tcBorders>
            <w:gridSpan w:val="8"/>
          </w:tcPr>
          <w:p>
            <w:pPr>
              <w:ind w:left="100"/>
              <w:spacing w:after="0"/>
              <w:rPr>
                <w:sz w:val="20"/>
                <w:szCs w:val="20"/>
                <w:color w:val="auto"/>
              </w:rPr>
            </w:pPr>
            <w:r>
              <w:rPr>
                <w:rFonts w:ascii="Arial" w:cs="Arial" w:eastAsia="Arial" w:hAnsi="Arial"/>
                <w:sz w:val="18"/>
                <w:szCs w:val="18"/>
                <w:color w:val="auto"/>
              </w:rPr>
              <w:t>Less than or equal to 2.00 to 1.00</w:t>
            </w:r>
          </w:p>
        </w:tc>
        <w:tc>
          <w:tcPr>
            <w:tcW w:w="9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86"/>
              </w:rPr>
              <w:t>1.00%</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0.00%</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0.150%</w:t>
            </w:r>
          </w:p>
        </w:tc>
        <w:tc>
          <w:tcPr>
            <w:tcW w:w="900" w:type="dxa"/>
            <w:vAlign w:val="bottom"/>
            <w:tcBorders>
              <w:bottom w:val="single" w:sz="8" w:color="auto"/>
              <w:right w:val="single" w:sz="8" w:color="auto"/>
            </w:tcBorders>
          </w:tcPr>
          <w:p>
            <w:pPr>
              <w:spacing w:after="0"/>
              <w:rPr>
                <w:sz w:val="21"/>
                <w:szCs w:val="2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20" w:type="dxa"/>
            <w:vAlign w:val="bottom"/>
            <w:tcBorders>
              <w:right w:val="single" w:sz="8" w:color="auto"/>
            </w:tcBorders>
            <w:gridSpan w:val="2"/>
          </w:tcPr>
          <w:p>
            <w:pPr>
              <w:jc w:val="center"/>
              <w:ind w:right="580"/>
              <w:spacing w:after="0" w:line="189" w:lineRule="exact"/>
              <w:rPr>
                <w:sz w:val="20"/>
                <w:szCs w:val="20"/>
                <w:color w:val="auto"/>
              </w:rPr>
            </w:pPr>
            <w:r>
              <w:rPr>
                <w:rFonts w:ascii="Arial" w:cs="Arial" w:eastAsia="Arial" w:hAnsi="Arial"/>
                <w:sz w:val="18"/>
                <w:szCs w:val="18"/>
                <w:color w:val="auto"/>
              </w:rPr>
              <w:t>II</w:t>
            </w:r>
          </w:p>
        </w:tc>
        <w:tc>
          <w:tcPr>
            <w:tcW w:w="4000" w:type="dxa"/>
            <w:vAlign w:val="bottom"/>
            <w:tcBorders>
              <w:right w:val="single" w:sz="8" w:color="auto"/>
            </w:tcBorders>
            <w:gridSpan w:val="8"/>
          </w:tcPr>
          <w:p>
            <w:pPr>
              <w:ind w:left="100"/>
              <w:spacing w:after="0" w:line="189" w:lineRule="exact"/>
              <w:rPr>
                <w:sz w:val="20"/>
                <w:szCs w:val="20"/>
                <w:color w:val="auto"/>
              </w:rPr>
            </w:pPr>
            <w:r>
              <w:rPr>
                <w:rFonts w:ascii="Arial" w:cs="Arial" w:eastAsia="Arial" w:hAnsi="Arial"/>
                <w:sz w:val="18"/>
                <w:szCs w:val="18"/>
                <w:color w:val="auto"/>
                <w:w w:val="95"/>
              </w:rPr>
              <w:t>Greater than 2.00 to 1.00, but less than or equal to</w:t>
            </w:r>
          </w:p>
        </w:tc>
        <w:tc>
          <w:tcPr>
            <w:tcW w:w="900" w:type="dxa"/>
            <w:vAlign w:val="bottom"/>
            <w:gridSpan w:val="3"/>
          </w:tcPr>
          <w:p>
            <w:pPr>
              <w:ind w:left="440"/>
              <w:spacing w:after="0" w:line="189" w:lineRule="exact"/>
              <w:rPr>
                <w:sz w:val="20"/>
                <w:szCs w:val="20"/>
                <w:color w:val="auto"/>
              </w:rPr>
            </w:pPr>
            <w:r>
              <w:rPr>
                <w:rFonts w:ascii="Arial" w:cs="Arial" w:eastAsia="Arial" w:hAnsi="Arial"/>
                <w:sz w:val="18"/>
                <w:szCs w:val="18"/>
                <w:color w:val="auto"/>
                <w:w w:val="86"/>
              </w:rPr>
              <w:t>1.25%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color w:val="auto"/>
                <w:w w:val="93"/>
              </w:rPr>
              <w:t>0.25%</w:t>
            </w:r>
          </w:p>
        </w:tc>
        <w:tc>
          <w:tcPr>
            <w:tcW w:w="1920" w:type="dxa"/>
            <w:vAlign w:val="bottom"/>
            <w:tcBorders>
              <w:right w:val="single" w:sz="8" w:color="auto"/>
            </w:tcBorders>
            <w:gridSpan w:val="3"/>
          </w:tcPr>
          <w:p>
            <w:pPr>
              <w:jc w:val="right"/>
              <w:ind w:right="900"/>
              <w:spacing w:after="0" w:line="189" w:lineRule="exact"/>
              <w:rPr>
                <w:sz w:val="20"/>
                <w:szCs w:val="20"/>
                <w:color w:val="auto"/>
              </w:rPr>
            </w:pPr>
            <w:r>
              <w:rPr>
                <w:rFonts w:ascii="Arial" w:cs="Arial" w:eastAsia="Arial" w:hAnsi="Arial"/>
                <w:sz w:val="18"/>
                <w:szCs w:val="18"/>
                <w:color w:val="auto"/>
              </w:rPr>
              <w:t>0.175%</w:t>
            </w:r>
          </w:p>
        </w:tc>
      </w:tr>
      <w:tr>
        <w:trPr>
          <w:trHeight w:val="229"/>
        </w:trPr>
        <w:tc>
          <w:tcPr>
            <w:tcW w:w="58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8"/>
          </w:tcPr>
          <w:p>
            <w:pPr>
              <w:ind w:left="100"/>
              <w:spacing w:after="0"/>
              <w:rPr>
                <w:sz w:val="20"/>
                <w:szCs w:val="20"/>
                <w:color w:val="auto"/>
              </w:rPr>
            </w:pPr>
            <w:r>
              <w:rPr>
                <w:rFonts w:ascii="Arial" w:cs="Arial" w:eastAsia="Arial" w:hAnsi="Arial"/>
                <w:sz w:val="18"/>
                <w:szCs w:val="18"/>
                <w:color w:val="auto"/>
              </w:rPr>
              <w:t>2.50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r>
      <w:tr>
        <w:trPr>
          <w:trHeight w:val="183"/>
        </w:trPr>
        <w:tc>
          <w:tcPr>
            <w:tcW w:w="580" w:type="dxa"/>
            <w:vAlign w:val="bottom"/>
            <w:tcBorders>
              <w:left w:val="single" w:sz="8" w:color="auto"/>
            </w:tcBorders>
          </w:tcPr>
          <w:p>
            <w:pPr>
              <w:spacing w:after="0"/>
              <w:rPr>
                <w:sz w:val="15"/>
                <w:szCs w:val="15"/>
                <w:color w:val="auto"/>
              </w:rPr>
            </w:pPr>
          </w:p>
        </w:tc>
        <w:tc>
          <w:tcPr>
            <w:tcW w:w="820" w:type="dxa"/>
            <w:vAlign w:val="bottom"/>
            <w:tcBorders>
              <w:right w:val="single" w:sz="8" w:color="auto"/>
            </w:tcBorders>
            <w:gridSpan w:val="2"/>
          </w:tcPr>
          <w:p>
            <w:pPr>
              <w:jc w:val="center"/>
              <w:ind w:right="600"/>
              <w:spacing w:after="0" w:line="182" w:lineRule="exact"/>
              <w:rPr>
                <w:sz w:val="20"/>
                <w:szCs w:val="20"/>
                <w:color w:val="auto"/>
              </w:rPr>
            </w:pPr>
            <w:r>
              <w:rPr>
                <w:rFonts w:ascii="Arial" w:cs="Arial" w:eastAsia="Arial" w:hAnsi="Arial"/>
                <w:sz w:val="18"/>
                <w:szCs w:val="18"/>
                <w:color w:val="auto"/>
              </w:rPr>
              <w:t>III</w:t>
            </w:r>
          </w:p>
        </w:tc>
        <w:tc>
          <w:tcPr>
            <w:tcW w:w="4000" w:type="dxa"/>
            <w:vAlign w:val="bottom"/>
            <w:tcBorders>
              <w:right w:val="single" w:sz="8" w:color="auto"/>
            </w:tcBorders>
            <w:gridSpan w:val="8"/>
          </w:tcPr>
          <w:p>
            <w:pPr>
              <w:ind w:left="100"/>
              <w:spacing w:after="0" w:line="182" w:lineRule="exact"/>
              <w:rPr>
                <w:sz w:val="20"/>
                <w:szCs w:val="20"/>
                <w:color w:val="auto"/>
              </w:rPr>
            </w:pPr>
            <w:r>
              <w:rPr>
                <w:rFonts w:ascii="Arial" w:cs="Arial" w:eastAsia="Arial" w:hAnsi="Arial"/>
                <w:sz w:val="18"/>
                <w:szCs w:val="18"/>
                <w:color w:val="auto"/>
                <w:w w:val="95"/>
              </w:rPr>
              <w:t>Greater than 2.50 to 1.00, but less than or equal to</w:t>
            </w:r>
          </w:p>
        </w:tc>
        <w:tc>
          <w:tcPr>
            <w:tcW w:w="900" w:type="dxa"/>
            <w:vAlign w:val="bottom"/>
            <w:gridSpan w:val="3"/>
          </w:tcPr>
          <w:p>
            <w:pPr>
              <w:ind w:left="440"/>
              <w:spacing w:after="0" w:line="182" w:lineRule="exact"/>
              <w:rPr>
                <w:sz w:val="20"/>
                <w:szCs w:val="20"/>
                <w:color w:val="auto"/>
              </w:rPr>
            </w:pPr>
            <w:r>
              <w:rPr>
                <w:rFonts w:ascii="Arial" w:cs="Arial" w:eastAsia="Arial" w:hAnsi="Arial"/>
                <w:sz w:val="18"/>
                <w:szCs w:val="18"/>
                <w:color w:val="auto"/>
                <w:w w:val="86"/>
              </w:rPr>
              <w:t>1.50%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center"/>
              <w:ind w:right="40"/>
              <w:spacing w:after="0" w:line="182" w:lineRule="exact"/>
              <w:rPr>
                <w:sz w:val="20"/>
                <w:szCs w:val="20"/>
                <w:color w:val="auto"/>
              </w:rPr>
            </w:pPr>
            <w:r>
              <w:rPr>
                <w:rFonts w:ascii="Arial" w:cs="Arial" w:eastAsia="Arial" w:hAnsi="Arial"/>
                <w:sz w:val="18"/>
                <w:szCs w:val="18"/>
                <w:color w:val="auto"/>
                <w:w w:val="93"/>
              </w:rPr>
              <w:t>0.50%</w:t>
            </w:r>
          </w:p>
        </w:tc>
        <w:tc>
          <w:tcPr>
            <w:tcW w:w="1920" w:type="dxa"/>
            <w:vAlign w:val="bottom"/>
            <w:tcBorders>
              <w:right w:val="single" w:sz="8" w:color="auto"/>
            </w:tcBorders>
            <w:gridSpan w:val="3"/>
          </w:tcPr>
          <w:p>
            <w:pPr>
              <w:jc w:val="right"/>
              <w:ind w:right="900"/>
              <w:spacing w:after="0" w:line="182" w:lineRule="exact"/>
              <w:rPr>
                <w:sz w:val="20"/>
                <w:szCs w:val="20"/>
                <w:color w:val="auto"/>
              </w:rPr>
            </w:pPr>
            <w:r>
              <w:rPr>
                <w:rFonts w:ascii="Arial" w:cs="Arial" w:eastAsia="Arial" w:hAnsi="Arial"/>
                <w:sz w:val="18"/>
                <w:szCs w:val="18"/>
                <w:color w:val="auto"/>
              </w:rPr>
              <w:t>0.200%</w:t>
            </w:r>
          </w:p>
        </w:tc>
      </w:tr>
      <w:tr>
        <w:trPr>
          <w:trHeight w:val="230"/>
        </w:trPr>
        <w:tc>
          <w:tcPr>
            <w:tcW w:w="58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8"/>
          </w:tcPr>
          <w:p>
            <w:pPr>
              <w:ind w:left="100"/>
              <w:spacing w:after="0"/>
              <w:rPr>
                <w:sz w:val="20"/>
                <w:szCs w:val="20"/>
                <w:color w:val="auto"/>
              </w:rPr>
            </w:pPr>
            <w:r>
              <w:rPr>
                <w:rFonts w:ascii="Arial" w:cs="Arial" w:eastAsia="Arial" w:hAnsi="Arial"/>
                <w:sz w:val="18"/>
                <w:szCs w:val="18"/>
                <w:color w:val="auto"/>
              </w:rPr>
              <w:t>3.00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r>
      <w:tr>
        <w:trPr>
          <w:trHeight w:val="183"/>
        </w:trPr>
        <w:tc>
          <w:tcPr>
            <w:tcW w:w="580" w:type="dxa"/>
            <w:vAlign w:val="bottom"/>
            <w:tcBorders>
              <w:left w:val="single" w:sz="8" w:color="auto"/>
            </w:tcBorders>
          </w:tcPr>
          <w:p>
            <w:pPr>
              <w:spacing w:after="0"/>
              <w:rPr>
                <w:sz w:val="15"/>
                <w:szCs w:val="15"/>
                <w:color w:val="auto"/>
              </w:rPr>
            </w:pPr>
          </w:p>
        </w:tc>
        <w:tc>
          <w:tcPr>
            <w:tcW w:w="820" w:type="dxa"/>
            <w:vAlign w:val="bottom"/>
            <w:tcBorders>
              <w:right w:val="single" w:sz="8" w:color="auto"/>
            </w:tcBorders>
            <w:gridSpan w:val="2"/>
          </w:tcPr>
          <w:p>
            <w:pPr>
              <w:jc w:val="center"/>
              <w:ind w:right="580"/>
              <w:spacing w:after="0" w:line="182" w:lineRule="exact"/>
              <w:rPr>
                <w:sz w:val="20"/>
                <w:szCs w:val="20"/>
                <w:color w:val="auto"/>
              </w:rPr>
            </w:pPr>
            <w:r>
              <w:rPr>
                <w:rFonts w:ascii="Arial" w:cs="Arial" w:eastAsia="Arial" w:hAnsi="Arial"/>
                <w:sz w:val="18"/>
                <w:szCs w:val="18"/>
                <w:color w:val="auto"/>
              </w:rPr>
              <w:t>IV</w:t>
            </w:r>
          </w:p>
        </w:tc>
        <w:tc>
          <w:tcPr>
            <w:tcW w:w="4000" w:type="dxa"/>
            <w:vAlign w:val="bottom"/>
            <w:tcBorders>
              <w:right w:val="single" w:sz="8" w:color="auto"/>
            </w:tcBorders>
            <w:gridSpan w:val="8"/>
          </w:tcPr>
          <w:p>
            <w:pPr>
              <w:ind w:left="100"/>
              <w:spacing w:after="0" w:line="182" w:lineRule="exact"/>
              <w:rPr>
                <w:sz w:val="20"/>
                <w:szCs w:val="20"/>
                <w:color w:val="auto"/>
              </w:rPr>
            </w:pPr>
            <w:r>
              <w:rPr>
                <w:rFonts w:ascii="Arial" w:cs="Arial" w:eastAsia="Arial" w:hAnsi="Arial"/>
                <w:sz w:val="18"/>
                <w:szCs w:val="18"/>
                <w:color w:val="auto"/>
                <w:w w:val="95"/>
              </w:rPr>
              <w:t>Greater than 3.00 to 1.00, but less than or equal to</w:t>
            </w:r>
          </w:p>
        </w:tc>
        <w:tc>
          <w:tcPr>
            <w:tcW w:w="900" w:type="dxa"/>
            <w:vAlign w:val="bottom"/>
            <w:gridSpan w:val="3"/>
          </w:tcPr>
          <w:p>
            <w:pPr>
              <w:ind w:left="440"/>
              <w:spacing w:after="0" w:line="182" w:lineRule="exact"/>
              <w:rPr>
                <w:sz w:val="20"/>
                <w:szCs w:val="20"/>
                <w:color w:val="auto"/>
              </w:rPr>
            </w:pPr>
            <w:r>
              <w:rPr>
                <w:rFonts w:ascii="Arial" w:cs="Arial" w:eastAsia="Arial" w:hAnsi="Arial"/>
                <w:sz w:val="18"/>
                <w:szCs w:val="18"/>
                <w:color w:val="auto"/>
                <w:w w:val="86"/>
              </w:rPr>
              <w:t>1.75%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center"/>
              <w:ind w:right="40"/>
              <w:spacing w:after="0" w:line="182" w:lineRule="exact"/>
              <w:rPr>
                <w:sz w:val="20"/>
                <w:szCs w:val="20"/>
                <w:color w:val="auto"/>
              </w:rPr>
            </w:pPr>
            <w:r>
              <w:rPr>
                <w:rFonts w:ascii="Arial" w:cs="Arial" w:eastAsia="Arial" w:hAnsi="Arial"/>
                <w:sz w:val="18"/>
                <w:szCs w:val="18"/>
                <w:color w:val="auto"/>
                <w:w w:val="93"/>
              </w:rPr>
              <w:t>0.75%</w:t>
            </w:r>
          </w:p>
        </w:tc>
        <w:tc>
          <w:tcPr>
            <w:tcW w:w="1920" w:type="dxa"/>
            <w:vAlign w:val="bottom"/>
            <w:tcBorders>
              <w:right w:val="single" w:sz="8" w:color="auto"/>
            </w:tcBorders>
            <w:gridSpan w:val="3"/>
          </w:tcPr>
          <w:p>
            <w:pPr>
              <w:jc w:val="right"/>
              <w:ind w:right="900"/>
              <w:spacing w:after="0" w:line="182" w:lineRule="exact"/>
              <w:rPr>
                <w:sz w:val="20"/>
                <w:szCs w:val="20"/>
                <w:color w:val="auto"/>
              </w:rPr>
            </w:pPr>
            <w:r>
              <w:rPr>
                <w:rFonts w:ascii="Arial" w:cs="Arial" w:eastAsia="Arial" w:hAnsi="Arial"/>
                <w:sz w:val="18"/>
                <w:szCs w:val="18"/>
                <w:color w:val="auto"/>
              </w:rPr>
              <w:t>0.250%</w:t>
            </w:r>
          </w:p>
        </w:tc>
      </w:tr>
      <w:tr>
        <w:trPr>
          <w:trHeight w:val="229"/>
        </w:trPr>
        <w:tc>
          <w:tcPr>
            <w:tcW w:w="58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8"/>
          </w:tcPr>
          <w:p>
            <w:pPr>
              <w:ind w:left="100"/>
              <w:spacing w:after="0"/>
              <w:rPr>
                <w:sz w:val="20"/>
                <w:szCs w:val="20"/>
                <w:color w:val="auto"/>
              </w:rPr>
            </w:pPr>
            <w:r>
              <w:rPr>
                <w:rFonts w:ascii="Arial" w:cs="Arial" w:eastAsia="Arial" w:hAnsi="Arial"/>
                <w:sz w:val="18"/>
                <w:szCs w:val="18"/>
                <w:color w:val="auto"/>
              </w:rPr>
              <w:t>3.50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r>
      <w:tr>
        <w:trPr>
          <w:trHeight w:val="183"/>
        </w:trPr>
        <w:tc>
          <w:tcPr>
            <w:tcW w:w="580" w:type="dxa"/>
            <w:vAlign w:val="bottom"/>
            <w:tcBorders>
              <w:left w:val="single" w:sz="8" w:color="auto"/>
            </w:tcBorders>
          </w:tcPr>
          <w:p>
            <w:pPr>
              <w:spacing w:after="0"/>
              <w:rPr>
                <w:sz w:val="15"/>
                <w:szCs w:val="15"/>
                <w:color w:val="auto"/>
              </w:rPr>
            </w:pPr>
          </w:p>
        </w:tc>
        <w:tc>
          <w:tcPr>
            <w:tcW w:w="820" w:type="dxa"/>
            <w:vAlign w:val="bottom"/>
            <w:tcBorders>
              <w:right w:val="single" w:sz="8" w:color="auto"/>
            </w:tcBorders>
            <w:gridSpan w:val="2"/>
          </w:tcPr>
          <w:p>
            <w:pPr>
              <w:jc w:val="center"/>
              <w:ind w:right="580"/>
              <w:spacing w:after="0" w:line="182" w:lineRule="exact"/>
              <w:rPr>
                <w:sz w:val="20"/>
                <w:szCs w:val="20"/>
                <w:color w:val="auto"/>
              </w:rPr>
            </w:pPr>
            <w:r>
              <w:rPr>
                <w:rFonts w:ascii="Arial" w:cs="Arial" w:eastAsia="Arial" w:hAnsi="Arial"/>
                <w:sz w:val="18"/>
                <w:szCs w:val="18"/>
                <w:color w:val="auto"/>
                <w:w w:val="99"/>
              </w:rPr>
              <w:t>V</w:t>
            </w:r>
          </w:p>
        </w:tc>
        <w:tc>
          <w:tcPr>
            <w:tcW w:w="4000" w:type="dxa"/>
            <w:vAlign w:val="bottom"/>
            <w:tcBorders>
              <w:right w:val="single" w:sz="8" w:color="auto"/>
            </w:tcBorders>
            <w:gridSpan w:val="8"/>
          </w:tcPr>
          <w:p>
            <w:pPr>
              <w:ind w:left="100"/>
              <w:spacing w:after="0" w:line="182" w:lineRule="exact"/>
              <w:rPr>
                <w:sz w:val="20"/>
                <w:szCs w:val="20"/>
                <w:color w:val="auto"/>
              </w:rPr>
            </w:pPr>
            <w:r>
              <w:rPr>
                <w:rFonts w:ascii="Arial" w:cs="Arial" w:eastAsia="Arial" w:hAnsi="Arial"/>
                <w:sz w:val="18"/>
                <w:szCs w:val="18"/>
                <w:color w:val="auto"/>
                <w:w w:val="95"/>
              </w:rPr>
              <w:t>Greater than 3.50 to 1.00, but less than or equal to</w:t>
            </w:r>
          </w:p>
        </w:tc>
        <w:tc>
          <w:tcPr>
            <w:tcW w:w="900" w:type="dxa"/>
            <w:vAlign w:val="bottom"/>
            <w:gridSpan w:val="3"/>
          </w:tcPr>
          <w:p>
            <w:pPr>
              <w:ind w:left="440"/>
              <w:spacing w:after="0" w:line="182" w:lineRule="exact"/>
              <w:rPr>
                <w:sz w:val="20"/>
                <w:szCs w:val="20"/>
                <w:color w:val="auto"/>
              </w:rPr>
            </w:pPr>
            <w:r>
              <w:rPr>
                <w:rFonts w:ascii="Arial" w:cs="Arial" w:eastAsia="Arial" w:hAnsi="Arial"/>
                <w:sz w:val="18"/>
                <w:szCs w:val="18"/>
                <w:color w:val="auto"/>
                <w:w w:val="86"/>
              </w:rPr>
              <w:t>2.00%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center"/>
              <w:ind w:right="40"/>
              <w:spacing w:after="0" w:line="182" w:lineRule="exact"/>
              <w:rPr>
                <w:sz w:val="20"/>
                <w:szCs w:val="20"/>
                <w:color w:val="auto"/>
              </w:rPr>
            </w:pPr>
            <w:r>
              <w:rPr>
                <w:rFonts w:ascii="Arial" w:cs="Arial" w:eastAsia="Arial" w:hAnsi="Arial"/>
                <w:sz w:val="18"/>
                <w:szCs w:val="18"/>
                <w:color w:val="auto"/>
                <w:w w:val="93"/>
              </w:rPr>
              <w:t>1.00%</w:t>
            </w:r>
          </w:p>
        </w:tc>
        <w:tc>
          <w:tcPr>
            <w:tcW w:w="1920" w:type="dxa"/>
            <w:vAlign w:val="bottom"/>
            <w:tcBorders>
              <w:right w:val="single" w:sz="8" w:color="auto"/>
            </w:tcBorders>
            <w:gridSpan w:val="3"/>
          </w:tcPr>
          <w:p>
            <w:pPr>
              <w:jc w:val="right"/>
              <w:ind w:right="900"/>
              <w:spacing w:after="0" w:line="182" w:lineRule="exact"/>
              <w:rPr>
                <w:sz w:val="20"/>
                <w:szCs w:val="20"/>
                <w:color w:val="auto"/>
              </w:rPr>
            </w:pPr>
            <w:r>
              <w:rPr>
                <w:rFonts w:ascii="Arial" w:cs="Arial" w:eastAsia="Arial" w:hAnsi="Arial"/>
                <w:sz w:val="18"/>
                <w:szCs w:val="18"/>
                <w:color w:val="auto"/>
              </w:rPr>
              <w:t>0.300%</w:t>
            </w:r>
          </w:p>
        </w:tc>
      </w:tr>
      <w:tr>
        <w:trPr>
          <w:trHeight w:val="229"/>
        </w:trPr>
        <w:tc>
          <w:tcPr>
            <w:tcW w:w="58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8"/>
          </w:tcPr>
          <w:p>
            <w:pPr>
              <w:ind w:left="100"/>
              <w:spacing w:after="0"/>
              <w:rPr>
                <w:sz w:val="20"/>
                <w:szCs w:val="20"/>
                <w:color w:val="auto"/>
              </w:rPr>
            </w:pPr>
            <w:r>
              <w:rPr>
                <w:rFonts w:ascii="Arial" w:cs="Arial" w:eastAsia="Arial" w:hAnsi="Arial"/>
                <w:sz w:val="18"/>
                <w:szCs w:val="18"/>
                <w:color w:val="auto"/>
              </w:rPr>
              <w:t>4.00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r>
      <w:tr>
        <w:trPr>
          <w:trHeight w:val="183"/>
        </w:trPr>
        <w:tc>
          <w:tcPr>
            <w:tcW w:w="580" w:type="dxa"/>
            <w:vAlign w:val="bottom"/>
            <w:tcBorders>
              <w:left w:val="single" w:sz="8" w:color="auto"/>
            </w:tcBorders>
          </w:tcPr>
          <w:p>
            <w:pPr>
              <w:spacing w:after="0"/>
              <w:rPr>
                <w:sz w:val="15"/>
                <w:szCs w:val="15"/>
                <w:color w:val="auto"/>
              </w:rPr>
            </w:pPr>
          </w:p>
        </w:tc>
        <w:tc>
          <w:tcPr>
            <w:tcW w:w="820" w:type="dxa"/>
            <w:vAlign w:val="bottom"/>
            <w:tcBorders>
              <w:right w:val="single" w:sz="8" w:color="auto"/>
            </w:tcBorders>
            <w:gridSpan w:val="2"/>
          </w:tcPr>
          <w:p>
            <w:pPr>
              <w:jc w:val="center"/>
              <w:ind w:right="580"/>
              <w:spacing w:after="0" w:line="169" w:lineRule="exact"/>
              <w:rPr>
                <w:sz w:val="20"/>
                <w:szCs w:val="20"/>
                <w:color w:val="auto"/>
              </w:rPr>
            </w:pPr>
            <w:r>
              <w:rPr>
                <w:rFonts w:ascii="Arial" w:cs="Arial" w:eastAsia="Arial" w:hAnsi="Arial"/>
                <w:sz w:val="18"/>
                <w:szCs w:val="18"/>
                <w:color w:val="auto"/>
              </w:rPr>
              <w:t>VI</w:t>
            </w:r>
          </w:p>
        </w:tc>
        <w:tc>
          <w:tcPr>
            <w:tcW w:w="4000" w:type="dxa"/>
            <w:vAlign w:val="bottom"/>
            <w:tcBorders>
              <w:right w:val="single" w:sz="8" w:color="auto"/>
            </w:tcBorders>
            <w:gridSpan w:val="8"/>
          </w:tcPr>
          <w:p>
            <w:pPr>
              <w:ind w:left="100"/>
              <w:spacing w:after="0" w:line="169" w:lineRule="exact"/>
              <w:rPr>
                <w:sz w:val="20"/>
                <w:szCs w:val="20"/>
                <w:color w:val="auto"/>
              </w:rPr>
            </w:pPr>
            <w:r>
              <w:rPr>
                <w:rFonts w:ascii="Arial" w:cs="Arial" w:eastAsia="Arial" w:hAnsi="Arial"/>
                <w:sz w:val="18"/>
                <w:szCs w:val="18"/>
                <w:color w:val="auto"/>
                <w:w w:val="95"/>
              </w:rPr>
              <w:t>Greater than 4.00 to 1.00</w:t>
            </w:r>
            <w:r>
              <w:rPr>
                <w:rFonts w:ascii="Arial" w:cs="Arial" w:eastAsia="Arial" w:hAnsi="Arial"/>
                <w:sz w:val="18"/>
                <w:szCs w:val="18"/>
                <w:color w:val="0000FF"/>
                <w:w w:val="95"/>
              </w:rPr>
              <w:t>, but less than or equal to</w:t>
            </w:r>
          </w:p>
        </w:tc>
        <w:tc>
          <w:tcPr>
            <w:tcW w:w="900" w:type="dxa"/>
            <w:vAlign w:val="bottom"/>
            <w:gridSpan w:val="3"/>
          </w:tcPr>
          <w:p>
            <w:pPr>
              <w:ind w:left="440"/>
              <w:spacing w:after="0" w:line="169" w:lineRule="exact"/>
              <w:rPr>
                <w:sz w:val="20"/>
                <w:szCs w:val="20"/>
                <w:color w:val="auto"/>
              </w:rPr>
            </w:pPr>
            <w:r>
              <w:rPr>
                <w:rFonts w:ascii="Arial" w:cs="Arial" w:eastAsia="Arial" w:hAnsi="Arial"/>
                <w:sz w:val="18"/>
                <w:szCs w:val="18"/>
                <w:color w:val="auto"/>
                <w:w w:val="86"/>
              </w:rPr>
              <w:t>2.25%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center"/>
              <w:ind w:right="40"/>
              <w:spacing w:after="0" w:line="169" w:lineRule="exact"/>
              <w:rPr>
                <w:sz w:val="20"/>
                <w:szCs w:val="20"/>
                <w:color w:val="auto"/>
              </w:rPr>
            </w:pPr>
            <w:r>
              <w:rPr>
                <w:rFonts w:ascii="Arial" w:cs="Arial" w:eastAsia="Arial" w:hAnsi="Arial"/>
                <w:sz w:val="18"/>
                <w:szCs w:val="18"/>
                <w:color w:val="auto"/>
                <w:w w:val="93"/>
              </w:rPr>
              <w:t>1.25%</w:t>
            </w:r>
          </w:p>
        </w:tc>
        <w:tc>
          <w:tcPr>
            <w:tcW w:w="1920" w:type="dxa"/>
            <w:vAlign w:val="bottom"/>
            <w:tcBorders>
              <w:right w:val="single" w:sz="8" w:color="auto"/>
            </w:tcBorders>
            <w:gridSpan w:val="3"/>
          </w:tcPr>
          <w:p>
            <w:pPr>
              <w:jc w:val="right"/>
              <w:ind w:right="900"/>
              <w:spacing w:after="0" w:line="169" w:lineRule="exact"/>
              <w:rPr>
                <w:sz w:val="20"/>
                <w:szCs w:val="20"/>
                <w:color w:val="auto"/>
              </w:rPr>
            </w:pPr>
            <w:r>
              <w:rPr>
                <w:rFonts w:ascii="Arial" w:cs="Arial" w:eastAsia="Arial" w:hAnsi="Arial"/>
                <w:sz w:val="18"/>
                <w:szCs w:val="18"/>
                <w:color w:val="auto"/>
              </w:rPr>
              <w:t>0.350%</w:t>
            </w:r>
          </w:p>
        </w:tc>
      </w:tr>
      <w:tr>
        <w:trPr>
          <w:trHeight w:val="156"/>
        </w:trPr>
        <w:tc>
          <w:tcPr>
            <w:tcW w:w="58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900" w:type="dxa"/>
            <w:vAlign w:val="bottom"/>
            <w:gridSpan w:val="3"/>
          </w:tcPr>
          <w:p>
            <w:pPr>
              <w:ind w:left="100"/>
              <w:spacing w:after="0" w:line="156" w:lineRule="exact"/>
              <w:rPr>
                <w:sz w:val="20"/>
                <w:szCs w:val="20"/>
                <w:color w:val="auto"/>
              </w:rPr>
            </w:pPr>
            <w:r>
              <w:rPr>
                <w:rFonts w:ascii="Arial" w:cs="Arial" w:eastAsia="Arial" w:hAnsi="Arial"/>
                <w:sz w:val="18"/>
                <w:szCs w:val="18"/>
                <w:color w:val="0000FF"/>
              </w:rPr>
              <w:t>4.50 to 1.00</w:t>
            </w:r>
          </w:p>
        </w:tc>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34"/>
        </w:trPr>
        <w:tc>
          <w:tcPr>
            <w:tcW w:w="5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03"/>
        </w:trPr>
        <w:tc>
          <w:tcPr>
            <w:tcW w:w="140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8"/>
                <w:szCs w:val="18"/>
                <w:color w:val="0000FF"/>
              </w:rPr>
              <w:t>VII</w:t>
            </w:r>
          </w:p>
        </w:tc>
        <w:tc>
          <w:tcPr>
            <w:tcW w:w="4000" w:type="dxa"/>
            <w:vAlign w:val="bottom"/>
            <w:tcBorders>
              <w:right w:val="single" w:sz="8" w:color="auto"/>
            </w:tcBorders>
            <w:gridSpan w:val="8"/>
          </w:tcPr>
          <w:p>
            <w:pPr>
              <w:ind w:left="100"/>
              <w:spacing w:after="0" w:line="169" w:lineRule="exact"/>
              <w:rPr>
                <w:sz w:val="20"/>
                <w:szCs w:val="20"/>
                <w:color w:val="auto"/>
              </w:rPr>
            </w:pPr>
            <w:r>
              <w:rPr>
                <w:rFonts w:ascii="Arial" w:cs="Arial" w:eastAsia="Arial" w:hAnsi="Arial"/>
                <w:sz w:val="18"/>
                <w:szCs w:val="18"/>
                <w:color w:val="0000FF"/>
              </w:rPr>
              <w:t>Greater than 4.50 to 1.00</w:t>
            </w:r>
          </w:p>
        </w:tc>
        <w:tc>
          <w:tcPr>
            <w:tcW w:w="900" w:type="dxa"/>
            <w:vAlign w:val="bottom"/>
            <w:gridSpan w:val="3"/>
          </w:tcPr>
          <w:p>
            <w:pPr>
              <w:ind w:left="440"/>
              <w:spacing w:after="0" w:line="169" w:lineRule="exact"/>
              <w:rPr>
                <w:sz w:val="20"/>
                <w:szCs w:val="20"/>
                <w:color w:val="auto"/>
              </w:rPr>
            </w:pPr>
            <w:r>
              <w:rPr>
                <w:rFonts w:ascii="Arial" w:cs="Arial" w:eastAsia="Arial" w:hAnsi="Arial"/>
                <w:sz w:val="18"/>
                <w:szCs w:val="18"/>
                <w:color w:val="0000FF"/>
                <w:w w:val="86"/>
              </w:rPr>
              <w:t>2.50%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gridSpan w:val="3"/>
          </w:tcPr>
          <w:p>
            <w:pPr>
              <w:jc w:val="center"/>
              <w:ind w:right="40"/>
              <w:spacing w:after="0" w:line="169" w:lineRule="exact"/>
              <w:rPr>
                <w:sz w:val="20"/>
                <w:szCs w:val="20"/>
                <w:color w:val="auto"/>
              </w:rPr>
            </w:pPr>
            <w:r>
              <w:rPr>
                <w:rFonts w:ascii="Arial" w:cs="Arial" w:eastAsia="Arial" w:hAnsi="Arial"/>
                <w:sz w:val="18"/>
                <w:szCs w:val="18"/>
                <w:color w:val="0000FF"/>
                <w:w w:val="93"/>
              </w:rPr>
              <w:t>1.50%</w:t>
            </w:r>
          </w:p>
        </w:tc>
        <w:tc>
          <w:tcPr>
            <w:tcW w:w="1920" w:type="dxa"/>
            <w:vAlign w:val="bottom"/>
            <w:tcBorders>
              <w:right w:val="single" w:sz="8" w:color="auto"/>
            </w:tcBorders>
            <w:gridSpan w:val="3"/>
          </w:tcPr>
          <w:p>
            <w:pPr>
              <w:jc w:val="right"/>
              <w:ind w:right="900"/>
              <w:spacing w:after="0" w:line="169" w:lineRule="exact"/>
              <w:rPr>
                <w:sz w:val="20"/>
                <w:szCs w:val="20"/>
                <w:color w:val="auto"/>
              </w:rPr>
            </w:pPr>
            <w:r>
              <w:rPr>
                <w:rFonts w:ascii="Arial" w:cs="Arial" w:eastAsia="Arial" w:hAnsi="Arial"/>
                <w:sz w:val="18"/>
                <w:szCs w:val="18"/>
                <w:color w:val="0000FF"/>
              </w:rPr>
              <w:t>0.350%</w:t>
            </w:r>
          </w:p>
        </w:tc>
      </w:tr>
      <w:tr>
        <w:trPr>
          <w:trHeight w:val="28"/>
        </w:trPr>
        <w:tc>
          <w:tcPr>
            <w:tcW w:w="580" w:type="dxa"/>
            <w:vAlign w:val="bottom"/>
            <w:tcBorders>
              <w:left w:val="single" w:sz="8" w:color="auto"/>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196"/>
        </w:trPr>
        <w:tc>
          <w:tcPr>
            <w:tcW w:w="580" w:type="dxa"/>
            <w:vAlign w:val="bottom"/>
            <w:tcBorders>
              <w:left w:val="single" w:sz="8" w:color="CCCCFF"/>
            </w:tcBorders>
            <w:shd w:val="clear" w:color="auto" w:fill="CCCCFF"/>
          </w:tcPr>
          <w:p>
            <w:pPr>
              <w:spacing w:after="0"/>
              <w:rPr>
                <w:sz w:val="17"/>
                <w:szCs w:val="17"/>
                <w:color w:val="auto"/>
              </w:rPr>
            </w:pPr>
          </w:p>
        </w:tc>
        <w:tc>
          <w:tcPr>
            <w:tcW w:w="240" w:type="dxa"/>
            <w:vAlign w:val="bottom"/>
            <w:shd w:val="clear" w:color="auto" w:fill="CCCCFF"/>
          </w:tcPr>
          <w:p>
            <w:pPr>
              <w:spacing w:after="0"/>
              <w:rPr>
                <w:sz w:val="17"/>
                <w:szCs w:val="17"/>
                <w:color w:val="auto"/>
              </w:rPr>
            </w:pPr>
          </w:p>
        </w:tc>
        <w:tc>
          <w:tcPr>
            <w:tcW w:w="580" w:type="dxa"/>
            <w:vAlign w:val="bottom"/>
            <w:tcBorders>
              <w:right w:val="single" w:sz="8" w:color="CCCCFF"/>
            </w:tcBorders>
            <w:shd w:val="clear" w:color="auto" w:fill="CCCCFF"/>
          </w:tcPr>
          <w:p>
            <w:pPr>
              <w:spacing w:after="0"/>
              <w:rPr>
                <w:sz w:val="17"/>
                <w:szCs w:val="17"/>
                <w:color w:val="auto"/>
              </w:rPr>
            </w:pPr>
          </w:p>
        </w:tc>
        <w:tc>
          <w:tcPr>
            <w:tcW w:w="100" w:type="dxa"/>
            <w:vAlign w:val="bottom"/>
            <w:shd w:val="clear" w:color="auto" w:fill="CCCCFF"/>
          </w:tcPr>
          <w:p>
            <w:pPr>
              <w:spacing w:after="0"/>
              <w:rPr>
                <w:sz w:val="17"/>
                <w:szCs w:val="17"/>
                <w:color w:val="auto"/>
              </w:rPr>
            </w:pPr>
          </w:p>
        </w:tc>
        <w:tc>
          <w:tcPr>
            <w:tcW w:w="860" w:type="dxa"/>
            <w:vAlign w:val="bottom"/>
            <w:shd w:val="clear" w:color="auto" w:fill="CCCCFF"/>
          </w:tcPr>
          <w:p>
            <w:pPr>
              <w:spacing w:after="0"/>
              <w:rPr>
                <w:sz w:val="17"/>
                <w:szCs w:val="17"/>
                <w:color w:val="auto"/>
              </w:rPr>
            </w:pPr>
          </w:p>
        </w:tc>
        <w:tc>
          <w:tcPr>
            <w:tcW w:w="940" w:type="dxa"/>
            <w:vAlign w:val="bottom"/>
            <w:shd w:val="clear" w:color="auto" w:fill="CCCCFF"/>
          </w:tcPr>
          <w:p>
            <w:pPr>
              <w:spacing w:after="0"/>
              <w:rPr>
                <w:sz w:val="17"/>
                <w:szCs w:val="17"/>
                <w:color w:val="auto"/>
              </w:rPr>
            </w:pPr>
          </w:p>
        </w:tc>
        <w:tc>
          <w:tcPr>
            <w:tcW w:w="20" w:type="dxa"/>
            <w:vAlign w:val="bottom"/>
            <w:shd w:val="clear" w:color="auto" w:fill="CCCCFF"/>
          </w:tcPr>
          <w:p>
            <w:pPr>
              <w:spacing w:after="0"/>
              <w:rPr>
                <w:sz w:val="17"/>
                <w:szCs w:val="17"/>
                <w:color w:val="auto"/>
              </w:rPr>
            </w:pPr>
          </w:p>
        </w:tc>
        <w:tc>
          <w:tcPr>
            <w:tcW w:w="980" w:type="dxa"/>
            <w:vAlign w:val="bottom"/>
            <w:shd w:val="clear" w:color="auto" w:fill="CCCCFF"/>
          </w:tcPr>
          <w:p>
            <w:pPr>
              <w:spacing w:after="0"/>
              <w:rPr>
                <w:sz w:val="17"/>
                <w:szCs w:val="17"/>
                <w:color w:val="auto"/>
              </w:rPr>
            </w:pPr>
          </w:p>
        </w:tc>
        <w:tc>
          <w:tcPr>
            <w:tcW w:w="40" w:type="dxa"/>
            <w:vAlign w:val="bottom"/>
            <w:shd w:val="clear" w:color="auto" w:fill="CCCCFF"/>
          </w:tcPr>
          <w:p>
            <w:pPr>
              <w:spacing w:after="0"/>
              <w:rPr>
                <w:sz w:val="17"/>
                <w:szCs w:val="17"/>
                <w:color w:val="auto"/>
              </w:rPr>
            </w:pPr>
          </w:p>
        </w:tc>
        <w:tc>
          <w:tcPr>
            <w:tcW w:w="760" w:type="dxa"/>
            <w:vAlign w:val="bottom"/>
            <w:shd w:val="clear" w:color="auto" w:fill="CCCCFF"/>
          </w:tcPr>
          <w:p>
            <w:pPr>
              <w:spacing w:after="0"/>
              <w:rPr>
                <w:sz w:val="17"/>
                <w:szCs w:val="17"/>
                <w:color w:val="auto"/>
              </w:rPr>
            </w:pPr>
          </w:p>
        </w:tc>
        <w:tc>
          <w:tcPr>
            <w:tcW w:w="300" w:type="dxa"/>
            <w:vAlign w:val="bottom"/>
            <w:tcBorders>
              <w:right w:val="single" w:sz="8" w:color="CCCCFF"/>
            </w:tcBorders>
            <w:shd w:val="clear" w:color="auto" w:fill="CCCCFF"/>
          </w:tcPr>
          <w:p>
            <w:pPr>
              <w:spacing w:after="0"/>
              <w:rPr>
                <w:sz w:val="17"/>
                <w:szCs w:val="17"/>
                <w:color w:val="auto"/>
              </w:rPr>
            </w:pPr>
          </w:p>
        </w:tc>
        <w:tc>
          <w:tcPr>
            <w:tcW w:w="260" w:type="dxa"/>
            <w:vAlign w:val="bottom"/>
            <w:shd w:val="clear" w:color="auto" w:fill="CCCCFF"/>
          </w:tcPr>
          <w:p>
            <w:pPr>
              <w:spacing w:after="0"/>
              <w:rPr>
                <w:sz w:val="17"/>
                <w:szCs w:val="17"/>
                <w:color w:val="auto"/>
              </w:rPr>
            </w:pPr>
          </w:p>
        </w:tc>
        <w:tc>
          <w:tcPr>
            <w:tcW w:w="180" w:type="dxa"/>
            <w:vAlign w:val="bottom"/>
            <w:tcBorders>
              <w:right w:val="single" w:sz="8" w:color="CCCCFF"/>
            </w:tcBorders>
            <w:shd w:val="clear" w:color="auto" w:fill="CCCCFF"/>
          </w:tcPr>
          <w:p>
            <w:pPr>
              <w:spacing w:after="0"/>
              <w:rPr>
                <w:sz w:val="17"/>
                <w:szCs w:val="17"/>
                <w:color w:val="auto"/>
              </w:rPr>
            </w:pPr>
          </w:p>
        </w:tc>
        <w:tc>
          <w:tcPr>
            <w:tcW w:w="460" w:type="dxa"/>
            <w:vAlign w:val="bottom"/>
            <w:shd w:val="clear" w:color="auto" w:fill="CCCCFF"/>
          </w:tcPr>
          <w:p>
            <w:pPr>
              <w:spacing w:after="0"/>
              <w:rPr>
                <w:sz w:val="17"/>
                <w:szCs w:val="17"/>
                <w:color w:val="auto"/>
              </w:rPr>
            </w:pPr>
          </w:p>
        </w:tc>
        <w:tc>
          <w:tcPr>
            <w:tcW w:w="60" w:type="dxa"/>
            <w:vAlign w:val="bottom"/>
            <w:shd w:val="clear" w:color="auto" w:fill="CCCCFF"/>
          </w:tcPr>
          <w:p>
            <w:pPr>
              <w:spacing w:after="0"/>
              <w:rPr>
                <w:sz w:val="17"/>
                <w:szCs w:val="17"/>
                <w:color w:val="auto"/>
              </w:rPr>
            </w:pPr>
          </w:p>
        </w:tc>
        <w:tc>
          <w:tcPr>
            <w:tcW w:w="40" w:type="dxa"/>
            <w:vAlign w:val="bottom"/>
            <w:shd w:val="clear" w:color="auto" w:fill="CCCCFF"/>
          </w:tcPr>
          <w:p>
            <w:pPr>
              <w:spacing w:after="0"/>
              <w:rPr>
                <w:sz w:val="17"/>
                <w:szCs w:val="17"/>
                <w:color w:val="auto"/>
              </w:rPr>
            </w:pPr>
          </w:p>
        </w:tc>
        <w:tc>
          <w:tcPr>
            <w:tcW w:w="420" w:type="dxa"/>
            <w:vAlign w:val="bottom"/>
            <w:shd w:val="clear" w:color="auto" w:fill="CCCCFF"/>
          </w:tcPr>
          <w:p>
            <w:pPr>
              <w:spacing w:after="0"/>
              <w:rPr>
                <w:sz w:val="17"/>
                <w:szCs w:val="17"/>
                <w:color w:val="auto"/>
              </w:rPr>
            </w:pPr>
          </w:p>
        </w:tc>
        <w:tc>
          <w:tcPr>
            <w:tcW w:w="280" w:type="dxa"/>
            <w:vAlign w:val="bottom"/>
            <w:tcBorders>
              <w:right w:val="single" w:sz="8" w:color="CCCCFF"/>
            </w:tcBorders>
            <w:shd w:val="clear" w:color="auto" w:fill="CCCCFF"/>
          </w:tcPr>
          <w:p>
            <w:pPr>
              <w:spacing w:after="0"/>
              <w:rPr>
                <w:sz w:val="17"/>
                <w:szCs w:val="17"/>
                <w:color w:val="auto"/>
              </w:rPr>
            </w:pPr>
          </w:p>
        </w:tc>
        <w:tc>
          <w:tcPr>
            <w:tcW w:w="700" w:type="dxa"/>
            <w:vAlign w:val="bottom"/>
            <w:shd w:val="clear" w:color="auto" w:fill="CCCCFF"/>
          </w:tcPr>
          <w:p>
            <w:pPr>
              <w:spacing w:after="0"/>
              <w:rPr>
                <w:sz w:val="17"/>
                <w:szCs w:val="17"/>
                <w:color w:val="auto"/>
              </w:rPr>
            </w:pPr>
          </w:p>
        </w:tc>
        <w:tc>
          <w:tcPr>
            <w:tcW w:w="480" w:type="dxa"/>
            <w:vAlign w:val="bottom"/>
            <w:shd w:val="clear" w:color="auto" w:fill="CCCCFF"/>
          </w:tcPr>
          <w:p>
            <w:pPr>
              <w:spacing w:after="0"/>
              <w:rPr>
                <w:sz w:val="17"/>
                <w:szCs w:val="17"/>
                <w:color w:val="auto"/>
              </w:rPr>
            </w:pPr>
          </w:p>
        </w:tc>
        <w:tc>
          <w:tcPr>
            <w:tcW w:w="740" w:type="dxa"/>
            <w:vAlign w:val="bottom"/>
            <w:tcBorders>
              <w:right w:val="single" w:sz="8" w:color="CCCCFF"/>
            </w:tcBorders>
            <w:shd w:val="clear" w:color="auto" w:fill="CCCCFF"/>
          </w:tcPr>
          <w:p>
            <w:pPr>
              <w:spacing w:after="0"/>
              <w:rPr>
                <w:sz w:val="17"/>
                <w:szCs w:val="17"/>
                <w:color w:val="auto"/>
              </w:rPr>
            </w:pPr>
          </w:p>
        </w:tc>
        <w:tc>
          <w:tcPr>
            <w:tcW w:w="460" w:type="dxa"/>
            <w:vAlign w:val="bottom"/>
            <w:shd w:val="clear" w:color="auto" w:fill="CCCCFF"/>
          </w:tcPr>
          <w:p>
            <w:pPr>
              <w:spacing w:after="0"/>
              <w:rPr>
                <w:sz w:val="17"/>
                <w:szCs w:val="17"/>
                <w:color w:val="auto"/>
              </w:rPr>
            </w:pPr>
          </w:p>
        </w:tc>
        <w:tc>
          <w:tcPr>
            <w:tcW w:w="560" w:type="dxa"/>
            <w:vAlign w:val="bottom"/>
            <w:shd w:val="clear" w:color="auto" w:fill="CCCCFF"/>
          </w:tcPr>
          <w:p>
            <w:pPr>
              <w:spacing w:after="0"/>
              <w:rPr>
                <w:sz w:val="17"/>
                <w:szCs w:val="17"/>
                <w:color w:val="auto"/>
              </w:rPr>
            </w:pPr>
          </w:p>
        </w:tc>
        <w:tc>
          <w:tcPr>
            <w:tcW w:w="900" w:type="dxa"/>
            <w:vAlign w:val="bottom"/>
            <w:tcBorders>
              <w:right w:val="single" w:sz="8" w:color="CCCCFF"/>
            </w:tcBorders>
            <w:shd w:val="clear" w:color="auto" w:fill="CCCCFF"/>
          </w:tcPr>
          <w:p>
            <w:pPr>
              <w:spacing w:after="0"/>
              <w:rPr>
                <w:sz w:val="17"/>
                <w:szCs w:val="17"/>
                <w:color w:val="auto"/>
              </w:rPr>
            </w:pPr>
          </w:p>
        </w:tc>
      </w:tr>
    </w:tbl>
    <w:p>
      <w:pPr>
        <w:spacing w:after="0" w:line="375" w:lineRule="exact"/>
        <w:rPr>
          <w:sz w:val="20"/>
          <w:szCs w:val="20"/>
          <w:color w:val="auto"/>
        </w:rPr>
      </w:pPr>
    </w:p>
    <w:p>
      <w:pPr>
        <w:ind w:left="78"/>
        <w:spacing w:after="0" w:line="236" w:lineRule="auto"/>
        <w:rPr>
          <w:sz w:val="20"/>
          <w:szCs w:val="20"/>
          <w:color w:val="auto"/>
        </w:rPr>
      </w:pPr>
      <w:r>
        <w:rPr>
          <w:rFonts w:ascii="Arial" w:cs="Arial" w:eastAsia="Arial" w:hAnsi="Arial"/>
          <w:sz w:val="18"/>
          <w:szCs w:val="18"/>
          <w:color w:val="auto"/>
        </w:rPr>
        <w:t>The Applicable Margin shall be determined and adjusted quarterly on the date five (5) Business Days after the day on which Centuri provides an Officer’s Compliance Certificate pursuant to Section 8.2(a) for the most recently ended fiscal quarter of Centuri (each such</w:t>
      </w:r>
    </w:p>
    <w:p>
      <w:pPr>
        <w:ind w:left="78"/>
        <w:spacing w:after="0" w:line="235" w:lineRule="auto"/>
        <w:rPr>
          <w:sz w:val="20"/>
          <w:szCs w:val="20"/>
          <w:color w:val="auto"/>
        </w:rPr>
      </w:pPr>
      <w:r>
        <w:rPr>
          <w:rFonts w:ascii="Arial" w:cs="Arial" w:eastAsia="Arial" w:hAnsi="Arial"/>
          <w:sz w:val="18"/>
          <w:szCs w:val="18"/>
          <w:color w:val="auto"/>
        </w:rPr>
        <w:t xml:space="preserve">date, a “Calculation Date”); provided that (a) the Applicable Margin shall be based on the Pricing Level </w:t>
      </w:r>
      <w:r>
        <w:rPr>
          <w:rFonts w:ascii="Arial" w:cs="Arial" w:eastAsia="Arial" w:hAnsi="Arial"/>
          <w:sz w:val="18"/>
          <w:szCs w:val="18"/>
          <w:color w:val="FF0000"/>
          <w:strike w:val="1"/>
        </w:rPr>
        <w:t>VI</w:t>
      </w:r>
      <w:r>
        <w:rPr>
          <w:rFonts w:ascii="Arial" w:cs="Arial" w:eastAsia="Arial" w:hAnsi="Arial"/>
          <w:sz w:val="18"/>
          <w:szCs w:val="18"/>
          <w:color w:val="0000FF"/>
        </w:rPr>
        <w:t>VII</w:t>
      </w:r>
      <w:r>
        <w:rPr>
          <w:rFonts w:ascii="Arial" w:cs="Arial" w:eastAsia="Arial" w:hAnsi="Arial"/>
          <w:sz w:val="18"/>
          <w:szCs w:val="18"/>
          <w:color w:val="auto"/>
        </w:rPr>
        <w:t xml:space="preserve"> until the first Calculation</w:t>
      </w:r>
    </w:p>
    <w:p>
      <w:pPr>
        <w:ind w:left="78"/>
        <w:spacing w:after="0" w:line="226" w:lineRule="auto"/>
        <w:rPr>
          <w:sz w:val="20"/>
          <w:szCs w:val="20"/>
          <w:color w:val="auto"/>
        </w:rPr>
      </w:pPr>
      <w:r>
        <w:rPr>
          <w:rFonts w:ascii="Arial" w:cs="Arial" w:eastAsia="Arial" w:hAnsi="Arial"/>
          <w:sz w:val="18"/>
          <w:szCs w:val="18"/>
          <w:color w:val="auto"/>
        </w:rPr>
        <w:t xml:space="preserve">Date occurring in connection with the first </w:t>
      </w:r>
      <w:r>
        <w:rPr>
          <w:rFonts w:ascii="Arial" w:cs="Arial" w:eastAsia="Arial" w:hAnsi="Arial"/>
          <w:sz w:val="18"/>
          <w:szCs w:val="18"/>
          <w:color w:val="FF0000"/>
          <w:strike w:val="1"/>
        </w:rPr>
        <w:t>full</w:t>
      </w:r>
      <w:r>
        <w:rPr>
          <w:rFonts w:ascii="Arial" w:cs="Arial" w:eastAsia="Arial" w:hAnsi="Arial"/>
          <w:sz w:val="18"/>
          <w:szCs w:val="18"/>
          <w:color w:val="auto"/>
        </w:rPr>
        <w:t xml:space="preserve"> fiscal quarter to end after the </w:t>
      </w:r>
      <w:r>
        <w:rPr>
          <w:rFonts w:ascii="Arial" w:cs="Arial" w:eastAsia="Arial" w:hAnsi="Arial"/>
          <w:sz w:val="18"/>
          <w:szCs w:val="18"/>
          <w:color w:val="FF0000"/>
          <w:strike w:val="1"/>
        </w:rPr>
        <w:t>Closing</w:t>
      </w:r>
      <w:r>
        <w:rPr>
          <w:rFonts w:ascii="Arial" w:cs="Arial" w:eastAsia="Arial" w:hAnsi="Arial"/>
          <w:sz w:val="18"/>
          <w:szCs w:val="18"/>
          <w:color w:val="0000FF"/>
        </w:rPr>
        <w:t>First Amendment Effective</w:t>
      </w:r>
      <w:r>
        <w:rPr>
          <w:rFonts w:ascii="Arial" w:cs="Arial" w:eastAsia="Arial" w:hAnsi="Arial"/>
          <w:sz w:val="18"/>
          <w:szCs w:val="18"/>
          <w:color w:val="auto"/>
        </w:rPr>
        <w:t xml:space="preserve"> Date and, thereafter the Pricing Level shall be determined by reference to the Consolidated Net Leverage Ratio as of the last day of the most recently ended fiscal</w:t>
      </w:r>
    </w:p>
    <w:p>
      <w:pPr>
        <w:ind w:left="78"/>
        <w:spacing w:after="0" w:line="236" w:lineRule="auto"/>
        <w:rPr>
          <w:sz w:val="20"/>
          <w:szCs w:val="20"/>
          <w:color w:val="auto"/>
        </w:rPr>
      </w:pPr>
      <w:r>
        <w:rPr>
          <w:rFonts w:ascii="Arial" w:cs="Arial" w:eastAsia="Arial" w:hAnsi="Arial"/>
          <w:sz w:val="18"/>
          <w:szCs w:val="18"/>
          <w:color w:val="auto"/>
        </w:rPr>
        <w:t>quarter of Centuri preceding the applicable Calculation Date, and (b) if Centuri fails to provide an Officer’s Compliance Certificate when</w:t>
      </w:r>
    </w:p>
    <w:p>
      <w:pPr>
        <w:spacing w:after="0" w:line="1" w:lineRule="exact"/>
        <w:rPr>
          <w:sz w:val="20"/>
          <w:szCs w:val="20"/>
          <w:color w:val="auto"/>
        </w:rPr>
      </w:pPr>
    </w:p>
    <w:p>
      <w:pPr>
        <w:ind w:left="78"/>
        <w:spacing w:after="0" w:line="255" w:lineRule="auto"/>
        <w:rPr>
          <w:sz w:val="20"/>
          <w:szCs w:val="20"/>
          <w:color w:val="auto"/>
        </w:rPr>
      </w:pPr>
      <w:r>
        <w:rPr>
          <w:rFonts w:ascii="Arial" w:cs="Arial" w:eastAsia="Arial" w:hAnsi="Arial"/>
          <w:sz w:val="16"/>
          <w:szCs w:val="16"/>
          <w:color w:val="auto"/>
        </w:rPr>
        <w:t>due as required by Section 8.2(a) or (b) for the most recently ended fiscal quarter of Centuri preceding the applicable Calculation Date, the Applicable Margin from the date on which such Officer’s Compliance Certificate was required to have been delivered shall be based on</w:t>
      </w:r>
    </w:p>
    <w:p>
      <w:pPr>
        <w:ind w:left="78"/>
        <w:spacing w:after="0" w:line="223" w:lineRule="auto"/>
        <w:rPr>
          <w:sz w:val="20"/>
          <w:szCs w:val="20"/>
          <w:color w:val="auto"/>
        </w:rPr>
      </w:pPr>
      <w:r>
        <w:rPr>
          <w:rFonts w:ascii="Arial" w:cs="Arial" w:eastAsia="Arial" w:hAnsi="Arial"/>
          <w:sz w:val="19"/>
          <w:szCs w:val="19"/>
          <w:color w:val="auto"/>
        </w:rPr>
        <w:t xml:space="preserve">Pricing Level </w:t>
      </w:r>
      <w:r>
        <w:rPr>
          <w:rFonts w:ascii="Arial" w:cs="Arial" w:eastAsia="Arial" w:hAnsi="Arial"/>
          <w:sz w:val="19"/>
          <w:szCs w:val="19"/>
          <w:color w:val="FF0000"/>
          <w:strike w:val="1"/>
        </w:rPr>
        <w:t>VI</w:t>
      </w:r>
      <w:r>
        <w:rPr>
          <w:rFonts w:ascii="Arial" w:cs="Arial" w:eastAsia="Arial" w:hAnsi="Arial"/>
          <w:sz w:val="19"/>
          <w:szCs w:val="19"/>
          <w:color w:val="0000FF"/>
        </w:rPr>
        <w:t>VII</w:t>
      </w:r>
      <w:r>
        <w:rPr>
          <w:rFonts w:ascii="Arial" w:cs="Arial" w:eastAsia="Arial" w:hAnsi="Arial"/>
          <w:sz w:val="19"/>
          <w:szCs w:val="19"/>
          <w:color w:val="auto"/>
        </w:rPr>
        <w:t xml:space="preserve"> until such time as such Officer’s Compliance Certificate is delivered, at which time the Pricing Level shall be</w:t>
      </w:r>
    </w:p>
    <w:p>
      <w:pPr>
        <w:ind w:left="78"/>
        <w:spacing w:after="0" w:line="226" w:lineRule="auto"/>
        <w:rPr>
          <w:sz w:val="20"/>
          <w:szCs w:val="20"/>
          <w:color w:val="auto"/>
        </w:rPr>
      </w:pPr>
      <w:r>
        <w:rPr>
          <w:rFonts w:ascii="Arial" w:cs="Arial" w:eastAsia="Arial" w:hAnsi="Arial"/>
          <w:sz w:val="18"/>
          <w:szCs w:val="18"/>
          <w:color w:val="auto"/>
        </w:rPr>
        <w:t>determined by reference to the Consolidated Net Leverage Ratio as of the last day of the most recently ended fiscal quarter of Centuri preceding such Calculation Date. The applicable Pricing Level shall be effective from one Calculation Date until the next Calculation</w:t>
      </w:r>
    </w:p>
    <w:p>
      <w:pPr>
        <w:spacing w:after="0" w:line="2" w:lineRule="exact"/>
        <w:rPr>
          <w:sz w:val="20"/>
          <w:szCs w:val="20"/>
          <w:color w:val="auto"/>
        </w:rPr>
      </w:pPr>
    </w:p>
    <w:p>
      <w:pPr>
        <w:ind w:left="78"/>
        <w:spacing w:after="0"/>
        <w:rPr>
          <w:sz w:val="20"/>
          <w:szCs w:val="20"/>
          <w:color w:val="auto"/>
        </w:rPr>
      </w:pPr>
      <w:r>
        <w:rPr>
          <w:rFonts w:ascii="Arial" w:cs="Arial" w:eastAsia="Arial" w:hAnsi="Arial"/>
          <w:sz w:val="18"/>
          <w:szCs w:val="18"/>
          <w:color w:val="auto"/>
        </w:rPr>
        <w:t>Date. Any adjustment in the Pricing Level shall be applicable to all Extensions of Credit then existing or subsequently made or issued.</w:t>
      </w:r>
    </w:p>
    <w:p>
      <w:pPr>
        <w:spacing w:after="0" w:line="223" w:lineRule="exact"/>
        <w:rPr>
          <w:sz w:val="20"/>
          <w:szCs w:val="20"/>
          <w:color w:val="auto"/>
        </w:rPr>
      </w:pPr>
    </w:p>
    <w:p>
      <w:pPr>
        <w:ind w:left="78"/>
        <w:spacing w:after="0"/>
        <w:rPr>
          <w:sz w:val="20"/>
          <w:szCs w:val="20"/>
          <w:color w:val="auto"/>
        </w:rPr>
      </w:pPr>
      <w:r>
        <w:rPr>
          <w:rFonts w:ascii="Arial" w:cs="Arial" w:eastAsia="Arial" w:hAnsi="Arial"/>
          <w:sz w:val="18"/>
          <w:szCs w:val="18"/>
          <w:color w:val="auto"/>
        </w:rPr>
        <w:t>Notwithstanding the foregoing, in the event that any financial statement or Officer’s Compliance Certificate delivered pursuant to Section</w:t>
      </w:r>
    </w:p>
    <w:p>
      <w:pPr>
        <w:spacing w:after="0" w:line="12" w:lineRule="exact"/>
        <w:rPr>
          <w:sz w:val="20"/>
          <w:szCs w:val="20"/>
          <w:color w:val="auto"/>
        </w:rPr>
      </w:pPr>
    </w:p>
    <w:p>
      <w:pPr>
        <w:ind w:left="78"/>
        <w:spacing w:after="0" w:line="226" w:lineRule="auto"/>
        <w:rPr>
          <w:sz w:val="20"/>
          <w:szCs w:val="20"/>
          <w:color w:val="auto"/>
        </w:rPr>
      </w:pPr>
      <w:r>
        <w:rPr>
          <w:rFonts w:ascii="Arial" w:cs="Arial" w:eastAsia="Arial" w:hAnsi="Arial"/>
          <w:sz w:val="18"/>
          <w:szCs w:val="18"/>
          <w:color w:val="auto"/>
        </w:rPr>
        <w:t>8.1 or 8.2 is shown to be inaccurate (regardless of whether (i) this Agreement is in effect, (ii) any Commitments are in effect, or (iii) any Extension of Credit is outstanding when such inaccuracy is discovered or such financial statement or Officer’s Compliance Certificate was</w:t>
      </w:r>
    </w:p>
    <w:p>
      <w:pPr>
        <w:ind w:left="78"/>
        <w:spacing w:after="0" w:line="224" w:lineRule="auto"/>
        <w:rPr>
          <w:sz w:val="20"/>
          <w:szCs w:val="20"/>
          <w:color w:val="auto"/>
        </w:rPr>
      </w:pPr>
      <w:r>
        <w:rPr>
          <w:rFonts w:ascii="Arial" w:cs="Arial" w:eastAsia="Arial" w:hAnsi="Arial"/>
          <w:sz w:val="19"/>
          <w:szCs w:val="19"/>
          <w:color w:val="auto"/>
        </w:rPr>
        <w:t>delivered), and such inaccuracy, if corrected, would have led to the application of a higher Applicable Margin for any period (an</w:t>
      </w:r>
    </w:p>
    <w:p>
      <w:pPr>
        <w:ind w:left="78"/>
        <w:spacing w:after="0" w:line="226" w:lineRule="auto"/>
        <w:rPr>
          <w:sz w:val="20"/>
          <w:szCs w:val="20"/>
          <w:color w:val="auto"/>
        </w:rPr>
      </w:pPr>
      <w:r>
        <w:rPr>
          <w:rFonts w:ascii="Arial" w:cs="Arial" w:eastAsia="Arial" w:hAnsi="Arial"/>
          <w:sz w:val="18"/>
          <w:szCs w:val="18"/>
          <w:color w:val="auto"/>
        </w:rPr>
        <w:t>“Applicable Period”) than the Applicable Margin applied for such Applicable Period, then (A) Centuri shall immediately deliver to the Administrative Agent a corrected Officer’s Compliance Certificate for such Applicable Period, (B) the Applicable Margin for such</w:t>
      </w:r>
    </w:p>
    <w:p>
      <w:pPr>
        <w:ind w:left="78"/>
        <w:spacing w:after="0" w:line="236" w:lineRule="auto"/>
        <w:rPr>
          <w:sz w:val="20"/>
          <w:szCs w:val="20"/>
          <w:color w:val="auto"/>
        </w:rPr>
      </w:pPr>
      <w:r>
        <w:rPr>
          <w:rFonts w:ascii="Arial" w:cs="Arial" w:eastAsia="Arial" w:hAnsi="Arial"/>
          <w:sz w:val="18"/>
          <w:szCs w:val="18"/>
          <w:color w:val="auto"/>
        </w:rPr>
        <w:t>Applicable Period shall be determined as if the Consolidated Net Leverage Ratio in the corrected Officer’s Compliance Certificate were</w:t>
      </w:r>
    </w:p>
    <w:p>
      <w:pPr>
        <w:spacing w:after="0" w:line="1" w:lineRule="exact"/>
        <w:rPr>
          <w:sz w:val="20"/>
          <w:szCs w:val="20"/>
          <w:color w:val="auto"/>
        </w:rPr>
      </w:pPr>
    </w:p>
    <w:p>
      <w:pPr>
        <w:ind w:left="78"/>
        <w:spacing w:after="0" w:line="226" w:lineRule="auto"/>
        <w:rPr>
          <w:sz w:val="20"/>
          <w:szCs w:val="20"/>
          <w:color w:val="auto"/>
        </w:rPr>
      </w:pPr>
      <w:r>
        <w:rPr>
          <w:rFonts w:ascii="Arial" w:cs="Arial" w:eastAsia="Arial" w:hAnsi="Arial"/>
          <w:sz w:val="18"/>
          <w:szCs w:val="18"/>
          <w:color w:val="auto"/>
        </w:rPr>
        <w:t>applicable for such Applicable Period, and (C) the Borrowers shall immediately and retroactively be obligated to pay to the Administrative Agent the accrued additional interest and fees owing as a result of such increased Applicable Margin for such Applicable</w:t>
      </w:r>
    </w:p>
    <w:p>
      <w:pPr>
        <w:spacing w:after="0" w:line="2" w:lineRule="exact"/>
        <w:rPr>
          <w:sz w:val="20"/>
          <w:szCs w:val="20"/>
          <w:color w:val="auto"/>
        </w:rPr>
      </w:pPr>
    </w:p>
    <w:p>
      <w:pPr>
        <w:ind w:left="78" w:right="20"/>
        <w:spacing w:after="0" w:line="227" w:lineRule="auto"/>
        <w:rPr>
          <w:sz w:val="20"/>
          <w:szCs w:val="20"/>
          <w:color w:val="auto"/>
        </w:rPr>
      </w:pPr>
      <w:r>
        <w:rPr>
          <w:rFonts w:ascii="Arial" w:cs="Arial" w:eastAsia="Arial" w:hAnsi="Arial"/>
          <w:sz w:val="20"/>
          <w:szCs w:val="20"/>
          <w:color w:val="auto"/>
        </w:rPr>
        <w:t>Period, which payment shall be promptly applied by the Administrative Agent in accordance with Section 5.4. Nothing in this paragraph shall limit the rights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4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58"/>
          </w:cols>
          <w:pgMar w:left="382" w:top="1405" w:right="459" w:bottom="1440" w:gutter="0" w:footer="0" w:header="0"/>
        </w:sectPr>
      </w:pPr>
    </w:p>
    <w:bookmarkStart w:id="81" w:name="page82"/>
    <w:bookmarkEnd w:id="81"/>
    <w:p>
      <w:pPr>
        <w:ind w:left="58"/>
        <w:spacing w:after="0"/>
        <w:rPr>
          <w:sz w:val="20"/>
          <w:szCs w:val="20"/>
          <w:color w:val="auto"/>
        </w:rPr>
      </w:pPr>
      <w:r>
        <w:rPr>
          <w:rFonts w:ascii="Arial" w:cs="Arial" w:eastAsia="Arial" w:hAnsi="Arial"/>
          <w:sz w:val="18"/>
          <w:szCs w:val="18"/>
          <w:color w:val="auto"/>
        </w:rPr>
        <w:t>the Administrative Agent and Lenders with respect to Sections 5.1(b) and 10.2 nor any of their other rights under this Agreement or any</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other Loan Document. The Borrowers’ obligations under this paragraph shall survive the termination of the Commitments and the repayment of all other Obligations hereunder.</w:t>
      </w:r>
    </w:p>
    <w:p>
      <w:pPr>
        <w:spacing w:after="0" w:line="21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“Applicant Borrower” has the meaning given such term in Section 5.17.</w:t>
      </w:r>
    </w:p>
    <w:p>
      <w:pPr>
        <w:spacing w:after="0" w:line="283" w:lineRule="exact"/>
        <w:rPr>
          <w:sz w:val="20"/>
          <w:szCs w:val="20"/>
          <w:color w:val="auto"/>
        </w:rPr>
      </w:pPr>
    </w:p>
    <w:p>
      <w:pPr>
        <w:ind w:left="58" w:right="20" w:firstLine="648"/>
        <w:spacing w:after="0" w:line="229" w:lineRule="auto"/>
        <w:rPr>
          <w:sz w:val="20"/>
          <w:szCs w:val="20"/>
          <w:color w:val="auto"/>
        </w:rPr>
      </w:pPr>
      <w:r>
        <w:rPr>
          <w:rFonts w:ascii="Arial" w:cs="Arial" w:eastAsia="Arial" w:hAnsi="Arial"/>
          <w:sz w:val="20"/>
          <w:szCs w:val="20"/>
          <w:color w:val="auto"/>
        </w:rPr>
        <w:t>“Approved Fund” means any Fund that is administered or managed by (a) a Lender, (b) an Affiliate of a Lender or (c) an entity or an Affiliate of an entity that administers or manages a Lender.</w:t>
      </w:r>
    </w:p>
    <w:p>
      <w:pPr>
        <w:spacing w:after="0" w:line="209" w:lineRule="exact"/>
        <w:rPr>
          <w:sz w:val="20"/>
          <w:szCs w:val="20"/>
          <w:color w:val="auto"/>
        </w:rPr>
      </w:pPr>
    </w:p>
    <w:p>
      <w:pPr>
        <w:ind w:left="58" w:firstLine="648"/>
        <w:spacing w:after="0" w:line="229" w:lineRule="auto"/>
        <w:rPr>
          <w:sz w:val="20"/>
          <w:szCs w:val="20"/>
          <w:color w:val="auto"/>
        </w:rPr>
      </w:pPr>
      <w:r>
        <w:rPr>
          <w:rFonts w:ascii="Arial" w:cs="Arial" w:eastAsia="Arial" w:hAnsi="Arial"/>
          <w:sz w:val="20"/>
          <w:szCs w:val="20"/>
          <w:color w:val="auto"/>
        </w:rPr>
        <w:t>“Arrangers” means Wells Fargo Securities, LLC and BofA Securities, Inc., in their respective capacities as joint lead arrangers and joint bookrunners.</w:t>
      </w:r>
    </w:p>
    <w:p>
      <w:pPr>
        <w:spacing w:after="0" w:line="209"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“Asset Disposition” means the disposition of any Property (including, without limitation, any Equity Interests owned thereby) by any Credit Party or any Subsidiary thereof, whether by sale, lease, transfer, statutory division or otherwise, and any issuance of Equity</w:t>
      </w:r>
    </w:p>
    <w:p>
      <w:pPr>
        <w:ind w:left="58"/>
        <w:spacing w:after="0"/>
        <w:rPr>
          <w:sz w:val="20"/>
          <w:szCs w:val="20"/>
          <w:color w:val="auto"/>
        </w:rPr>
      </w:pPr>
      <w:r>
        <w:rPr>
          <w:rFonts w:ascii="Arial" w:cs="Arial" w:eastAsia="Arial" w:hAnsi="Arial"/>
          <w:sz w:val="20"/>
          <w:szCs w:val="20"/>
          <w:color w:val="auto"/>
        </w:rPr>
        <w:t>Interests by any Subsidiary of any Credit Party to any Person that is not a Credit Party or any Subsidiary thereof.</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18"/>
          <w:szCs w:val="18"/>
          <w:color w:val="auto"/>
        </w:rPr>
        <w:t>“Assignment and Assumption” means an assignment and assumption entered into by a Lender and an Eligible Assignee (with the</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 xml:space="preserve">consent of any party whose consent is required by Section 12.9), and accepted by the Administrative Agent, in substantially the form attached as </w:t>
      </w:r>
      <w:r>
        <w:rPr>
          <w:rFonts w:ascii="Arial" w:cs="Arial" w:eastAsia="Arial" w:hAnsi="Arial"/>
          <w:sz w:val="20"/>
          <w:szCs w:val="20"/>
          <w:b w:val="1"/>
          <w:bCs w:val="1"/>
          <w:i w:val="1"/>
          <w:iCs w:val="1"/>
          <w:color w:val="auto"/>
        </w:rPr>
        <w:t>Exhibit G</w:t>
      </w:r>
      <w:r>
        <w:rPr>
          <w:rFonts w:ascii="Arial" w:cs="Arial" w:eastAsia="Arial" w:hAnsi="Arial"/>
          <w:sz w:val="20"/>
          <w:szCs w:val="20"/>
          <w:color w:val="auto"/>
        </w:rPr>
        <w:t xml:space="preserve"> or any other form approved by the Administrative Agent.</w:t>
      </w:r>
    </w:p>
    <w:p>
      <w:pPr>
        <w:spacing w:after="0" w:line="210" w:lineRule="exact"/>
        <w:rPr>
          <w:sz w:val="20"/>
          <w:szCs w:val="20"/>
          <w:color w:val="auto"/>
        </w:rPr>
      </w:pPr>
    </w:p>
    <w:p>
      <w:pPr>
        <w:ind w:left="58" w:firstLine="648"/>
        <w:spacing w:after="0" w:line="265" w:lineRule="auto"/>
        <w:rPr>
          <w:sz w:val="20"/>
          <w:szCs w:val="20"/>
          <w:color w:val="auto"/>
        </w:rPr>
      </w:pPr>
      <w:r>
        <w:rPr>
          <w:rFonts w:ascii="Arial" w:cs="Arial" w:eastAsia="Arial" w:hAnsi="Arial"/>
          <w:sz w:val="16"/>
          <w:szCs w:val="16"/>
          <w:color w:val="auto"/>
        </w:rPr>
        <w:t>“Attributable Indebtedness” means, on any date of determination, (a) in respect of any Capital Lease Obligation of any Person, the capitalized amount thereof that would appear on a balance sheet of such Person prepared as of such date in accordance with GAAP, (b) in</w:t>
      </w:r>
    </w:p>
    <w:p>
      <w:pPr>
        <w:ind w:left="58"/>
        <w:spacing w:after="0" w:line="236" w:lineRule="auto"/>
        <w:rPr>
          <w:sz w:val="20"/>
          <w:szCs w:val="20"/>
          <w:color w:val="auto"/>
        </w:rPr>
      </w:pPr>
      <w:r>
        <w:rPr>
          <w:rFonts w:ascii="Arial" w:cs="Arial" w:eastAsia="Arial" w:hAnsi="Arial"/>
          <w:sz w:val="18"/>
          <w:szCs w:val="18"/>
          <w:color w:val="auto"/>
        </w:rPr>
        <w:t>respect of any Synthetic Lease, the capitalized amount or principal amount of the remaining lease payments under the relevant lease that</w:t>
      </w:r>
    </w:p>
    <w:p>
      <w:pPr>
        <w:ind w:left="58"/>
        <w:spacing w:after="0" w:line="226" w:lineRule="auto"/>
        <w:rPr>
          <w:sz w:val="20"/>
          <w:szCs w:val="20"/>
          <w:color w:val="auto"/>
        </w:rPr>
      </w:pPr>
      <w:r>
        <w:rPr>
          <w:rFonts w:ascii="Arial" w:cs="Arial" w:eastAsia="Arial" w:hAnsi="Arial"/>
          <w:sz w:val="18"/>
          <w:szCs w:val="18"/>
          <w:color w:val="auto"/>
        </w:rPr>
        <w:t>would appear on a balance sheet of such Person prepared as of such date in accordance with GAAP if such lease were accounted for as a Capital Lease Obligation and (c) in respect of any Permitted Receivables Transaction, the aggregate cash amount paid by the lenders</w:t>
      </w:r>
    </w:p>
    <w:p>
      <w:pPr>
        <w:ind w:left="58"/>
        <w:spacing w:after="0" w:line="236" w:lineRule="auto"/>
        <w:rPr>
          <w:sz w:val="20"/>
          <w:szCs w:val="20"/>
          <w:color w:val="auto"/>
        </w:rPr>
      </w:pPr>
      <w:r>
        <w:rPr>
          <w:rFonts w:ascii="Arial" w:cs="Arial" w:eastAsia="Arial" w:hAnsi="Arial"/>
          <w:sz w:val="18"/>
          <w:szCs w:val="18"/>
          <w:color w:val="auto"/>
        </w:rPr>
        <w:t>and/or purchasers under such Permitted Receivables Transaction in connection with their purchase of, or the making of loans secured by,</w:t>
      </w:r>
    </w:p>
    <w:p>
      <w:pPr>
        <w:spacing w:after="0" w:line="1" w:lineRule="exact"/>
        <w:rPr>
          <w:sz w:val="20"/>
          <w:szCs w:val="20"/>
          <w:color w:val="auto"/>
        </w:rPr>
      </w:pPr>
    </w:p>
    <w:p>
      <w:pPr>
        <w:ind w:left="58"/>
        <w:spacing w:after="0" w:line="250" w:lineRule="auto"/>
        <w:rPr>
          <w:sz w:val="20"/>
          <w:szCs w:val="20"/>
          <w:color w:val="auto"/>
        </w:rPr>
      </w:pPr>
      <w:r>
        <w:rPr>
          <w:rFonts w:ascii="Arial" w:cs="Arial" w:eastAsia="Arial" w:hAnsi="Arial"/>
          <w:sz w:val="18"/>
          <w:szCs w:val="18"/>
          <w:color w:val="auto"/>
        </w:rPr>
        <w:t>Receivables Assets or interests therein, as the same may be reduced from time to time by collections with respect to such Receivables Assets or otherwise in accordance with the terms of the Permitted Receivables Transaction Documents since the Closing Date.</w:t>
      </w:r>
    </w:p>
    <w:p>
      <w:pPr>
        <w:spacing w:after="0" w:line="201" w:lineRule="exact"/>
        <w:rPr>
          <w:sz w:val="20"/>
          <w:szCs w:val="20"/>
          <w:color w:val="auto"/>
        </w:rPr>
      </w:pPr>
    </w:p>
    <w:p>
      <w:pPr>
        <w:ind w:left="698"/>
        <w:spacing w:after="0"/>
        <w:rPr>
          <w:sz w:val="20"/>
          <w:szCs w:val="20"/>
          <w:color w:val="auto"/>
        </w:rPr>
      </w:pPr>
      <w:r>
        <w:rPr>
          <w:rFonts w:ascii="Arial" w:cs="Arial" w:eastAsia="Arial" w:hAnsi="Arial"/>
          <w:sz w:val="20"/>
          <w:szCs w:val="20"/>
          <w:color w:val="auto"/>
        </w:rPr>
        <w:t>“Available Amount” means, on any date of determination, an amount equal to:</w:t>
      </w:r>
    </w:p>
    <w:p>
      <w:pPr>
        <w:spacing w:after="0" w:line="283" w:lineRule="exact"/>
        <w:rPr>
          <w:sz w:val="20"/>
          <w:szCs w:val="20"/>
          <w:color w:val="auto"/>
        </w:rPr>
      </w:pPr>
    </w:p>
    <w:p>
      <w:pPr>
        <w:jc w:val="both"/>
        <w:ind w:left="58" w:firstLine="644"/>
        <w:spacing w:after="0" w:line="220" w:lineRule="auto"/>
        <w:tabs>
          <w:tab w:leader="none" w:pos="1234"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 amount, not less than zero, equal to 50% of Adjusted Consolidated Net Income for the period (taken as one accounting period) from the fiscal quarter following September 30, 2020 to the end of the fiscal quarter most recently ended in respect of which an Officer’s Compliance Certificate has been delivered as required hereunder (or, in the case such Adjusted Consolidated Net Income shall be a negative number, 100% of such negative number); plus</w:t>
      </w:r>
    </w:p>
    <w:p>
      <w:pPr>
        <w:spacing w:after="0" w:line="250" w:lineRule="exact"/>
        <w:rPr>
          <w:rFonts w:ascii="Arial" w:cs="Arial" w:eastAsia="Arial" w:hAnsi="Arial"/>
          <w:sz w:val="20"/>
          <w:szCs w:val="20"/>
          <w:color w:val="auto"/>
        </w:rPr>
      </w:pPr>
    </w:p>
    <w:p>
      <w:pPr>
        <w:jc w:val="both"/>
        <w:ind w:left="58" w:firstLine="644"/>
        <w:spacing w:after="0" w:line="228" w:lineRule="auto"/>
        <w:tabs>
          <w:tab w:leader="none" w:pos="123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net cash proceeds received by Centuri after the Closing Date as a result of any issuance of Qualified Equity Interests of Centuri to Southwest Gas and cash contributions received by Centuri from Southwest Gas as a capital contribution as common Equity Interests, in each case, during the period from the Closing Date through and including such date, other than the proceeds of issuances of Qualified Equity Interests or capital contributions to the extent specifically and contemporaneously utilized in connection with other transactions permitted pursuant to this Agreement (including the Drum Acquisition, but excluding any Investments made pursuant to Section 9.3(i) that are deducted pursuant to clause (d) below);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4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82" w:name="page83"/>
    <w:bookmarkEnd w:id="82"/>
    <w:p>
      <w:pPr>
        <w:spacing w:after="0" w:line="209" w:lineRule="exact"/>
        <w:rPr>
          <w:sz w:val="20"/>
          <w:szCs w:val="20"/>
          <w:color w:val="auto"/>
        </w:rPr>
      </w:pPr>
    </w:p>
    <w:p>
      <w:pPr>
        <w:jc w:val="both"/>
        <w:ind w:left="58" w:firstLine="644"/>
        <w:spacing w:after="0" w:line="218" w:lineRule="auto"/>
        <w:tabs>
          <w:tab w:leader="none" w:pos="123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net cash proceeds received by Centuri or any Subsidiary during the period from the Closing Date through and including such date in connection with (i) cash returns, cash profits, cash distributions and similar cash amounts, including cash principal repayments of loans, in each case received in respect of any Investment originally made using the Available Amount after the Closing Date and (ii) sales of Investments that were originally made using the Available Amount (in each case, in an amount not to exceed the original amount of such Investment); minus</w:t>
      </w:r>
    </w:p>
    <w:p>
      <w:pPr>
        <w:spacing w:after="0" w:line="265" w:lineRule="exact"/>
        <w:rPr>
          <w:rFonts w:ascii="Arial" w:cs="Arial" w:eastAsia="Arial" w:hAnsi="Arial"/>
          <w:sz w:val="20"/>
          <w:szCs w:val="20"/>
          <w:color w:val="auto"/>
        </w:rPr>
      </w:pPr>
    </w:p>
    <w:p>
      <w:pPr>
        <w:ind w:left="58" w:right="220" w:firstLine="644"/>
        <w:spacing w:after="0" w:line="229" w:lineRule="auto"/>
        <w:tabs>
          <w:tab w:leader="none" w:pos="123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amount of payments made by Centuri or any of its Subsidiaries after the Closing Date to acquire the remaining Equity Interests of Linetec pursuant to Section 9.3(i); minus</w:t>
      </w:r>
    </w:p>
    <w:p>
      <w:pPr>
        <w:spacing w:after="0" w:line="263" w:lineRule="exact"/>
        <w:rPr>
          <w:rFonts w:ascii="Arial" w:cs="Arial" w:eastAsia="Arial" w:hAnsi="Arial"/>
          <w:sz w:val="20"/>
          <w:szCs w:val="20"/>
          <w:color w:val="auto"/>
        </w:rPr>
      </w:pPr>
    </w:p>
    <w:p>
      <w:pPr>
        <w:ind w:left="58" w:right="320" w:firstLine="644"/>
        <w:spacing w:after="0" w:line="236" w:lineRule="auto"/>
        <w:tabs>
          <w:tab w:leader="none" w:pos="123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aggregate amount of all usage of the Available Amount pursuant to Sections 9.3(j), 9.6(d) and 9.9(c) on and after the Closing Date through and including the date of determination.</w:t>
      </w:r>
    </w:p>
    <w:p>
      <w:pPr>
        <w:spacing w:after="0" w:line="263"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010101"/>
        </w:rPr>
        <w:t>“Available Tenor” means, as of any date of determination and with respect to the then-current Benchmark, as applicable, (a</w:t>
      </w:r>
      <w:r>
        <w:rPr>
          <w:rFonts w:ascii="Arial" w:cs="Arial" w:eastAsia="Arial" w:hAnsi="Arial"/>
          <w:sz w:val="18"/>
          <w:szCs w:val="18"/>
          <w:color w:val="000000"/>
        </w:rPr>
        <w:t>) if the</w:t>
      </w:r>
      <w:r>
        <w:rPr>
          <w:rFonts w:ascii="Arial" w:cs="Arial" w:eastAsia="Arial" w:hAnsi="Arial"/>
          <w:sz w:val="18"/>
          <w:szCs w:val="18"/>
          <w:color w:val="010101"/>
        </w:rPr>
        <w:t xml:space="preserve"> </w:t>
      </w:r>
      <w:r>
        <w:rPr>
          <w:rFonts w:ascii="Arial" w:cs="Arial" w:eastAsia="Arial" w:hAnsi="Arial"/>
          <w:sz w:val="18"/>
          <w:szCs w:val="18"/>
          <w:color w:val="000000"/>
        </w:rPr>
        <w:t>then-current Benchmark is a term rate, any tenor for such Benchmark or (b) otherwise, any payment period for interest calculated with</w:t>
      </w:r>
    </w:p>
    <w:p>
      <w:pPr>
        <w:ind w:left="58"/>
        <w:spacing w:after="0" w:line="222" w:lineRule="auto"/>
        <w:rPr>
          <w:sz w:val="20"/>
          <w:szCs w:val="20"/>
          <w:color w:val="auto"/>
        </w:rPr>
      </w:pPr>
      <w:r>
        <w:rPr>
          <w:rFonts w:ascii="Arial" w:cs="Arial" w:eastAsia="Arial" w:hAnsi="Arial"/>
          <w:sz w:val="19"/>
          <w:szCs w:val="19"/>
          <w:color w:val="auto"/>
        </w:rPr>
        <w:t>reference to such Benchmark, as applicable, that is or may be used for determining the length of an Interest Period pursuant to this</w:t>
      </w:r>
    </w:p>
    <w:p>
      <w:pPr>
        <w:spacing w:after="0" w:line="1" w:lineRule="exact"/>
        <w:rPr>
          <w:sz w:val="20"/>
          <w:szCs w:val="20"/>
          <w:color w:val="auto"/>
        </w:rPr>
      </w:pPr>
    </w:p>
    <w:p>
      <w:pPr>
        <w:ind w:left="58"/>
        <w:spacing w:after="0" w:line="220" w:lineRule="auto"/>
        <w:rPr>
          <w:sz w:val="20"/>
          <w:szCs w:val="20"/>
          <w:color w:val="auto"/>
        </w:rPr>
      </w:pPr>
      <w:r>
        <w:rPr>
          <w:rFonts w:ascii="Arial" w:cs="Arial" w:eastAsia="Arial" w:hAnsi="Arial"/>
          <w:sz w:val="20"/>
          <w:szCs w:val="20"/>
          <w:color w:val="auto"/>
        </w:rPr>
        <w:t>Agreement as of such date and not including</w:t>
      </w:r>
      <w:r>
        <w:rPr>
          <w:rFonts w:ascii="Arial" w:cs="Arial" w:eastAsia="Arial" w:hAnsi="Arial"/>
          <w:sz w:val="20"/>
          <w:szCs w:val="20"/>
          <w:color w:val="010101"/>
        </w:rPr>
        <w:t>, for the avoidance of doubt, any tenor for such Benchmark that is then- removed from the</w:t>
      </w:r>
      <w:r>
        <w:rPr>
          <w:rFonts w:ascii="Arial" w:cs="Arial" w:eastAsia="Arial" w:hAnsi="Arial"/>
          <w:sz w:val="20"/>
          <w:szCs w:val="20"/>
          <w:color w:val="auto"/>
        </w:rPr>
        <w:t xml:space="preserve"> </w:t>
      </w:r>
      <w:r>
        <w:rPr>
          <w:rFonts w:ascii="Arial" w:cs="Arial" w:eastAsia="Arial" w:hAnsi="Arial"/>
          <w:sz w:val="20"/>
          <w:szCs w:val="20"/>
          <w:color w:val="010101"/>
        </w:rPr>
        <w:t>definition of “Interest Period” pursuant to Section 5.8(c)(iv).</w:t>
      </w:r>
    </w:p>
    <w:p>
      <w:pPr>
        <w:spacing w:after="0" w:line="264"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“Bail-In Action” means the exercise of any Write-Down and Conversion Powers by the applicable Resolution Authority in respect of any liability of an Affected Financial Institution.</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9"/>
          <w:szCs w:val="19"/>
          <w:color w:val="auto"/>
        </w:rPr>
        <w:t>“Bail-In Legislation” means (a) with respect to any EEA Member Country implementing Article 55 of Directive 2014/59/EU of</w:t>
      </w:r>
    </w:p>
    <w:p>
      <w:pPr>
        <w:jc w:val="both"/>
        <w:ind w:left="58"/>
        <w:spacing w:after="0" w:line="226" w:lineRule="auto"/>
        <w:rPr>
          <w:sz w:val="20"/>
          <w:szCs w:val="20"/>
          <w:color w:val="auto"/>
        </w:rPr>
      </w:pPr>
      <w:r>
        <w:rPr>
          <w:rFonts w:ascii="Arial" w:cs="Arial" w:eastAsia="Arial" w:hAnsi="Arial"/>
          <w:sz w:val="18"/>
          <w:szCs w:val="18"/>
          <w:color w:val="auto"/>
        </w:rPr>
        <w:t>the European Parliament and of the Council of the European Union, the implementing law, regulation, rule or requirement for such EEA Member Country from time to time which is described in the EU Bail-In Legislation Schedule and (b) with respect to the United Kingdom,</w:t>
      </w:r>
    </w:p>
    <w:p>
      <w:pPr>
        <w:ind w:left="58"/>
        <w:spacing w:after="0" w:line="236" w:lineRule="auto"/>
        <w:rPr>
          <w:sz w:val="20"/>
          <w:szCs w:val="20"/>
          <w:color w:val="auto"/>
        </w:rPr>
      </w:pPr>
      <w:r>
        <w:rPr>
          <w:rFonts w:ascii="Arial" w:cs="Arial" w:eastAsia="Arial" w:hAnsi="Arial"/>
          <w:sz w:val="18"/>
          <w:szCs w:val="18"/>
          <w:color w:val="auto"/>
        </w:rPr>
        <w:t>Part I of the United Kingdom Banking Act 2009 (as amended from time to time) and any other law, regulation or rule applicable in the</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United Kingdom relating to the resolution of unsound or failing banks, investment firms or other financial institutions or their affiliates (other than through liquidation, administration or other insolvency proceedings).</w:t>
      </w:r>
    </w:p>
    <w:p>
      <w:pPr>
        <w:spacing w:after="0" w:line="210" w:lineRule="exact"/>
        <w:rPr>
          <w:sz w:val="20"/>
          <w:szCs w:val="20"/>
          <w:color w:val="auto"/>
        </w:rPr>
      </w:pPr>
    </w:p>
    <w:p>
      <w:pPr>
        <w:ind w:left="758"/>
        <w:spacing w:after="0"/>
        <w:rPr>
          <w:sz w:val="20"/>
          <w:szCs w:val="20"/>
          <w:color w:val="auto"/>
        </w:rPr>
      </w:pPr>
      <w:r>
        <w:rPr>
          <w:rFonts w:ascii="Arial" w:cs="Arial" w:eastAsia="Arial" w:hAnsi="Arial"/>
          <w:sz w:val="16"/>
          <w:szCs w:val="16"/>
          <w:color w:val="auto"/>
        </w:rPr>
        <w:t>“Base Rate” means, at any time, the highest of (a) the Prime Rate, (b) the Federal Funds Rate plus 0.50% and (c)</w:t>
      </w:r>
      <w:r>
        <w:rPr>
          <w:rFonts w:ascii="Arial" w:cs="Arial" w:eastAsia="Arial" w:hAnsi="Arial"/>
          <w:sz w:val="16"/>
          <w:szCs w:val="16"/>
          <w:color w:val="0000FF"/>
        </w:rPr>
        <w:t>(i)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-45720</wp:posOffset>
            </wp:positionV>
            <wp:extent cx="342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3">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5"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0000FF"/>
        </w:rPr>
        <w:t xml:space="preserve">the Initial Term Loans, </w:t>
      </w:r>
      <w:r>
        <w:rPr>
          <w:rFonts w:ascii="Arial" w:cs="Arial" w:eastAsia="Arial" w:hAnsi="Arial"/>
          <w:sz w:val="18"/>
          <w:szCs w:val="18"/>
          <w:color w:val="000000"/>
        </w:rPr>
        <w:t>the LIBOR Rate for an Interest Period of one month plus 1%</w:t>
      </w:r>
      <w:r>
        <w:rPr>
          <w:rFonts w:ascii="Arial" w:cs="Arial" w:eastAsia="Arial" w:hAnsi="Arial"/>
          <w:sz w:val="18"/>
          <w:szCs w:val="18"/>
          <w:color w:val="0000FF"/>
        </w:rPr>
        <w:t xml:space="preserve"> and (ii) in the case of any other Loans, Adjusted Term SOFR for an Interest Period of one month plus 1%</w:t>
      </w:r>
      <w:r>
        <w:rPr>
          <w:rFonts w:ascii="Arial" w:cs="Arial" w:eastAsia="Arial" w:hAnsi="Arial"/>
          <w:sz w:val="18"/>
          <w:szCs w:val="18"/>
          <w:color w:val="000000"/>
        </w:rPr>
        <w:t>; each change in the Base Rate shall take effect simultaneously with the corresponding</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 xml:space="preserve">change or changes in the Prime Rate, the Federal Funds Rate </w:t>
      </w:r>
      <w:r>
        <w:rPr>
          <w:rFonts w:ascii="Arial" w:cs="Arial" w:eastAsia="Arial" w:hAnsi="Arial"/>
          <w:sz w:val="20"/>
          <w:szCs w:val="20"/>
          <w:color w:val="FF0000"/>
          <w:strike w:val="1"/>
        </w:rPr>
        <w:t>or</w:t>
      </w:r>
      <w:r>
        <w:rPr>
          <w:rFonts w:ascii="Arial" w:cs="Arial" w:eastAsia="Arial" w:hAnsi="Arial"/>
          <w:sz w:val="20"/>
          <w:szCs w:val="20"/>
          <w:color w:val="0000FF"/>
        </w:rPr>
        <w:t>,</w:t>
      </w:r>
      <w:r>
        <w:rPr>
          <w:rFonts w:ascii="Arial" w:cs="Arial" w:eastAsia="Arial" w:hAnsi="Arial"/>
          <w:sz w:val="20"/>
          <w:szCs w:val="20"/>
          <w:color w:val="auto"/>
        </w:rPr>
        <w:t xml:space="preserve"> the LIBOR Rate </w:t>
      </w:r>
      <w:r>
        <w:rPr>
          <w:rFonts w:ascii="Arial" w:cs="Arial" w:eastAsia="Arial" w:hAnsi="Arial"/>
          <w:sz w:val="20"/>
          <w:szCs w:val="20"/>
          <w:color w:val="0000FF"/>
        </w:rPr>
        <w:t>or Adjusted Term SOFR</w:t>
      </w:r>
      <w:r>
        <w:rPr>
          <w:rFonts w:ascii="Arial" w:cs="Arial" w:eastAsia="Arial" w:hAnsi="Arial"/>
          <w:sz w:val="20"/>
          <w:szCs w:val="20"/>
          <w:color w:val="auto"/>
        </w:rPr>
        <w:t>.</w:t>
      </w:r>
    </w:p>
    <w:p>
      <w:pPr>
        <w:spacing w:after="0" w:line="267" w:lineRule="exact"/>
        <w:rPr>
          <w:sz w:val="20"/>
          <w:szCs w:val="20"/>
          <w:color w:val="auto"/>
        </w:rPr>
      </w:pPr>
    </w:p>
    <w:p>
      <w:pPr>
        <w:ind w:left="698"/>
        <w:spacing w:after="0"/>
        <w:rPr>
          <w:sz w:val="20"/>
          <w:szCs w:val="20"/>
          <w:color w:val="auto"/>
        </w:rPr>
      </w:pPr>
      <w:r>
        <w:rPr>
          <w:rFonts w:ascii="Arial" w:cs="Arial" w:eastAsia="Arial" w:hAnsi="Arial"/>
          <w:sz w:val="19"/>
          <w:szCs w:val="19"/>
          <w:color w:val="auto"/>
        </w:rPr>
        <w:t>“Base Rate Loan” means any Loan bearing interest at a rate based upon the Base Rate as provided in Section 5.1(a).</w:t>
      </w:r>
    </w:p>
    <w:p>
      <w:pPr>
        <w:spacing w:after="0" w:line="295" w:lineRule="exact"/>
        <w:rPr>
          <w:sz w:val="20"/>
          <w:szCs w:val="20"/>
          <w:color w:val="auto"/>
        </w:rPr>
      </w:pPr>
    </w:p>
    <w:p>
      <w:pPr>
        <w:ind w:left="698"/>
        <w:spacing w:after="0"/>
        <w:rPr>
          <w:sz w:val="20"/>
          <w:szCs w:val="20"/>
          <w:color w:val="auto"/>
        </w:rPr>
      </w:pPr>
      <w:r>
        <w:rPr>
          <w:rFonts w:ascii="Arial" w:cs="Arial" w:eastAsia="Arial" w:hAnsi="Arial"/>
          <w:sz w:val="20"/>
          <w:szCs w:val="20"/>
          <w:color w:val="auto"/>
        </w:rPr>
        <w:t>“Benchmark</w:t>
      </w:r>
      <w:r>
        <w:rPr>
          <w:rFonts w:ascii="Arial" w:cs="Arial" w:eastAsia="Arial" w:hAnsi="Arial"/>
          <w:sz w:val="20"/>
          <w:szCs w:val="20"/>
          <w:color w:val="0000FF"/>
        </w:rPr>
        <w:t>” means either a Benchmark (LIBOR) or a Benchmark (Non-LIBOR), as the context so requires.</w:t>
      </w:r>
    </w:p>
    <w:p>
      <w:pPr>
        <w:spacing w:after="0" w:line="283"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0000FF"/>
        </w:rPr>
        <w:t>“Benchmark (LIBOR)</w:t>
      </w:r>
      <w:r>
        <w:rPr>
          <w:rFonts w:ascii="Arial" w:cs="Arial" w:eastAsia="Arial" w:hAnsi="Arial"/>
          <w:sz w:val="18"/>
          <w:szCs w:val="18"/>
          <w:color w:val="000000"/>
        </w:rPr>
        <w:t>” means, initially, USD LIBOR; provided that if a Benchmark Transition Event</w:t>
      </w:r>
      <w:r>
        <w:rPr>
          <w:rFonts w:ascii="Arial" w:cs="Arial" w:eastAsia="Arial" w:hAnsi="Arial"/>
          <w:sz w:val="18"/>
          <w:szCs w:val="18"/>
          <w:color w:val="0000FF"/>
        </w:rPr>
        <w:t xml:space="preserve"> (LIBOR)</w:t>
      </w:r>
      <w:r>
        <w:rPr>
          <w:rFonts w:ascii="Arial" w:cs="Arial" w:eastAsia="Arial" w:hAnsi="Arial"/>
          <w:sz w:val="18"/>
          <w:szCs w:val="18"/>
          <w:color w:val="000000"/>
        </w:rPr>
        <w:t>, a Term SOFR</w:t>
      </w:r>
      <w:r>
        <w:rPr>
          <w:rFonts w:ascii="Arial" w:cs="Arial" w:eastAsia="Arial" w:hAnsi="Arial"/>
          <w:sz w:val="18"/>
          <w:szCs w:val="18"/>
          <w:color w:val="0000FF"/>
        </w:rPr>
        <w:t xml:space="preserve"> </w:t>
      </w:r>
      <w:r>
        <w:rPr>
          <w:rFonts w:ascii="Arial" w:cs="Arial" w:eastAsia="Arial" w:hAnsi="Arial"/>
          <w:sz w:val="18"/>
          <w:szCs w:val="18"/>
          <w:color w:val="000000"/>
        </w:rPr>
        <w:t xml:space="preserve">Transition Event or an Early Opt-in Election, as applicable, and its related Benchmark Replacement Date </w:t>
      </w:r>
      <w:r>
        <w:rPr>
          <w:rFonts w:ascii="Arial" w:cs="Arial" w:eastAsia="Arial" w:hAnsi="Arial"/>
          <w:sz w:val="18"/>
          <w:szCs w:val="18"/>
          <w:color w:val="0000FF"/>
        </w:rPr>
        <w:t>(LIBOR)</w:t>
      </w:r>
      <w:r>
        <w:rPr>
          <w:rFonts w:ascii="Arial" w:cs="Arial" w:eastAsia="Arial" w:hAnsi="Arial"/>
          <w:sz w:val="18"/>
          <w:szCs w:val="18"/>
          <w:color w:val="000000"/>
        </w:rPr>
        <w:t xml:space="preserve"> have occurred with</w:t>
      </w:r>
    </w:p>
    <w:p>
      <w:pPr>
        <w:ind w:left="58"/>
        <w:spacing w:after="0" w:line="227" w:lineRule="auto"/>
        <w:rPr>
          <w:sz w:val="20"/>
          <w:szCs w:val="20"/>
          <w:color w:val="auto"/>
        </w:rPr>
      </w:pPr>
      <w:r>
        <w:rPr>
          <w:rFonts w:ascii="Arial" w:cs="Arial" w:eastAsia="Arial" w:hAnsi="Arial"/>
          <w:sz w:val="20"/>
          <w:szCs w:val="20"/>
          <w:color w:val="auto"/>
        </w:rPr>
        <w:t>respect to USD LIBOR or the then-current Benchmark, then “Benchmark” means the applicable Benchmark Replacement to the extent that such Benchmark Replacement has replaced such prior benchmark rate pursuant to Section 5.8(c)(i).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4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3" w:name="page84"/>
    <w:bookmarkEnd w:id="83"/>
    <w:p>
      <w:pPr>
        <w:spacing w:after="0" w:line="209" w:lineRule="exact"/>
        <w:rPr>
          <w:sz w:val="20"/>
          <w:szCs w:val="20"/>
          <w:color w:val="auto"/>
        </w:rPr>
      </w:pPr>
    </w:p>
    <w:p>
      <w:pPr>
        <w:ind w:left="698"/>
        <w:spacing w:after="0"/>
        <w:rPr>
          <w:sz w:val="20"/>
          <w:szCs w:val="20"/>
          <w:color w:val="auto"/>
        </w:rPr>
      </w:pPr>
      <w:r>
        <w:rPr>
          <w:rFonts w:ascii="Arial" w:cs="Arial" w:eastAsia="Arial" w:hAnsi="Arial"/>
          <w:sz w:val="19"/>
          <w:szCs w:val="19"/>
          <w:color w:val="0000FF"/>
        </w:rPr>
        <w:t>“Benchmark (Non-LIBOR)” means, initially, the Term SOFR Reference Rate; provided that if a Benchmark Transition Event</w:t>
      </w:r>
    </w:p>
    <w:p>
      <w:pPr>
        <w:ind w:left="58"/>
        <w:spacing w:after="0" w:line="226" w:lineRule="auto"/>
        <w:rPr>
          <w:sz w:val="20"/>
          <w:szCs w:val="20"/>
          <w:color w:val="auto"/>
        </w:rPr>
      </w:pPr>
      <w:r>
        <w:rPr>
          <w:rFonts w:ascii="Arial" w:cs="Arial" w:eastAsia="Arial" w:hAnsi="Arial"/>
          <w:sz w:val="18"/>
          <w:szCs w:val="18"/>
          <w:color w:val="0000FF"/>
        </w:rPr>
        <w:t>(Non-LIBOR) has occurred with respect to the Term SOFR Reference Rate or the then-current Benchmark, then “Benchmark” means the applicable Benchmark Replacement to the extent that such Benchmark Replacement has replaced such prior benchmark rate pursuant to</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0000FF"/>
        </w:rPr>
        <w:t>Section 5.8(c)(i).</w:t>
      </w:r>
    </w:p>
    <w:p>
      <w:pPr>
        <w:spacing w:after="0" w:line="267" w:lineRule="exact"/>
        <w:rPr>
          <w:sz w:val="20"/>
          <w:szCs w:val="20"/>
          <w:color w:val="auto"/>
        </w:rPr>
      </w:pPr>
    </w:p>
    <w:p>
      <w:pPr>
        <w:ind w:left="58" w:right="60" w:firstLine="648"/>
        <w:spacing w:after="0" w:line="236" w:lineRule="auto"/>
        <w:rPr>
          <w:sz w:val="20"/>
          <w:szCs w:val="20"/>
          <w:color w:val="auto"/>
        </w:rPr>
      </w:pPr>
      <w:r>
        <w:rPr>
          <w:rFonts w:ascii="Arial" w:cs="Arial" w:eastAsia="Arial" w:hAnsi="Arial"/>
          <w:sz w:val="20"/>
          <w:szCs w:val="20"/>
          <w:color w:val="auto"/>
        </w:rPr>
        <w:t>“Benchmark Replacement</w:t>
      </w:r>
      <w:r>
        <w:rPr>
          <w:rFonts w:ascii="Arial" w:cs="Arial" w:eastAsia="Arial" w:hAnsi="Arial"/>
          <w:sz w:val="20"/>
          <w:szCs w:val="20"/>
          <w:color w:val="0000FF"/>
        </w:rPr>
        <w:t>” means either a Benchmark Replacement (LIBOR) or a Benchmark Replacement (Non-LIBOR), as the</w:t>
      </w:r>
      <w:r>
        <w:rPr>
          <w:rFonts w:ascii="Arial" w:cs="Arial" w:eastAsia="Arial" w:hAnsi="Arial"/>
          <w:sz w:val="20"/>
          <w:szCs w:val="20"/>
          <w:color w:val="auto"/>
        </w:rPr>
        <w:t xml:space="preserve"> </w:t>
      </w:r>
      <w:r>
        <w:rPr>
          <w:rFonts w:ascii="Arial" w:cs="Arial" w:eastAsia="Arial" w:hAnsi="Arial"/>
          <w:sz w:val="20"/>
          <w:szCs w:val="20"/>
          <w:color w:val="0000FF"/>
        </w:rPr>
        <w:t>context so requires.</w:t>
      </w:r>
    </w:p>
    <w:p>
      <w:pPr>
        <w:spacing w:after="0" w:line="263" w:lineRule="exact"/>
        <w:rPr>
          <w:sz w:val="20"/>
          <w:szCs w:val="20"/>
          <w:color w:val="auto"/>
        </w:rPr>
      </w:pPr>
    </w:p>
    <w:p>
      <w:pPr>
        <w:ind w:left="698"/>
        <w:spacing w:after="0"/>
        <w:rPr>
          <w:sz w:val="20"/>
          <w:szCs w:val="20"/>
          <w:color w:val="auto"/>
        </w:rPr>
      </w:pPr>
      <w:r>
        <w:rPr>
          <w:rFonts w:ascii="Arial" w:cs="Arial" w:eastAsia="Arial" w:hAnsi="Arial"/>
          <w:sz w:val="20"/>
          <w:szCs w:val="20"/>
          <w:color w:val="0000FF"/>
        </w:rPr>
        <w:t>“Benchmark Replacement (LIBOR)</w:t>
      </w:r>
      <w:r>
        <w:rPr>
          <w:rFonts w:ascii="Arial" w:cs="Arial" w:eastAsia="Arial" w:hAnsi="Arial"/>
          <w:sz w:val="20"/>
          <w:szCs w:val="20"/>
          <w:color w:val="000000"/>
        </w:rPr>
        <w:t>” means, for any Available Tenor,</w:t>
      </w:r>
    </w:p>
    <w:p>
      <w:pPr>
        <w:spacing w:after="0" w:line="270" w:lineRule="exact"/>
        <w:rPr>
          <w:sz w:val="20"/>
          <w:szCs w:val="20"/>
          <w:color w:val="auto"/>
        </w:rPr>
      </w:pPr>
    </w:p>
    <w:p>
      <w:pPr>
        <w:ind w:left="58" w:firstLine="644"/>
        <w:spacing w:after="0" w:line="257" w:lineRule="auto"/>
        <w:tabs>
          <w:tab w:leader="none" w:pos="1234"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with respect to any Benchmark Transition Event </w:t>
      </w:r>
      <w:r>
        <w:rPr>
          <w:rFonts w:ascii="Arial" w:cs="Arial" w:eastAsia="Arial" w:hAnsi="Arial"/>
          <w:sz w:val="19"/>
          <w:szCs w:val="19"/>
          <w:color w:val="0000FF"/>
        </w:rPr>
        <w:t>(LIBOR)</w:t>
      </w:r>
      <w:r>
        <w:rPr>
          <w:rFonts w:ascii="Arial" w:cs="Arial" w:eastAsia="Arial" w:hAnsi="Arial"/>
          <w:sz w:val="19"/>
          <w:szCs w:val="19"/>
          <w:color w:val="auto"/>
        </w:rPr>
        <w:t xml:space="preserve"> or Early Opt-in Election, the first alternative set forth in the order below that can be determined by the Administrative Agent for the applicable Benchmark Replacement Date </w:t>
      </w:r>
      <w:r>
        <w:rPr>
          <w:rFonts w:ascii="Arial" w:cs="Arial" w:eastAsia="Arial" w:hAnsi="Arial"/>
          <w:sz w:val="19"/>
          <w:szCs w:val="19"/>
          <w:color w:val="0000FF"/>
        </w:rPr>
        <w:t>(LIBOR)</w:t>
      </w:r>
      <w:r>
        <w:rPr>
          <w:rFonts w:ascii="Arial" w:cs="Arial" w:eastAsia="Arial" w:hAnsi="Arial"/>
          <w:sz w:val="19"/>
          <w:szCs w:val="19"/>
          <w:color w:val="auto"/>
        </w:rPr>
        <w:t>:</w:t>
      </w:r>
    </w:p>
    <w:p>
      <w:pPr>
        <w:spacing w:after="0" w:line="247" w:lineRule="exact"/>
        <w:rPr>
          <w:rFonts w:ascii="Arial" w:cs="Arial" w:eastAsia="Arial" w:hAnsi="Arial"/>
          <w:sz w:val="19"/>
          <w:szCs w:val="19"/>
          <w:color w:val="auto"/>
        </w:rPr>
      </w:pPr>
    </w:p>
    <w:p>
      <w:pPr>
        <w:jc w:val="both"/>
        <w:ind w:left="698" w:firstLine="652"/>
        <w:spacing w:after="0" w:line="214" w:lineRule="auto"/>
        <w:tabs>
          <w:tab w:leader="none" w:pos="1876"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the sum of: (A) Term SOFR and (B) the related Benchmark Replacement Adjustment </w:t>
      </w:r>
      <w:r>
        <w:rPr>
          <w:rFonts w:ascii="Arial" w:cs="Arial" w:eastAsia="Arial" w:hAnsi="Arial"/>
          <w:sz w:val="20"/>
          <w:szCs w:val="20"/>
          <w:color w:val="0000FF"/>
        </w:rPr>
        <w:t>(LIBOR)</w:t>
      </w:r>
      <w:r>
        <w:rPr>
          <w:rFonts w:ascii="Arial" w:cs="Arial" w:eastAsia="Arial" w:hAnsi="Arial"/>
          <w:sz w:val="20"/>
          <w:szCs w:val="20"/>
          <w:color w:val="auto"/>
        </w:rPr>
        <w:t xml:space="preserve">; provided, that, if Centuri has provided a notification to the Administrative Agent in writing on or prior to such Benchmark Replacement Date </w:t>
      </w:r>
      <w:r>
        <w:rPr>
          <w:rFonts w:ascii="Arial" w:cs="Arial" w:eastAsia="Arial" w:hAnsi="Arial"/>
          <w:sz w:val="20"/>
          <w:szCs w:val="20"/>
          <w:color w:val="0000FF"/>
        </w:rPr>
        <w:t xml:space="preserve">(LIBOR) </w:t>
      </w:r>
      <w:r>
        <w:rPr>
          <w:rFonts w:ascii="Arial" w:cs="Arial" w:eastAsia="Arial" w:hAnsi="Arial"/>
          <w:sz w:val="20"/>
          <w:szCs w:val="20"/>
          <w:color w:val="000000"/>
        </w:rPr>
        <w:t>that a Borrower has a Hedge Agreement in place with respect to any of the Loans as of the date of such notice (which</w:t>
      </w:r>
      <w:r>
        <w:rPr>
          <w:rFonts w:ascii="Arial" w:cs="Arial" w:eastAsia="Arial" w:hAnsi="Arial"/>
          <w:sz w:val="20"/>
          <w:szCs w:val="20"/>
          <w:color w:val="0000FF"/>
        </w:rPr>
        <w:t xml:space="preserve"> </w:t>
      </w:r>
      <w:r>
        <w:rPr>
          <w:rFonts w:ascii="Arial" w:cs="Arial" w:eastAsia="Arial" w:hAnsi="Arial"/>
          <w:sz w:val="20"/>
          <w:szCs w:val="20"/>
          <w:color w:val="000000"/>
        </w:rPr>
        <w:t xml:space="preserve">such notification the Administrative Agent shall be entitled to rely upon and shall have no duty or obligation to ascertain the correctness or completeness of), then the Administrative Agent, in its sole discretion, may decide not to determine the Benchmark Replacement </w:t>
      </w:r>
      <w:r>
        <w:rPr>
          <w:rFonts w:ascii="Arial" w:cs="Arial" w:eastAsia="Arial" w:hAnsi="Arial"/>
          <w:sz w:val="20"/>
          <w:szCs w:val="20"/>
          <w:color w:val="0000FF"/>
        </w:rPr>
        <w:t>(LIBOR)</w:t>
      </w:r>
      <w:r>
        <w:rPr>
          <w:rFonts w:ascii="Arial" w:cs="Arial" w:eastAsia="Arial" w:hAnsi="Arial"/>
          <w:sz w:val="20"/>
          <w:szCs w:val="20"/>
          <w:color w:val="000000"/>
        </w:rPr>
        <w:t xml:space="preserve"> pursuant to this clause (a)(1) for such Benchmark Transition Event </w:t>
      </w:r>
      <w:r>
        <w:rPr>
          <w:rFonts w:ascii="Arial" w:cs="Arial" w:eastAsia="Arial" w:hAnsi="Arial"/>
          <w:sz w:val="20"/>
          <w:szCs w:val="20"/>
          <w:color w:val="0000FF"/>
        </w:rPr>
        <w:t>(LIBOR)</w:t>
      </w:r>
      <w:r>
        <w:rPr>
          <w:rFonts w:ascii="Arial" w:cs="Arial" w:eastAsia="Arial" w:hAnsi="Arial"/>
          <w:sz w:val="20"/>
          <w:szCs w:val="20"/>
          <w:color w:val="000000"/>
        </w:rPr>
        <w:t xml:space="preserve"> or Early Opt-in Election, as applicable;</w:t>
      </w:r>
    </w:p>
    <w:p>
      <w:pPr>
        <w:spacing w:after="0" w:line="198" w:lineRule="exact"/>
        <w:rPr>
          <w:rFonts w:ascii="Arial" w:cs="Arial" w:eastAsia="Arial" w:hAnsi="Arial"/>
          <w:sz w:val="20"/>
          <w:szCs w:val="20"/>
          <w:color w:val="auto"/>
        </w:rPr>
      </w:pPr>
    </w:p>
    <w:p>
      <w:pPr>
        <w:ind w:left="1878" w:hanging="528"/>
        <w:spacing w:after="0"/>
        <w:tabs>
          <w:tab w:leader="none" w:pos="1878"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the sum of: (A) Daily Simple SOFR and (B) the related Benchmark Replacement Adjustment </w:t>
      </w:r>
      <w:r>
        <w:rPr>
          <w:rFonts w:ascii="Arial" w:cs="Arial" w:eastAsia="Arial" w:hAnsi="Arial"/>
          <w:sz w:val="20"/>
          <w:szCs w:val="20"/>
          <w:color w:val="0000FF"/>
        </w:rPr>
        <w:t>(LIBOR)</w:t>
      </w:r>
      <w:r>
        <w:rPr>
          <w:rFonts w:ascii="Arial" w:cs="Arial" w:eastAsia="Arial" w:hAnsi="Arial"/>
          <w:sz w:val="20"/>
          <w:szCs w:val="20"/>
          <w:color w:val="auto"/>
        </w:rPr>
        <w:t>;</w:t>
      </w:r>
    </w:p>
    <w:p>
      <w:pPr>
        <w:spacing w:after="0" w:line="283" w:lineRule="exact"/>
        <w:rPr>
          <w:rFonts w:ascii="Arial" w:cs="Arial" w:eastAsia="Arial" w:hAnsi="Arial"/>
          <w:sz w:val="20"/>
          <w:szCs w:val="20"/>
          <w:color w:val="auto"/>
        </w:rPr>
      </w:pPr>
    </w:p>
    <w:p>
      <w:pPr>
        <w:jc w:val="both"/>
        <w:ind w:left="698" w:firstLine="652"/>
        <w:spacing w:after="0" w:line="214" w:lineRule="auto"/>
        <w:tabs>
          <w:tab w:leader="none" w:pos="1876"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the sum of: (A) the alternate benchmark rate that has been selected by the Administrative Agent and Centuri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Arial" w:cs="Arial" w:eastAsia="Arial" w:hAnsi="Arial"/>
          <w:sz w:val="20"/>
          <w:szCs w:val="20"/>
          <w:color w:val="0000FF"/>
        </w:rPr>
        <w:t>(LIBOR)</w:t>
      </w:r>
      <w:r>
        <w:rPr>
          <w:rFonts w:ascii="Arial" w:cs="Arial" w:eastAsia="Arial" w:hAnsi="Arial"/>
          <w:sz w:val="20"/>
          <w:szCs w:val="20"/>
          <w:color w:val="auto"/>
        </w:rPr>
        <w:t>; or</w:t>
      </w:r>
    </w:p>
    <w:p>
      <w:pPr>
        <w:spacing w:after="0" w:line="268" w:lineRule="exact"/>
        <w:rPr>
          <w:rFonts w:ascii="Arial" w:cs="Arial" w:eastAsia="Arial" w:hAnsi="Arial"/>
          <w:sz w:val="20"/>
          <w:szCs w:val="20"/>
          <w:color w:val="auto"/>
        </w:rPr>
      </w:pPr>
    </w:p>
    <w:p>
      <w:pPr>
        <w:ind w:left="58" w:right="240" w:firstLine="644"/>
        <w:spacing w:after="0" w:line="236" w:lineRule="auto"/>
        <w:tabs>
          <w:tab w:leader="none" w:pos="1234"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with respect to any Term SOFR Transition Event, the sum of (i) Term SOFR and (ii) the related Benchmark Replacement Adjustment </w:t>
      </w:r>
      <w:r>
        <w:rPr>
          <w:rFonts w:ascii="Arial" w:cs="Arial" w:eastAsia="Arial" w:hAnsi="Arial"/>
          <w:sz w:val="20"/>
          <w:szCs w:val="20"/>
          <w:color w:val="0000FF"/>
        </w:rPr>
        <w:t>(LIBOR)</w:t>
      </w:r>
      <w:r>
        <w:rPr>
          <w:rFonts w:ascii="Arial" w:cs="Arial" w:eastAsia="Arial" w:hAnsi="Arial"/>
          <w:sz w:val="20"/>
          <w:szCs w:val="20"/>
          <w:color w:val="auto"/>
        </w:rPr>
        <w:t>;</w:t>
      </w:r>
    </w:p>
    <w:p>
      <w:pPr>
        <w:spacing w:after="0" w:line="263" w:lineRule="exact"/>
        <w:rPr>
          <w:sz w:val="20"/>
          <w:szCs w:val="20"/>
          <w:color w:val="auto"/>
        </w:rPr>
      </w:pPr>
    </w:p>
    <w:p>
      <w:pPr>
        <w:ind w:left="58" w:right="20"/>
        <w:spacing w:after="0" w:line="236" w:lineRule="auto"/>
        <w:rPr>
          <w:sz w:val="20"/>
          <w:szCs w:val="20"/>
          <w:color w:val="auto"/>
        </w:rPr>
      </w:pPr>
      <w:r>
        <w:rPr>
          <w:rFonts w:ascii="Arial" w:cs="Arial" w:eastAsia="Arial" w:hAnsi="Arial"/>
          <w:sz w:val="18"/>
          <w:szCs w:val="18"/>
          <w:color w:val="auto"/>
        </w:rPr>
        <w:t>provided that, (i) in the case of clause (a)(1), if the Administrative Agent decides that Term SOFR is not administratively feasible for the Administrative Agent, then Term SOFR will be deemed unable to be determined for purposes of this definition and (ii) in the case of</w:t>
      </w:r>
    </w:p>
    <w:p>
      <w:pPr>
        <w:ind w:left="58"/>
        <w:spacing w:after="0" w:line="222" w:lineRule="auto"/>
        <w:rPr>
          <w:sz w:val="20"/>
          <w:szCs w:val="20"/>
          <w:color w:val="auto"/>
        </w:rPr>
      </w:pPr>
      <w:r>
        <w:rPr>
          <w:rFonts w:ascii="Arial" w:cs="Arial" w:eastAsia="Arial" w:hAnsi="Arial"/>
          <w:sz w:val="19"/>
          <w:szCs w:val="19"/>
          <w:color w:val="auto"/>
        </w:rPr>
        <w:t>clause (a)(1) or clause (b) of this definition, the applicable Unadjusted Benchmark Replacement is displayed on a screen or other</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information service that publishes such rate from time to time as selected by the Administrative Agent in its reasonable discretion and made in a manner substantially consistent with determinations being made for similarly situated customers of such Administrative Agent</w:t>
      </w:r>
    </w:p>
    <w:p>
      <w:pPr>
        <w:ind w:left="58"/>
        <w:spacing w:after="0" w:line="236" w:lineRule="auto"/>
        <w:rPr>
          <w:sz w:val="20"/>
          <w:szCs w:val="20"/>
          <w:color w:val="auto"/>
        </w:rPr>
      </w:pPr>
      <w:r>
        <w:rPr>
          <w:rFonts w:ascii="Arial" w:cs="Arial" w:eastAsia="Arial" w:hAnsi="Arial"/>
          <w:sz w:val="18"/>
          <w:szCs w:val="18"/>
          <w:color w:val="auto"/>
        </w:rPr>
        <w:t xml:space="preserve">under agreements having similar provisions. If the Benchmark Replacement </w:t>
      </w:r>
      <w:r>
        <w:rPr>
          <w:rFonts w:ascii="Arial" w:cs="Arial" w:eastAsia="Arial" w:hAnsi="Arial"/>
          <w:sz w:val="18"/>
          <w:szCs w:val="18"/>
          <w:color w:val="0000FF"/>
        </w:rPr>
        <w:t>(LIBOR)</w:t>
      </w:r>
      <w:r>
        <w:rPr>
          <w:rFonts w:ascii="Arial" w:cs="Arial" w:eastAsia="Arial" w:hAnsi="Arial"/>
          <w:sz w:val="18"/>
          <w:szCs w:val="18"/>
          <w:color w:val="auto"/>
        </w:rPr>
        <w:t xml:space="preserve"> as determined pursuant to clause (a)(1), (a)(2) or (a)</w:t>
      </w:r>
    </w:p>
    <w:p>
      <w:pPr>
        <w:spacing w:after="0" w:line="1" w:lineRule="exact"/>
        <w:rPr>
          <w:sz w:val="20"/>
          <w:szCs w:val="20"/>
          <w:color w:val="auto"/>
        </w:rPr>
      </w:pPr>
    </w:p>
    <w:p>
      <w:pPr>
        <w:ind w:left="58" w:right="20" w:hanging="5"/>
        <w:spacing w:after="0" w:line="220" w:lineRule="auto"/>
        <w:tabs>
          <w:tab w:leader="none" w:pos="346"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or clause (b) of this definition would be less than the Floor, the Benchmark Replacement </w:t>
      </w:r>
      <w:r>
        <w:rPr>
          <w:rFonts w:ascii="Arial" w:cs="Arial" w:eastAsia="Arial" w:hAnsi="Arial"/>
          <w:sz w:val="20"/>
          <w:szCs w:val="20"/>
          <w:color w:val="0000FF"/>
        </w:rPr>
        <w:t>(LIBOR)</w:t>
      </w:r>
      <w:r>
        <w:rPr>
          <w:rFonts w:ascii="Arial" w:cs="Arial" w:eastAsia="Arial" w:hAnsi="Arial"/>
          <w:sz w:val="20"/>
          <w:szCs w:val="20"/>
          <w:color w:val="auto"/>
        </w:rPr>
        <w:t xml:space="preserve">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5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4" w:name="page85"/>
    <w:bookmarkEnd w:id="84"/>
    <w:p>
      <w:pPr>
        <w:spacing w:after="0" w:line="200" w:lineRule="exact"/>
        <w:rPr>
          <w:sz w:val="20"/>
          <w:szCs w:val="20"/>
          <w:color w:val="auto"/>
        </w:rPr>
      </w:pPr>
    </w:p>
    <w:p>
      <w:pPr>
        <w:spacing w:after="0" w:line="306"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 xml:space="preserve">“Benchmark Replacement </w:t>
      </w:r>
      <w:r>
        <w:rPr>
          <w:rFonts w:ascii="Arial" w:cs="Arial" w:eastAsia="Arial" w:hAnsi="Arial"/>
          <w:sz w:val="18"/>
          <w:szCs w:val="18"/>
          <w:color w:val="FF0000"/>
          <w:strike w:val="1"/>
        </w:rPr>
        <w:t>Adjustment</w:t>
      </w:r>
      <w:r>
        <w:rPr>
          <w:rFonts w:ascii="Arial" w:cs="Arial" w:eastAsia="Arial" w:hAnsi="Arial"/>
          <w:sz w:val="18"/>
          <w:szCs w:val="18"/>
          <w:color w:val="0000FF"/>
        </w:rPr>
        <w:t>(Non-LIBOR)” means, with respect to any Benchmark Transition Event (Non-LIBOR) with</w:t>
      </w:r>
      <w:r>
        <w:rPr>
          <w:rFonts w:ascii="Arial" w:cs="Arial" w:eastAsia="Arial" w:hAnsi="Arial"/>
          <w:sz w:val="18"/>
          <w:szCs w:val="18"/>
          <w:color w:val="auto"/>
        </w:rPr>
        <w:t xml:space="preserve"> </w:t>
      </w:r>
      <w:r>
        <w:rPr>
          <w:rFonts w:ascii="Arial" w:cs="Arial" w:eastAsia="Arial" w:hAnsi="Arial"/>
          <w:sz w:val="18"/>
          <w:szCs w:val="18"/>
          <w:color w:val="0000FF"/>
        </w:rPr>
        <w:t>respect to any Benchmark (other than LIBOR), the sum of: (a) the alternate benchmark rate that has been selected by the Administrative</w:t>
      </w:r>
    </w:p>
    <w:p>
      <w:pPr>
        <w:ind w:left="58"/>
        <w:spacing w:after="0" w:line="226" w:lineRule="auto"/>
        <w:rPr>
          <w:sz w:val="20"/>
          <w:szCs w:val="20"/>
          <w:color w:val="auto"/>
        </w:rPr>
      </w:pPr>
      <w:r>
        <w:rPr>
          <w:rFonts w:ascii="Arial" w:cs="Arial" w:eastAsia="Arial" w:hAnsi="Arial"/>
          <w:sz w:val="18"/>
          <w:szCs w:val="18"/>
          <w:color w:val="0000FF"/>
        </w:rPr>
        <w:t>Agent and Centuri giving due consideration to (i) any selection or recommendation of a replacement benchmark rate or the mechanism for determining such a rate by the Relevant Governmental Body or (ii) any evolving or then-prevailing market convention for determining a</w:t>
      </w:r>
    </w:p>
    <w:p>
      <w:pPr>
        <w:ind w:left="58"/>
        <w:spacing w:after="0" w:line="236" w:lineRule="auto"/>
        <w:rPr>
          <w:sz w:val="20"/>
          <w:szCs w:val="20"/>
          <w:color w:val="auto"/>
        </w:rPr>
      </w:pPr>
      <w:r>
        <w:rPr>
          <w:rFonts w:ascii="Arial" w:cs="Arial" w:eastAsia="Arial" w:hAnsi="Arial"/>
          <w:sz w:val="18"/>
          <w:szCs w:val="18"/>
          <w:color w:val="0000FF"/>
        </w:rPr>
        <w:t>benchmark rate as a replacement to the then-current Benchmark for Dollar-denominated syndicated credit facilities and (b) the related</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0000FF"/>
        </w:rPr>
        <w:t>Benchmark Replacement Adjustment (Non-LIBOR); provided that, if such Benchmark Replacement (Non-LIBOR) as so determined would be less than the Floor, such Benchmark Replacement (Non-LIBOR) will be deemed to be the Floor for the purposes of this</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0000FF"/>
        </w:rPr>
        <w:t>Agreement and the other Loan Documents.</w:t>
      </w:r>
    </w:p>
    <w:p>
      <w:pPr>
        <w:spacing w:after="0" w:line="267" w:lineRule="exact"/>
        <w:rPr>
          <w:sz w:val="20"/>
          <w:szCs w:val="20"/>
          <w:color w:val="auto"/>
        </w:rPr>
      </w:pPr>
    </w:p>
    <w:p>
      <w:pPr>
        <w:ind w:left="698"/>
        <w:spacing w:after="0"/>
        <w:rPr>
          <w:sz w:val="20"/>
          <w:szCs w:val="20"/>
          <w:color w:val="auto"/>
        </w:rPr>
      </w:pPr>
      <w:r>
        <w:rPr>
          <w:rFonts w:ascii="Arial" w:cs="Arial" w:eastAsia="Arial" w:hAnsi="Arial"/>
          <w:sz w:val="18"/>
          <w:szCs w:val="18"/>
          <w:color w:val="0000FF"/>
        </w:rPr>
        <w:t>“Benchmark Replacement Adjustment (LIBOR)</w:t>
      </w:r>
      <w:r>
        <w:rPr>
          <w:rFonts w:ascii="Arial" w:cs="Arial" w:eastAsia="Arial" w:hAnsi="Arial"/>
          <w:sz w:val="18"/>
          <w:szCs w:val="18"/>
          <w:color w:val="000000"/>
        </w:rPr>
        <w:t>” means, with respect to any replacement of the then-current Benchmark with an</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Unadjusted Benchmark Replacement for any applicable Interest Period and Available Tenor for any setting of such Unadjusted Benchmark Replacement:</w:t>
      </w:r>
    </w:p>
    <w:p>
      <w:pPr>
        <w:spacing w:after="0" w:line="197" w:lineRule="exact"/>
        <w:rPr>
          <w:sz w:val="20"/>
          <w:szCs w:val="20"/>
          <w:color w:val="auto"/>
        </w:rPr>
      </w:pPr>
    </w:p>
    <w:p>
      <w:pPr>
        <w:jc w:val="both"/>
        <w:ind w:left="58" w:firstLine="644"/>
        <w:spacing w:after="0" w:line="239" w:lineRule="auto"/>
        <w:tabs>
          <w:tab w:leader="none" w:pos="1236"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for purposes of clauses (a)(1) and (b) of the definition of “Benchmark Replacement </w:t>
      </w:r>
      <w:r>
        <w:rPr>
          <w:rFonts w:ascii="Arial" w:cs="Arial" w:eastAsia="Arial" w:hAnsi="Arial"/>
          <w:sz w:val="19"/>
          <w:szCs w:val="19"/>
          <w:color w:val="0000FF"/>
        </w:rPr>
        <w:t>(LIBOR)</w:t>
      </w:r>
      <w:r>
        <w:rPr>
          <w:rFonts w:ascii="Arial" w:cs="Arial" w:eastAsia="Arial" w:hAnsi="Arial"/>
          <w:sz w:val="19"/>
          <w:szCs w:val="19"/>
          <w:color w:val="auto"/>
        </w:rPr>
        <w:t>,”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197" w:lineRule="exact"/>
        <w:rPr>
          <w:rFonts w:ascii="Arial" w:cs="Arial" w:eastAsia="Arial" w:hAnsi="Arial"/>
          <w:sz w:val="19"/>
          <w:szCs w:val="19"/>
          <w:color w:val="auto"/>
        </w:rPr>
      </w:pPr>
    </w:p>
    <w:p>
      <w:pPr>
        <w:ind w:left="58" w:firstLine="644"/>
        <w:spacing w:after="0" w:line="236" w:lineRule="auto"/>
        <w:tabs>
          <w:tab w:leader="none" w:pos="1234"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for purposes of clause (a)(2) of the definition of “Benchmark Replacement </w:t>
      </w:r>
      <w:r>
        <w:rPr>
          <w:rFonts w:ascii="Arial" w:cs="Arial" w:eastAsia="Arial" w:hAnsi="Arial"/>
          <w:sz w:val="20"/>
          <w:szCs w:val="20"/>
          <w:color w:val="0000FF"/>
        </w:rPr>
        <w:t>(LIBOR)</w:t>
      </w:r>
      <w:r>
        <w:rPr>
          <w:rFonts w:ascii="Arial" w:cs="Arial" w:eastAsia="Arial" w:hAnsi="Arial"/>
          <w:sz w:val="20"/>
          <w:szCs w:val="20"/>
          <w:color w:val="auto"/>
        </w:rPr>
        <w:t>,” an amount equal to 0.11448% (11.448 basis points); and</w:t>
      </w:r>
    </w:p>
    <w:p>
      <w:pPr>
        <w:spacing w:after="0" w:line="195" w:lineRule="exact"/>
        <w:rPr>
          <w:rFonts w:ascii="Arial" w:cs="Arial" w:eastAsia="Arial" w:hAnsi="Arial"/>
          <w:sz w:val="20"/>
          <w:szCs w:val="20"/>
          <w:color w:val="auto"/>
        </w:rPr>
      </w:pPr>
    </w:p>
    <w:p>
      <w:pPr>
        <w:jc w:val="both"/>
        <w:ind w:left="58" w:firstLine="644"/>
        <w:spacing w:after="0" w:line="235" w:lineRule="auto"/>
        <w:tabs>
          <w:tab w:leader="none" w:pos="12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for purposes of clause (a)(3) of the definition of “Benchmark Replacement </w:t>
      </w:r>
      <w:r>
        <w:rPr>
          <w:rFonts w:ascii="Arial" w:cs="Arial" w:eastAsia="Arial" w:hAnsi="Arial"/>
          <w:sz w:val="18"/>
          <w:szCs w:val="18"/>
          <w:color w:val="0000FF"/>
        </w:rPr>
        <w:t>(LIBOR)</w:t>
      </w:r>
      <w:r>
        <w:rPr>
          <w:rFonts w:ascii="Arial" w:cs="Arial" w:eastAsia="Arial" w:hAnsi="Arial"/>
          <w:sz w:val="18"/>
          <w:szCs w:val="18"/>
          <w:color w:val="auto"/>
        </w:rPr>
        <w:t>,” the spread adjustment, or method for calculating or determining such spread adjustment, (which may be a positive or negative value or zero) that has been selected by the Administrative Agent and Centuri giving due consideration to (i) any selection or recommendation of a spread adjustment, or method for calculating or determining such spread adjustment, for the replacement of such Available Tenor of such Benchmark with the applicable</w:t>
      </w:r>
    </w:p>
    <w:p>
      <w:pPr>
        <w:ind w:left="58"/>
        <w:spacing w:after="0" w:line="221" w:lineRule="auto"/>
        <w:rPr>
          <w:sz w:val="20"/>
          <w:szCs w:val="20"/>
          <w:color w:val="auto"/>
        </w:rPr>
      </w:pPr>
      <w:r>
        <w:rPr>
          <w:rFonts w:ascii="Arial" w:cs="Arial" w:eastAsia="Arial" w:hAnsi="Arial"/>
          <w:sz w:val="18"/>
          <w:szCs w:val="18"/>
          <w:color w:val="auto"/>
        </w:rPr>
        <w:t xml:space="preserve">Unadjusted Benchmark Replacement by the Relevant Governmental Body on the applicable Benchmark Replacement Date </w:t>
      </w:r>
      <w:r>
        <w:rPr>
          <w:rFonts w:ascii="Arial" w:cs="Arial" w:eastAsia="Arial" w:hAnsi="Arial"/>
          <w:sz w:val="18"/>
          <w:szCs w:val="18"/>
          <w:color w:val="0000FF"/>
        </w:rPr>
        <w:t>(LIBOR)</w:t>
      </w:r>
      <w:r>
        <w:rPr>
          <w:rFonts w:ascii="Arial" w:cs="Arial" w:eastAsia="Arial" w:hAnsi="Arial"/>
          <w:sz w:val="18"/>
          <w:szCs w:val="18"/>
          <w:color w:val="auto"/>
        </w:rPr>
        <w:t xml:space="preserve"> or</w:t>
      </w:r>
    </w:p>
    <w:p>
      <w:pPr>
        <w:jc w:val="both"/>
        <w:ind w:left="58" w:hanging="4"/>
        <w:spacing w:after="0" w:line="222" w:lineRule="auto"/>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196"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0000FF"/>
        </w:rPr>
        <w:t>“Benchmark Replacement Adjustment (Non-LIBOR)” means, with respect to any replacement of the then-current Benchmark (other than LIBOR) with an Unadjusted Benchmark Replacement for any applicable Available Tenor, the spread adjustment, or method for</w:t>
      </w:r>
    </w:p>
    <w:p>
      <w:pPr>
        <w:ind w:left="58"/>
        <w:spacing w:after="0" w:line="235" w:lineRule="auto"/>
        <w:rPr>
          <w:sz w:val="20"/>
          <w:szCs w:val="20"/>
          <w:color w:val="auto"/>
        </w:rPr>
      </w:pPr>
      <w:r>
        <w:rPr>
          <w:rFonts w:ascii="Arial" w:cs="Arial" w:eastAsia="Arial" w:hAnsi="Arial"/>
          <w:sz w:val="18"/>
          <w:szCs w:val="18"/>
          <w:color w:val="0000FF"/>
        </w:rPr>
        <w:t>calculating or determining such spread adjustment, (which may be a positive or negative value or zero) that has been selected by the</w:t>
      </w:r>
    </w:p>
    <w:p>
      <w:pPr>
        <w:ind w:left="58"/>
        <w:spacing w:after="0" w:line="226" w:lineRule="auto"/>
        <w:rPr>
          <w:sz w:val="20"/>
          <w:szCs w:val="20"/>
          <w:color w:val="auto"/>
        </w:rPr>
      </w:pPr>
      <w:r>
        <w:rPr>
          <w:rFonts w:ascii="Arial" w:cs="Arial" w:eastAsia="Arial" w:hAnsi="Arial"/>
          <w:sz w:val="18"/>
          <w:szCs w:val="18"/>
          <w:color w:val="0000FF"/>
        </w:rPr>
        <w:t>Administrative Agent and Centuri giving due consideration to (a) any selection or recommendation of a spread adjustment, or method for calculating or determining such spread adjustment, for the replacement of such Benchmark with the applicable Unadjusted Benchmark</w:t>
      </w:r>
    </w:p>
    <w:p>
      <w:pPr>
        <w:ind w:left="58"/>
        <w:spacing w:after="0" w:line="236" w:lineRule="auto"/>
        <w:rPr>
          <w:sz w:val="20"/>
          <w:szCs w:val="20"/>
          <w:color w:val="auto"/>
        </w:rPr>
      </w:pPr>
      <w:r>
        <w:rPr>
          <w:rFonts w:ascii="Arial" w:cs="Arial" w:eastAsia="Arial" w:hAnsi="Arial"/>
          <w:sz w:val="18"/>
          <w:szCs w:val="18"/>
          <w:color w:val="0000FF"/>
        </w:rPr>
        <w:t>Replacement by the Relevant Governmental Body or (b) any evolving or then-prevailing market convention for determining a spread</w:t>
      </w:r>
    </w:p>
    <w:p>
      <w:pPr>
        <w:spacing w:after="0" w:line="1" w:lineRule="exact"/>
        <w:rPr>
          <w:sz w:val="20"/>
          <w:szCs w:val="20"/>
          <w:color w:val="auto"/>
        </w:rPr>
      </w:pPr>
    </w:p>
    <w:p>
      <w:pPr>
        <w:ind w:left="58"/>
        <w:spacing w:after="0" w:line="220" w:lineRule="auto"/>
        <w:rPr>
          <w:sz w:val="20"/>
          <w:szCs w:val="20"/>
          <w:color w:val="auto"/>
        </w:rPr>
      </w:pPr>
      <w:r>
        <w:rPr>
          <w:rFonts w:ascii="Arial" w:cs="Arial" w:eastAsia="Arial" w:hAnsi="Arial"/>
          <w:sz w:val="20"/>
          <w:szCs w:val="20"/>
          <w:color w:val="0000FF"/>
        </w:rPr>
        <w:t>adjustment, or method for calculating or determining such spread adjustment, for the replacement of such Benchmark with the applicable Unadjusted Benchmark Replacement for Dollar-denominated syndicated credit facilities.</w:t>
      </w:r>
    </w:p>
    <w:p>
      <w:pPr>
        <w:spacing w:after="0" w:line="264" w:lineRule="exact"/>
        <w:rPr>
          <w:sz w:val="20"/>
          <w:szCs w:val="20"/>
          <w:color w:val="auto"/>
        </w:rPr>
      </w:pPr>
    </w:p>
    <w:p>
      <w:pPr>
        <w:ind w:left="738"/>
        <w:spacing w:after="0"/>
        <w:rPr>
          <w:sz w:val="20"/>
          <w:szCs w:val="20"/>
          <w:color w:val="auto"/>
        </w:rPr>
      </w:pPr>
      <w:r>
        <w:rPr>
          <w:rFonts w:ascii="Arial" w:cs="Arial" w:eastAsia="Arial" w:hAnsi="Arial"/>
          <w:sz w:val="20"/>
          <w:szCs w:val="20"/>
          <w:color w:val="auto"/>
        </w:rPr>
        <w:t>“Benchmark Replacement Conforming Changes” means</w:t>
      </w:r>
      <w:r>
        <w:rPr>
          <w:rFonts w:ascii="Arial" w:cs="Arial" w:eastAsia="Arial" w:hAnsi="Arial"/>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-57785</wp:posOffset>
            </wp:positionV>
            <wp:extent cx="25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4">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63" w:lineRule="exact"/>
        <w:rPr>
          <w:sz w:val="20"/>
          <w:szCs w:val="20"/>
          <w:color w:val="auto"/>
        </w:rPr>
      </w:pPr>
    </w:p>
    <w:p>
      <w:pPr>
        <w:ind w:left="58" w:right="440" w:firstLine="540"/>
        <w:spacing w:after="0" w:line="236" w:lineRule="auto"/>
        <w:tabs>
          <w:tab w:leader="none" w:pos="1246" w:val="left"/>
        </w:tabs>
        <w:numPr>
          <w:ilvl w:val="0"/>
          <w:numId w:val="55"/>
        </w:numPr>
        <w:rPr>
          <w:rFonts w:ascii="Arial" w:cs="Arial" w:eastAsia="Arial" w:hAnsi="Arial"/>
          <w:sz w:val="20"/>
          <w:szCs w:val="20"/>
          <w:u w:val="single" w:color="auto"/>
          <w:color w:val="auto"/>
        </w:rPr>
      </w:pPr>
      <w:r>
        <w:rPr>
          <w:rFonts w:ascii="Arial" w:cs="Arial" w:eastAsia="Arial" w:hAnsi="Arial"/>
          <w:sz w:val="20"/>
          <w:szCs w:val="20"/>
          <w:color w:val="auto"/>
        </w:rPr>
        <w:t xml:space="preserve">with respect to any Benchmark Replacement </w:t>
      </w:r>
      <w:r>
        <w:rPr>
          <w:rFonts w:ascii="Arial" w:cs="Arial" w:eastAsia="Arial" w:hAnsi="Arial"/>
          <w:sz w:val="20"/>
          <w:szCs w:val="20"/>
          <w:color w:val="0000FF"/>
        </w:rPr>
        <w:t>(LIBOR)</w:t>
      </w:r>
      <w:r>
        <w:rPr>
          <w:rFonts w:ascii="Arial" w:cs="Arial" w:eastAsia="Arial" w:hAnsi="Arial"/>
          <w:sz w:val="20"/>
          <w:szCs w:val="20"/>
          <w:color w:val="auto"/>
        </w:rPr>
        <w:t>, any technical, administrative or operational changes (including changes to the definition of “Base Rate,” the definition of “Business Day,”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56"/>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5" w:name="page86"/>
    <w:bookmarkEnd w:id="85"/>
    <w:p>
      <w:pPr>
        <w:ind w:left="58"/>
        <w:spacing w:after="0"/>
        <w:rPr>
          <w:sz w:val="20"/>
          <w:szCs w:val="20"/>
          <w:color w:val="auto"/>
        </w:rPr>
      </w:pPr>
      <w:r>
        <w:rPr>
          <w:rFonts w:ascii="Arial" w:cs="Arial" w:eastAsia="Arial" w:hAnsi="Arial"/>
          <w:sz w:val="19"/>
          <w:szCs w:val="19"/>
          <w:color w:val="auto"/>
        </w:rPr>
        <w:t>the definition of “Interest Period,” timing and frequency of determining rates and making payments of interest, timing of borrowing</w:t>
      </w:r>
    </w:p>
    <w:p>
      <w:pPr>
        <w:ind w:left="58"/>
        <w:spacing w:after="0" w:line="226" w:lineRule="auto"/>
        <w:rPr>
          <w:sz w:val="20"/>
          <w:szCs w:val="20"/>
          <w:color w:val="auto"/>
        </w:rPr>
      </w:pPr>
      <w:r>
        <w:rPr>
          <w:rFonts w:ascii="Arial" w:cs="Arial" w:eastAsia="Arial" w:hAnsi="Arial"/>
          <w:sz w:val="18"/>
          <w:szCs w:val="18"/>
          <w:color w:val="auto"/>
        </w:rPr>
        <w:t>requests or prepayment, conversion or continuation notices, length of lookback periods, the applicability of breakage provisions, and other technical, administrative or operational matters) that the Administrative Agent (in consultation with Centuri) decides may be appropriate</w:t>
      </w:r>
    </w:p>
    <w:p>
      <w:pPr>
        <w:ind w:left="58"/>
        <w:spacing w:after="0" w:line="236" w:lineRule="auto"/>
        <w:rPr>
          <w:sz w:val="20"/>
          <w:szCs w:val="20"/>
          <w:color w:val="auto"/>
        </w:rPr>
      </w:pPr>
      <w:r>
        <w:rPr>
          <w:rFonts w:ascii="Arial" w:cs="Arial" w:eastAsia="Arial" w:hAnsi="Arial"/>
          <w:sz w:val="18"/>
          <w:szCs w:val="18"/>
          <w:color w:val="auto"/>
        </w:rPr>
        <w:t xml:space="preserve">to reflect the adoption and implementation of such Benchmark Replacement </w:t>
      </w:r>
      <w:r>
        <w:rPr>
          <w:rFonts w:ascii="Arial" w:cs="Arial" w:eastAsia="Arial" w:hAnsi="Arial"/>
          <w:sz w:val="18"/>
          <w:szCs w:val="18"/>
          <w:color w:val="0000FF"/>
        </w:rPr>
        <w:t>(LIBOR)</w:t>
      </w:r>
      <w:r>
        <w:rPr>
          <w:rFonts w:ascii="Arial" w:cs="Arial" w:eastAsia="Arial" w:hAnsi="Arial"/>
          <w:sz w:val="18"/>
          <w:szCs w:val="18"/>
          <w:color w:val="auto"/>
        </w:rPr>
        <w:t xml:space="preserve"> and to permit the administration thereof by the</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Administrative Agent in a manner substantially consistent with market practice (or, if the Administrative Agent decides that adoption of any portion of such market practice is not administratively feasible or if the Administrative Agent determines that no market practice for</w:t>
      </w:r>
    </w:p>
    <w:p>
      <w:pPr>
        <w:ind w:left="58"/>
        <w:spacing w:after="0" w:line="236" w:lineRule="auto"/>
        <w:rPr>
          <w:sz w:val="20"/>
          <w:szCs w:val="20"/>
          <w:color w:val="auto"/>
        </w:rPr>
      </w:pPr>
      <w:r>
        <w:rPr>
          <w:rFonts w:ascii="Arial" w:cs="Arial" w:eastAsia="Arial" w:hAnsi="Arial"/>
          <w:sz w:val="18"/>
          <w:szCs w:val="18"/>
          <w:color w:val="auto"/>
        </w:rPr>
        <w:t xml:space="preserve">the administration of such Benchmark Replacement </w:t>
      </w:r>
      <w:r>
        <w:rPr>
          <w:rFonts w:ascii="Arial" w:cs="Arial" w:eastAsia="Arial" w:hAnsi="Arial"/>
          <w:sz w:val="18"/>
          <w:szCs w:val="18"/>
          <w:color w:val="0000FF"/>
        </w:rPr>
        <w:t>(LIBOR)</w:t>
      </w:r>
      <w:r>
        <w:rPr>
          <w:rFonts w:ascii="Arial" w:cs="Arial" w:eastAsia="Arial" w:hAnsi="Arial"/>
          <w:sz w:val="18"/>
          <w:szCs w:val="18"/>
          <w:color w:val="auto"/>
        </w:rPr>
        <w:t xml:space="preserve"> exists, in such other manner of administration as the Administrative Agent</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decides (in consultation with Centuri) is reasonably necessary in connection with the administration of this Agreement and the other Loan Documents)</w:t>
      </w:r>
      <w:r>
        <w:rPr>
          <w:rFonts w:ascii="Arial" w:cs="Arial" w:eastAsia="Arial" w:hAnsi="Arial"/>
          <w:sz w:val="20"/>
          <w:szCs w:val="20"/>
          <w:color w:val="0000FF"/>
        </w:rPr>
        <w:t>; and</w:t>
      </w:r>
    </w:p>
    <w:p>
      <w:pPr>
        <w:spacing w:after="0" w:line="264" w:lineRule="exact"/>
        <w:rPr>
          <w:sz w:val="20"/>
          <w:szCs w:val="20"/>
          <w:color w:val="auto"/>
        </w:rPr>
      </w:pPr>
    </w:p>
    <w:p>
      <w:pPr>
        <w:jc w:val="both"/>
        <w:ind w:left="58" w:firstLine="485"/>
        <w:spacing w:after="0" w:line="223" w:lineRule="auto"/>
        <w:tabs>
          <w:tab w:leader="none" w:pos="1246" w:val="left"/>
        </w:tabs>
        <w:numPr>
          <w:ilvl w:val="0"/>
          <w:numId w:val="57"/>
        </w:numPr>
        <w:rPr>
          <w:rFonts w:ascii="Arial" w:cs="Arial" w:eastAsia="Arial" w:hAnsi="Arial"/>
          <w:sz w:val="19"/>
          <w:szCs w:val="19"/>
          <w:u w:val="single" w:color="auto"/>
          <w:color w:val="auto"/>
        </w:rPr>
      </w:pPr>
      <w:r>
        <w:rPr>
          <w:rFonts w:ascii="Arial" w:cs="Arial" w:eastAsia="Arial" w:hAnsi="Arial"/>
          <w:sz w:val="19"/>
          <w:szCs w:val="19"/>
          <w:color w:val="0000FF"/>
        </w:rPr>
        <w:t>with respect to either the use or administration of Term SOFR or the use, administration, adoption or implementation of any Benchmark Replacement (Non-LIBOR),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5.9 and other technical, administrative or operational matters) that the Administrative Agent (in consultation with Centuri) decides may be appropriate to reflect the adoption and implementation of any such rate or to permit the use and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decides (in consultation with Centuri) is reasonably necessary in connection with the administration of this Agreement and the other Loan Documents)</w:t>
      </w:r>
      <w:r>
        <w:rPr>
          <w:rFonts w:ascii="Arial" w:cs="Arial" w:eastAsia="Arial" w:hAnsi="Arial"/>
          <w:sz w:val="19"/>
          <w:szCs w:val="19"/>
          <w:color w:val="000000"/>
        </w:rPr>
        <w:t>.</w:t>
      </w:r>
    </w:p>
    <w:p>
      <w:pPr>
        <w:spacing w:after="0" w:line="250" w:lineRule="exact"/>
        <w:rPr>
          <w:sz w:val="20"/>
          <w:szCs w:val="20"/>
          <w:color w:val="auto"/>
        </w:rPr>
      </w:pPr>
    </w:p>
    <w:p>
      <w:pPr>
        <w:ind w:left="698"/>
        <w:spacing w:after="0"/>
        <w:rPr>
          <w:sz w:val="20"/>
          <w:szCs w:val="20"/>
          <w:color w:val="auto"/>
        </w:rPr>
      </w:pPr>
      <w:r>
        <w:rPr>
          <w:rFonts w:ascii="Arial" w:cs="Arial" w:eastAsia="Arial" w:hAnsi="Arial"/>
          <w:sz w:val="18"/>
          <w:szCs w:val="18"/>
          <w:color w:val="auto"/>
        </w:rPr>
        <w:t xml:space="preserve">“Benchmark Replacement Date </w:t>
      </w:r>
      <w:r>
        <w:rPr>
          <w:rFonts w:ascii="Arial" w:cs="Arial" w:eastAsia="Arial" w:hAnsi="Arial"/>
          <w:sz w:val="18"/>
          <w:szCs w:val="18"/>
          <w:color w:val="0000FF"/>
        </w:rPr>
        <w:t>(LIBOR)</w:t>
      </w:r>
      <w:r>
        <w:rPr>
          <w:rFonts w:ascii="Arial" w:cs="Arial" w:eastAsia="Arial" w:hAnsi="Arial"/>
          <w:sz w:val="18"/>
          <w:szCs w:val="18"/>
          <w:color w:val="auto"/>
        </w:rPr>
        <w:t>” means the earliest to occur of the following events with respect to the then-current</w:t>
      </w:r>
    </w:p>
    <w:p>
      <w:pPr>
        <w:spacing w:after="0" w:line="12" w:lineRule="exact"/>
        <w:rPr>
          <w:sz w:val="20"/>
          <w:szCs w:val="20"/>
          <w:color w:val="auto"/>
        </w:rPr>
      </w:pPr>
    </w:p>
    <w:p>
      <w:pPr>
        <w:ind w:left="58"/>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jc w:val="both"/>
        <w:ind w:left="58" w:firstLine="644"/>
        <w:spacing w:after="0" w:line="220" w:lineRule="auto"/>
        <w:tabs>
          <w:tab w:leader="none" w:pos="1234"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in the case of clause (a) or (b) of the definition of “Benchmark Transition Event </w:t>
      </w:r>
      <w:r>
        <w:rPr>
          <w:rFonts w:ascii="Arial" w:cs="Arial" w:eastAsia="Arial" w:hAnsi="Arial"/>
          <w:sz w:val="20"/>
          <w:szCs w:val="20"/>
          <w:color w:val="0000FF"/>
        </w:rPr>
        <w:t>(LIBOR)</w:t>
      </w:r>
      <w:r>
        <w:rPr>
          <w:rFonts w:ascii="Arial" w:cs="Arial" w:eastAsia="Arial" w:hAnsi="Arial"/>
          <w:sz w:val="20"/>
          <w:szCs w:val="20"/>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209" w:lineRule="exact"/>
        <w:rPr>
          <w:rFonts w:ascii="Arial" w:cs="Arial" w:eastAsia="Arial" w:hAnsi="Arial"/>
          <w:sz w:val="20"/>
          <w:szCs w:val="20"/>
          <w:color w:val="auto"/>
        </w:rPr>
      </w:pPr>
    </w:p>
    <w:p>
      <w:pPr>
        <w:ind w:left="58" w:right="20" w:firstLine="644"/>
        <w:spacing w:after="0" w:line="229" w:lineRule="auto"/>
        <w:tabs>
          <w:tab w:leader="none" w:pos="1234"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in the case of clause (c) of the definition of “Benchmark Transition Event </w:t>
      </w:r>
      <w:r>
        <w:rPr>
          <w:rFonts w:ascii="Arial" w:cs="Arial" w:eastAsia="Arial" w:hAnsi="Arial"/>
          <w:sz w:val="20"/>
          <w:szCs w:val="20"/>
          <w:color w:val="0000FF"/>
        </w:rPr>
        <w:t>(LIBOR)</w:t>
      </w:r>
      <w:r>
        <w:rPr>
          <w:rFonts w:ascii="Arial" w:cs="Arial" w:eastAsia="Arial" w:hAnsi="Arial"/>
          <w:sz w:val="20"/>
          <w:szCs w:val="20"/>
          <w:color w:val="auto"/>
        </w:rPr>
        <w:t>,” the date of the public statement or publication of information referenced therein;</w:t>
      </w:r>
    </w:p>
    <w:p>
      <w:pPr>
        <w:spacing w:after="0" w:line="209" w:lineRule="exact"/>
        <w:rPr>
          <w:rFonts w:ascii="Arial" w:cs="Arial" w:eastAsia="Arial" w:hAnsi="Arial"/>
          <w:sz w:val="20"/>
          <w:szCs w:val="20"/>
          <w:color w:val="auto"/>
        </w:rPr>
      </w:pPr>
    </w:p>
    <w:p>
      <w:pPr>
        <w:ind w:left="58" w:right="20" w:firstLine="644"/>
        <w:spacing w:after="0" w:line="229" w:lineRule="auto"/>
        <w:tabs>
          <w:tab w:leader="none" w:pos="1234"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case of a Term SOFR Transition Event, the date that is thirty (30) days after the Administrative Agent has provided the Term SOFR Notice to the Lenders and Centuri pursuant to Section 5.8(c)(i)(</w:t>
      </w:r>
      <w:r>
        <w:rPr>
          <w:rFonts w:ascii="Arial" w:cs="Arial" w:eastAsia="Arial" w:hAnsi="Arial"/>
          <w:sz w:val="20"/>
          <w:szCs w:val="20"/>
          <w:color w:val="FF0000"/>
          <w:strike w:val="1"/>
        </w:rPr>
        <w:t>B</w:t>
      </w:r>
      <w:r>
        <w:rPr>
          <w:rFonts w:ascii="Arial" w:cs="Arial" w:eastAsia="Arial" w:hAnsi="Arial"/>
          <w:sz w:val="20"/>
          <w:szCs w:val="20"/>
          <w:color w:val="0000FF"/>
        </w:rPr>
        <w:t>C</w:t>
      </w:r>
      <w:r>
        <w:rPr>
          <w:rFonts w:ascii="Arial" w:cs="Arial" w:eastAsia="Arial" w:hAnsi="Arial"/>
          <w:sz w:val="20"/>
          <w:szCs w:val="20"/>
          <w:color w:val="auto"/>
        </w:rPr>
        <w:t>); or</w:t>
      </w:r>
    </w:p>
    <w:p>
      <w:pPr>
        <w:spacing w:after="0" w:line="290" w:lineRule="exact"/>
        <w:rPr>
          <w:rFonts w:ascii="Arial" w:cs="Arial" w:eastAsia="Arial" w:hAnsi="Arial"/>
          <w:sz w:val="20"/>
          <w:szCs w:val="20"/>
          <w:color w:val="auto"/>
        </w:rPr>
      </w:pPr>
    </w:p>
    <w:p>
      <w:pPr>
        <w:jc w:val="both"/>
        <w:ind w:left="58" w:firstLine="644"/>
        <w:spacing w:after="0" w:line="241" w:lineRule="auto"/>
        <w:tabs>
          <w:tab w:leader="none" w:pos="1234"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w:t>
      </w:r>
      <w:r>
        <w:rPr>
          <w:rFonts w:ascii="Arial" w:cs="Arial" w:eastAsia="Arial" w:hAnsi="Arial"/>
          <w:sz w:val="12"/>
          <w:szCs w:val="12"/>
          <w:color w:val="auto"/>
        </w:rPr>
        <w:t>th</w:t>
      </w:r>
      <w:r>
        <w:rPr>
          <w:rFonts w:ascii="Arial" w:cs="Arial" w:eastAsia="Arial" w:hAnsi="Arial"/>
          <w:sz w:val="20"/>
          <w:szCs w:val="20"/>
          <w:color w:val="auto"/>
        </w:rPr>
        <w:t>) Business Day after the date notice of such Early Opt-in Election is provided to the Lenders and Centuri, so long as the Administrative Agent has not received, by 5:00 p.m. (New York City time) on the fifth (5</w:t>
      </w:r>
      <w:r>
        <w:rPr>
          <w:rFonts w:ascii="Arial" w:cs="Arial" w:eastAsia="Arial" w:hAnsi="Arial"/>
          <w:sz w:val="12"/>
          <w:szCs w:val="12"/>
          <w:color w:val="auto"/>
        </w:rPr>
        <w:t>th</w:t>
      </w:r>
      <w:r>
        <w:rPr>
          <w:rFonts w:ascii="Arial" w:cs="Arial" w:eastAsia="Arial" w:hAnsi="Arial"/>
          <w:sz w:val="20"/>
          <w:szCs w:val="20"/>
          <w:color w:val="auto"/>
        </w:rPr>
        <w:t>) Business Day after the date notice of such Early Opt-in Election is provided to the Lenders, written notice of objection to such Early Opt-in Election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5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86" w:name="page87"/>
    <w:bookmarkEnd w:id="86"/>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 xml:space="preserve">For the avoidance of doubt, (i) if the event giving rise to the Benchmark Replacement Date </w:t>
      </w:r>
      <w:r>
        <w:rPr>
          <w:rFonts w:ascii="Arial" w:cs="Arial" w:eastAsia="Arial" w:hAnsi="Arial"/>
          <w:sz w:val="18"/>
          <w:szCs w:val="18"/>
          <w:color w:val="0000FF"/>
        </w:rPr>
        <w:t>(LIBOR)</w:t>
      </w:r>
      <w:r>
        <w:rPr>
          <w:rFonts w:ascii="Arial" w:cs="Arial" w:eastAsia="Arial" w:hAnsi="Arial"/>
          <w:sz w:val="18"/>
          <w:szCs w:val="18"/>
          <w:color w:val="auto"/>
        </w:rPr>
        <w:t xml:space="preserve"> occurs on the same day as, but earlier</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 xml:space="preserve">than, the Reference Time in respect of any determination, the Benchmark Replacement Date </w:t>
      </w:r>
      <w:r>
        <w:rPr>
          <w:rFonts w:ascii="Arial" w:cs="Arial" w:eastAsia="Arial" w:hAnsi="Arial"/>
          <w:sz w:val="18"/>
          <w:szCs w:val="18"/>
          <w:color w:val="0000FF"/>
        </w:rPr>
        <w:t>(LIBOR)</w:t>
      </w:r>
      <w:r>
        <w:rPr>
          <w:rFonts w:ascii="Arial" w:cs="Arial" w:eastAsia="Arial" w:hAnsi="Arial"/>
          <w:sz w:val="18"/>
          <w:szCs w:val="18"/>
          <w:color w:val="auto"/>
        </w:rPr>
        <w:t xml:space="preserve"> will be deemed to have occurred prior to the Reference Time for such determination and (ii) the “Benchmark Replacement Date </w:t>
      </w:r>
      <w:r>
        <w:rPr>
          <w:rFonts w:ascii="Arial" w:cs="Arial" w:eastAsia="Arial" w:hAnsi="Arial"/>
          <w:sz w:val="18"/>
          <w:szCs w:val="18"/>
          <w:color w:val="0000FF"/>
        </w:rPr>
        <w:t>(LIBOR)” will be deemed to have occurred</w:t>
      </w:r>
    </w:p>
    <w:p>
      <w:pPr>
        <w:spacing w:after="0" w:line="2" w:lineRule="exact"/>
        <w:rPr>
          <w:sz w:val="20"/>
          <w:szCs w:val="20"/>
          <w:color w:val="auto"/>
        </w:rPr>
      </w:pPr>
    </w:p>
    <w:p>
      <w:pPr>
        <w:ind w:left="58"/>
        <w:spacing w:after="0" w:line="266" w:lineRule="auto"/>
        <w:rPr>
          <w:sz w:val="20"/>
          <w:szCs w:val="20"/>
          <w:color w:val="auto"/>
        </w:rPr>
      </w:pPr>
      <w:r>
        <w:rPr>
          <w:rFonts w:ascii="Arial" w:cs="Arial" w:eastAsia="Arial" w:hAnsi="Arial"/>
          <w:sz w:val="18"/>
          <w:szCs w:val="18"/>
          <w:color w:val="0000FF"/>
        </w:rPr>
        <w:t>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39" w:lineRule="exact"/>
        <w:rPr>
          <w:sz w:val="20"/>
          <w:szCs w:val="20"/>
          <w:color w:val="auto"/>
        </w:rPr>
      </w:pPr>
    </w:p>
    <w:p>
      <w:pPr>
        <w:ind w:left="698"/>
        <w:spacing w:after="0"/>
        <w:rPr>
          <w:sz w:val="20"/>
          <w:szCs w:val="20"/>
          <w:color w:val="auto"/>
        </w:rPr>
      </w:pPr>
      <w:r>
        <w:rPr>
          <w:rFonts w:ascii="Arial" w:cs="Arial" w:eastAsia="Arial" w:hAnsi="Arial"/>
          <w:sz w:val="18"/>
          <w:szCs w:val="18"/>
          <w:color w:val="0000FF"/>
        </w:rPr>
        <w:t>“Benchmark Replacement Date (Non-LIBOR)” means the earliest to occur of the following events with respect to the then-current</w:t>
      </w:r>
    </w:p>
    <w:p>
      <w:pPr>
        <w:ind w:left="58"/>
        <w:spacing w:after="0"/>
        <w:rPr>
          <w:sz w:val="20"/>
          <w:szCs w:val="20"/>
          <w:color w:val="auto"/>
        </w:rPr>
      </w:pPr>
      <w:r>
        <w:rPr>
          <w:rFonts w:ascii="Arial" w:cs="Arial" w:eastAsia="Arial" w:hAnsi="Arial"/>
          <w:sz w:val="20"/>
          <w:szCs w:val="20"/>
          <w:color w:val="0000FF"/>
        </w:rPr>
        <w:t>Benchmark:</w:t>
      </w:r>
    </w:p>
    <w:p>
      <w:pPr>
        <w:spacing w:after="0" w:line="267" w:lineRule="exact"/>
        <w:rPr>
          <w:sz w:val="20"/>
          <w:szCs w:val="20"/>
          <w:color w:val="auto"/>
        </w:rPr>
      </w:pPr>
    </w:p>
    <w:p>
      <w:pPr>
        <w:jc w:val="both"/>
        <w:ind w:left="58" w:firstLine="644"/>
        <w:spacing w:after="0" w:line="220" w:lineRule="auto"/>
        <w:tabs>
          <w:tab w:leader="none" w:pos="1234" w:val="left"/>
        </w:tabs>
        <w:numPr>
          <w:ilvl w:val="0"/>
          <w:numId w:val="60"/>
        </w:numPr>
        <w:rPr>
          <w:rFonts w:ascii="Arial" w:cs="Arial" w:eastAsia="Arial" w:hAnsi="Arial"/>
          <w:sz w:val="20"/>
          <w:szCs w:val="20"/>
          <w:u w:val="single" w:color="auto"/>
          <w:color w:val="auto"/>
        </w:rPr>
      </w:pPr>
      <w:r>
        <w:rPr>
          <w:rFonts w:ascii="Arial" w:cs="Arial" w:eastAsia="Arial" w:hAnsi="Arial"/>
          <w:sz w:val="20"/>
          <w:szCs w:val="20"/>
          <w:color w:val="0000FF"/>
        </w:rPr>
        <w:t>in the case of clause (a) or (b) of the definition of “Benchmark Transition Event (Non- LIBOR),” the later of (i) the date of the public statement or publication of information referenced therein and (ii) the date on which the administrator of such Benchmark (or the published component used in the calculation thereof) permanently or indefinitely as of a specific date ceases to provide all Available Tenors of such Benchmark (or such component thereof); or</w:t>
      </w:r>
    </w:p>
    <w:p>
      <w:pPr>
        <w:spacing w:after="0" w:line="263" w:lineRule="exact"/>
        <w:rPr>
          <w:rFonts w:ascii="Arial" w:cs="Arial" w:eastAsia="Arial" w:hAnsi="Arial"/>
          <w:sz w:val="20"/>
          <w:szCs w:val="20"/>
          <w:u w:val="single" w:color="auto"/>
          <w:color w:val="auto"/>
        </w:rPr>
      </w:pPr>
    </w:p>
    <w:p>
      <w:pPr>
        <w:jc w:val="both"/>
        <w:ind w:left="58" w:firstLine="644"/>
        <w:spacing w:after="0" w:line="229" w:lineRule="auto"/>
        <w:tabs>
          <w:tab w:leader="none" w:pos="1234" w:val="left"/>
        </w:tabs>
        <w:numPr>
          <w:ilvl w:val="0"/>
          <w:numId w:val="60"/>
        </w:numPr>
        <w:rPr>
          <w:rFonts w:ascii="Arial" w:cs="Arial" w:eastAsia="Arial" w:hAnsi="Arial"/>
          <w:sz w:val="19"/>
          <w:szCs w:val="19"/>
          <w:u w:val="single" w:color="auto"/>
          <w:color w:val="auto"/>
        </w:rPr>
      </w:pPr>
      <w:r>
        <w:rPr>
          <w:rFonts w:ascii="Arial" w:cs="Arial" w:eastAsia="Arial" w:hAnsi="Arial"/>
          <w:sz w:val="19"/>
          <w:szCs w:val="19"/>
          <w:color w:val="0000FF"/>
        </w:rPr>
        <w:t>in the case of clause (c) of the definition of “Benchmark Transition Event (Non-LIBOR),”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67"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0000FF"/>
        </w:rPr>
        <w:t>For the avoidance of doubt, the “Benchmark Replacement Date (Non-LIBOR)</w:t>
      </w:r>
      <w:r>
        <w:rPr>
          <w:rFonts w:ascii="Arial" w:cs="Arial" w:eastAsia="Arial" w:hAnsi="Arial"/>
          <w:sz w:val="18"/>
          <w:szCs w:val="18"/>
          <w:color w:val="000000"/>
        </w:rPr>
        <w:t>” will be deemed to have occurred in the case of</w:t>
      </w:r>
      <w:r>
        <w:rPr>
          <w:rFonts w:ascii="Arial" w:cs="Arial" w:eastAsia="Arial" w:hAnsi="Arial"/>
          <w:sz w:val="18"/>
          <w:szCs w:val="18"/>
          <w:color w:val="0000FF"/>
        </w:rPr>
        <w:t xml:space="preserve"> </w:t>
      </w:r>
      <w:r>
        <w:rPr>
          <w:rFonts w:ascii="Arial" w:cs="Arial" w:eastAsia="Arial" w:hAnsi="Arial"/>
          <w:sz w:val="18"/>
          <w:szCs w:val="18"/>
          <w:color w:val="000000"/>
        </w:rPr>
        <w:t>clause (a) or (b) with respect to any Benchmark upon the occurrence of the applicable event or events set forth therein with respect to all</w:t>
      </w:r>
    </w:p>
    <w:p>
      <w:pPr>
        <w:ind w:left="58"/>
        <w:spacing w:after="0"/>
        <w:rPr>
          <w:sz w:val="20"/>
          <w:szCs w:val="20"/>
          <w:color w:val="auto"/>
        </w:rPr>
      </w:pPr>
      <w:r>
        <w:rPr>
          <w:rFonts w:ascii="Arial" w:cs="Arial" w:eastAsia="Arial" w:hAnsi="Arial"/>
          <w:sz w:val="20"/>
          <w:szCs w:val="20"/>
          <w:color w:val="auto"/>
        </w:rPr>
        <w:t>then-current Available Tenors of such Benchmark (or the published component used in the calculation thereof).</w:t>
      </w:r>
    </w:p>
    <w:p>
      <w:pPr>
        <w:spacing w:after="0" w:line="200"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 xml:space="preserve">“Benchmark Transition Event </w:t>
      </w:r>
      <w:r>
        <w:rPr>
          <w:rFonts w:ascii="Arial" w:cs="Arial" w:eastAsia="Arial" w:hAnsi="Arial"/>
          <w:sz w:val="20"/>
          <w:szCs w:val="20"/>
          <w:color w:val="0000FF"/>
        </w:rPr>
        <w:t>(LIBOR)</w:t>
      </w:r>
      <w:r>
        <w:rPr>
          <w:rFonts w:ascii="Arial" w:cs="Arial" w:eastAsia="Arial" w:hAnsi="Arial"/>
          <w:sz w:val="20"/>
          <w:szCs w:val="20"/>
          <w:color w:val="auto"/>
        </w:rPr>
        <w:t>” means the occurrence of one or more of the following events with respect to the then-current Benchmark:</w:t>
      </w:r>
    </w:p>
    <w:p>
      <w:pPr>
        <w:spacing w:after="0" w:line="196" w:lineRule="exact"/>
        <w:rPr>
          <w:sz w:val="20"/>
          <w:szCs w:val="20"/>
          <w:color w:val="auto"/>
        </w:rPr>
      </w:pPr>
    </w:p>
    <w:p>
      <w:pPr>
        <w:jc w:val="both"/>
        <w:ind w:left="58" w:right="20" w:firstLine="644"/>
        <w:spacing w:after="0" w:line="218" w:lineRule="auto"/>
        <w:tabs>
          <w:tab w:leader="none" w:pos="1234"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197" w:lineRule="exact"/>
        <w:rPr>
          <w:rFonts w:ascii="Arial" w:cs="Arial" w:eastAsia="Arial" w:hAnsi="Arial"/>
          <w:sz w:val="20"/>
          <w:szCs w:val="20"/>
          <w:color w:val="auto"/>
        </w:rPr>
      </w:pPr>
    </w:p>
    <w:p>
      <w:pPr>
        <w:jc w:val="both"/>
        <w:ind w:left="58" w:firstLine="644"/>
        <w:spacing w:after="0" w:line="225" w:lineRule="auto"/>
        <w:tabs>
          <w:tab w:leader="none" w:pos="1234"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6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7" w:name="page88"/>
    <w:bookmarkEnd w:id="87"/>
    <w:p>
      <w:pPr>
        <w:spacing w:after="0" w:line="209" w:lineRule="exact"/>
        <w:rPr>
          <w:sz w:val="20"/>
          <w:szCs w:val="20"/>
          <w:color w:val="auto"/>
        </w:rPr>
      </w:pPr>
    </w:p>
    <w:p>
      <w:pPr>
        <w:jc w:val="both"/>
        <w:ind w:left="58" w:firstLine="644"/>
        <w:spacing w:after="0" w:line="223" w:lineRule="auto"/>
        <w:tabs>
          <w:tab w:leader="none" w:pos="1234"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9" w:lineRule="exact"/>
        <w:rPr>
          <w:sz w:val="20"/>
          <w:szCs w:val="20"/>
          <w:color w:val="auto"/>
        </w:rPr>
      </w:pPr>
    </w:p>
    <w:p>
      <w:pPr>
        <w:ind w:left="58"/>
        <w:spacing w:after="0" w:line="236" w:lineRule="auto"/>
        <w:rPr>
          <w:sz w:val="20"/>
          <w:szCs w:val="20"/>
          <w:color w:val="auto"/>
        </w:rPr>
      </w:pPr>
      <w:r>
        <w:rPr>
          <w:rFonts w:ascii="Arial" w:cs="Arial" w:eastAsia="Arial" w:hAnsi="Arial"/>
          <w:sz w:val="18"/>
          <w:szCs w:val="18"/>
          <w:color w:val="auto"/>
        </w:rPr>
        <w:t xml:space="preserve">For the avoidance of doubt, a “Benchmark Transition Event </w:t>
      </w:r>
      <w:r>
        <w:rPr>
          <w:rFonts w:ascii="Arial" w:cs="Arial" w:eastAsia="Arial" w:hAnsi="Arial"/>
          <w:sz w:val="18"/>
          <w:szCs w:val="18"/>
          <w:color w:val="0000FF"/>
        </w:rPr>
        <w:t>(LIBOR)</w:t>
      </w:r>
      <w:r>
        <w:rPr>
          <w:rFonts w:ascii="Arial" w:cs="Arial" w:eastAsia="Arial" w:hAnsi="Arial"/>
          <w:sz w:val="18"/>
          <w:szCs w:val="18"/>
          <w:color w:val="auto"/>
        </w:rPr>
        <w:t>” will be deemed to have occurred with respect to any Benchmark if a public statement or publication of information set forth above has occurred with respect to each then-current Available Tenor of such</w:t>
      </w:r>
    </w:p>
    <w:p>
      <w:pPr>
        <w:ind w:left="58"/>
        <w:spacing w:after="0"/>
        <w:rPr>
          <w:sz w:val="20"/>
          <w:szCs w:val="20"/>
          <w:color w:val="auto"/>
        </w:rPr>
      </w:pPr>
      <w:r>
        <w:rPr>
          <w:rFonts w:ascii="Arial" w:cs="Arial" w:eastAsia="Arial" w:hAnsi="Arial"/>
          <w:sz w:val="20"/>
          <w:szCs w:val="20"/>
          <w:color w:val="auto"/>
        </w:rPr>
        <w:t>Benchmark (or the published component used in the calculation thereof).</w:t>
      </w:r>
    </w:p>
    <w:p>
      <w:pPr>
        <w:spacing w:after="0" w:line="200"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0000FF"/>
        </w:rPr>
        <w:t>“Benchmark Transition Event (Non-LIBOR)” means the occurrence of one or more of the following events with respect to the then-current Benchmark:</w:t>
      </w:r>
    </w:p>
    <w:p>
      <w:pPr>
        <w:spacing w:after="0" w:line="263" w:lineRule="exact"/>
        <w:rPr>
          <w:sz w:val="20"/>
          <w:szCs w:val="20"/>
          <w:color w:val="auto"/>
        </w:rPr>
      </w:pPr>
    </w:p>
    <w:p>
      <w:pPr>
        <w:jc w:val="both"/>
        <w:ind w:left="58" w:firstLine="644"/>
        <w:spacing w:after="0" w:line="215" w:lineRule="auto"/>
        <w:tabs>
          <w:tab w:leader="none" w:pos="1234"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265" w:lineRule="exact"/>
        <w:rPr>
          <w:rFonts w:ascii="Arial" w:cs="Arial" w:eastAsia="Arial" w:hAnsi="Arial"/>
          <w:sz w:val="20"/>
          <w:szCs w:val="20"/>
          <w:u w:val="single" w:color="auto"/>
          <w:color w:val="auto"/>
        </w:rPr>
      </w:pPr>
    </w:p>
    <w:p>
      <w:pPr>
        <w:jc w:val="both"/>
        <w:ind w:left="58" w:firstLine="644"/>
        <w:spacing w:after="0" w:line="225" w:lineRule="auto"/>
        <w:tabs>
          <w:tab w:leader="none" w:pos="1234" w:val="left"/>
        </w:tabs>
        <w:numPr>
          <w:ilvl w:val="0"/>
          <w:numId w:val="64"/>
        </w:numPr>
        <w:rPr>
          <w:rFonts w:ascii="Arial" w:cs="Arial" w:eastAsia="Arial" w:hAnsi="Arial"/>
          <w:sz w:val="19"/>
          <w:szCs w:val="19"/>
          <w:u w:val="single" w:color="auto"/>
          <w:color w:val="auto"/>
        </w:rPr>
      </w:pPr>
      <w:r>
        <w:rPr>
          <w:rFonts w:ascii="Arial" w:cs="Arial" w:eastAsia="Arial" w:hAnsi="Arial"/>
          <w:sz w:val="19"/>
          <w:szCs w:val="19"/>
          <w:color w:val="0000FF"/>
        </w:rPr>
        <w:t xml:space="preserve">a public statement or publication of information by the regulatory supervisor for the administrator of such Benchmark (or the published component used in the calculation thereof), the FRB, </w:t>
      </w:r>
      <w:r>
        <w:rPr>
          <w:rFonts w:ascii="Arial" w:cs="Arial" w:eastAsia="Arial" w:hAnsi="Arial"/>
          <w:sz w:val="19"/>
          <w:szCs w:val="19"/>
          <w:color w:val="00C000"/>
        </w:rPr>
        <w:t>the Federal Reserve Bank of New York,</w:t>
      </w:r>
      <w:r>
        <w:rPr>
          <w:rFonts w:ascii="Arial" w:cs="Arial" w:eastAsia="Arial" w:hAnsi="Arial"/>
          <w:sz w:val="19"/>
          <w:szCs w:val="19"/>
          <w:color w:val="0000FF"/>
        </w:rPr>
        <w:t xml:space="preserv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 or</w:t>
      </w:r>
    </w:p>
    <w:p>
      <w:pPr>
        <w:spacing w:after="0" w:line="264" w:lineRule="exact"/>
        <w:rPr>
          <w:rFonts w:ascii="Arial" w:cs="Arial" w:eastAsia="Arial" w:hAnsi="Arial"/>
          <w:sz w:val="19"/>
          <w:szCs w:val="19"/>
          <w:u w:val="single" w:color="auto"/>
          <w:color w:val="auto"/>
        </w:rPr>
      </w:pPr>
    </w:p>
    <w:p>
      <w:pPr>
        <w:jc w:val="both"/>
        <w:ind w:left="58" w:firstLine="644"/>
        <w:spacing w:after="0" w:line="223" w:lineRule="auto"/>
        <w:tabs>
          <w:tab w:leader="none" w:pos="1234"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color w:val="0000FF"/>
        </w:rPr>
        <w:t>a public statement or publication of information by the regulatory supervisor for the administrator of such Benchmark (or the published component used in the calculation thereof)announcing that all Available Tenors of such Benchmark (or such component thereof) are not, or as of a specified future date will not be, representative.</w:t>
      </w:r>
    </w:p>
    <w:p>
      <w:pPr>
        <w:spacing w:after="0" w:line="263" w:lineRule="exact"/>
        <w:rPr>
          <w:sz w:val="20"/>
          <w:szCs w:val="20"/>
          <w:color w:val="auto"/>
        </w:rPr>
      </w:pPr>
    </w:p>
    <w:p>
      <w:pPr>
        <w:ind w:left="698"/>
        <w:spacing w:after="0"/>
        <w:rPr>
          <w:sz w:val="20"/>
          <w:szCs w:val="20"/>
          <w:color w:val="auto"/>
        </w:rPr>
      </w:pPr>
      <w:r>
        <w:rPr>
          <w:rFonts w:ascii="Arial" w:cs="Arial" w:eastAsia="Arial" w:hAnsi="Arial"/>
          <w:sz w:val="18"/>
          <w:szCs w:val="18"/>
          <w:color w:val="0000FF"/>
        </w:rPr>
        <w:t>For the avoidance of doubt, a “Benchmark Transition Event (Non-LIBOR)” will be deemed to have occurred with respect to any</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0000FF"/>
        </w:rPr>
        <w:t>Benchmark if a public statement or publication of information set forth above has occurred with respect to each then-current Available Tenor of such Benchmark (or the published component used in the calculation thereof).</w:t>
      </w:r>
    </w:p>
    <w:p>
      <w:pPr>
        <w:spacing w:after="0" w:line="264" w:lineRule="exact"/>
        <w:rPr>
          <w:sz w:val="20"/>
          <w:szCs w:val="20"/>
          <w:color w:val="auto"/>
        </w:rPr>
      </w:pPr>
    </w:p>
    <w:p>
      <w:pPr>
        <w:ind w:left="698"/>
        <w:spacing w:after="0"/>
        <w:rPr>
          <w:sz w:val="20"/>
          <w:szCs w:val="20"/>
          <w:color w:val="auto"/>
        </w:rPr>
      </w:pPr>
      <w:r>
        <w:rPr>
          <w:rFonts w:ascii="Arial" w:cs="Arial" w:eastAsia="Arial" w:hAnsi="Arial"/>
          <w:sz w:val="19"/>
          <w:szCs w:val="19"/>
          <w:color w:val="0000FF"/>
        </w:rPr>
        <w:t>“Benchmark Transition Start Date” means, in the case of a Benchmark Transition Event (Non- LIBOR), the earlier of (a) the</w:t>
      </w:r>
    </w:p>
    <w:p>
      <w:pPr>
        <w:ind w:left="58"/>
        <w:spacing w:after="0" w:line="226" w:lineRule="auto"/>
        <w:rPr>
          <w:sz w:val="20"/>
          <w:szCs w:val="20"/>
          <w:color w:val="auto"/>
        </w:rPr>
      </w:pPr>
      <w:r>
        <w:rPr>
          <w:rFonts w:ascii="Arial" w:cs="Arial" w:eastAsia="Arial" w:hAnsi="Arial"/>
          <w:sz w:val="18"/>
          <w:szCs w:val="18"/>
          <w:color w:val="0000FF"/>
        </w:rPr>
        <w:t>applicable Benchmark Replacement Date (Non-LIBOR) and (b) if such Benchmark Transition Event (Non-LIBOR) is a public statement or publication of information of a prospective event, the 90th day prior to the expected date of such event as of such public statement or</w:t>
      </w:r>
    </w:p>
    <w:p>
      <w:pPr>
        <w:spacing w:after="0" w:line="2"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0000FF"/>
        </w:rPr>
        <w:t>publication of information (or if the expected date of such prospective event is fewer than 90 days after such statement or publication, the date of such statement or publication).</w:t>
      </w:r>
    </w:p>
    <w:p>
      <w:pPr>
        <w:spacing w:after="0" w:line="264" w:lineRule="exact"/>
        <w:rPr>
          <w:sz w:val="20"/>
          <w:szCs w:val="20"/>
          <w:color w:val="auto"/>
        </w:rPr>
      </w:pPr>
    </w:p>
    <w:p>
      <w:pPr>
        <w:ind w:left="58" w:right="380" w:firstLine="648"/>
        <w:spacing w:after="0" w:line="229" w:lineRule="auto"/>
        <w:rPr>
          <w:sz w:val="20"/>
          <w:szCs w:val="20"/>
          <w:color w:val="auto"/>
        </w:rPr>
      </w:pPr>
      <w:r>
        <w:rPr>
          <w:rFonts w:ascii="Arial" w:cs="Arial" w:eastAsia="Arial" w:hAnsi="Arial"/>
          <w:sz w:val="20"/>
          <w:szCs w:val="20"/>
          <w:color w:val="auto"/>
        </w:rPr>
        <w:t>“Benchmark Unavailability Period</w:t>
      </w:r>
      <w:r>
        <w:rPr>
          <w:rFonts w:ascii="Arial" w:cs="Arial" w:eastAsia="Arial" w:hAnsi="Arial"/>
          <w:sz w:val="20"/>
          <w:szCs w:val="20"/>
          <w:color w:val="0000FF"/>
        </w:rPr>
        <w:t>” means either a Benchmark Unavailability Period (LIBOR) or a Benchmark Unavailability</w:t>
      </w:r>
      <w:r>
        <w:rPr>
          <w:rFonts w:ascii="Arial" w:cs="Arial" w:eastAsia="Arial" w:hAnsi="Arial"/>
          <w:sz w:val="20"/>
          <w:szCs w:val="20"/>
          <w:color w:val="auto"/>
        </w:rPr>
        <w:t xml:space="preserve"> </w:t>
      </w:r>
      <w:r>
        <w:rPr>
          <w:rFonts w:ascii="Arial" w:cs="Arial" w:eastAsia="Arial" w:hAnsi="Arial"/>
          <w:sz w:val="20"/>
          <w:szCs w:val="20"/>
          <w:color w:val="0000FF"/>
        </w:rPr>
        <w:t>Period (Non-LIBOR), as the context so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6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8" w:name="page89"/>
    <w:bookmarkEnd w:id="88"/>
    <w:p>
      <w:pPr>
        <w:spacing w:after="0" w:line="209" w:lineRule="exact"/>
        <w:rPr>
          <w:sz w:val="20"/>
          <w:szCs w:val="20"/>
          <w:color w:val="auto"/>
        </w:rPr>
      </w:pPr>
    </w:p>
    <w:p>
      <w:pPr>
        <w:ind w:left="698"/>
        <w:spacing w:after="0"/>
        <w:rPr>
          <w:sz w:val="20"/>
          <w:szCs w:val="20"/>
          <w:color w:val="auto"/>
        </w:rPr>
      </w:pPr>
      <w:r>
        <w:rPr>
          <w:rFonts w:ascii="Arial" w:cs="Arial" w:eastAsia="Arial" w:hAnsi="Arial"/>
          <w:sz w:val="18"/>
          <w:szCs w:val="18"/>
          <w:color w:val="0000FF"/>
        </w:rPr>
        <w:t>“Benchmark Unavailability Period (LIBOR)</w:t>
      </w:r>
      <w:r>
        <w:rPr>
          <w:rFonts w:ascii="Arial" w:cs="Arial" w:eastAsia="Arial" w:hAnsi="Arial"/>
          <w:sz w:val="18"/>
          <w:szCs w:val="18"/>
          <w:color w:val="000000"/>
        </w:rPr>
        <w:t>” means the period (if any) (x) beginning at the time that a Benchmark Replacement</w:t>
      </w:r>
    </w:p>
    <w:p>
      <w:pPr>
        <w:spacing w:after="0" w:line="12" w:lineRule="exact"/>
        <w:rPr>
          <w:sz w:val="20"/>
          <w:szCs w:val="20"/>
          <w:color w:val="auto"/>
        </w:rPr>
      </w:pPr>
    </w:p>
    <w:p>
      <w:pPr>
        <w:ind w:left="58" w:right="20"/>
        <w:spacing w:after="0" w:line="255" w:lineRule="auto"/>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color w:val="0000FF"/>
        </w:rPr>
        <w:t>(LIBOR)</w:t>
      </w:r>
      <w:r>
        <w:rPr>
          <w:rFonts w:ascii="Arial" w:cs="Arial" w:eastAsia="Arial" w:hAnsi="Arial"/>
          <w:sz w:val="16"/>
          <w:szCs w:val="16"/>
          <w:color w:val="auto"/>
        </w:rPr>
        <w:t xml:space="preserve"> pursuant to clauses (a) or (b) of that definition has occurred if, at such time, no Benchmark Replacement has replaced the then-current Benchmark for all purposes hereunder and under any Loan Document in accordance with Section 5.8(c) and (y) ending at the</w:t>
      </w:r>
    </w:p>
    <w:p>
      <w:pPr>
        <w:spacing w:after="0" w:line="1"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auto"/>
        </w:rPr>
        <w:t>time that a Benchmark Replacement has replaced the then-current Benchmark for all purposes hereunder and under any Loan Document in accordance with Section 5.8(c).</w:t>
      </w:r>
    </w:p>
    <w:p>
      <w:pPr>
        <w:spacing w:after="0" w:line="264"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0000FF"/>
        </w:rPr>
        <w:t>“Benchmark Unavailability Period (Non-LIBOR)” means the period (if any) (x) beginning at the time that a Benchmark Replacement Date (Non-LIBOR) has occurred if, at such time, no Benchmark Replacement has replaced the then-current Benchmark for</w:t>
      </w:r>
    </w:p>
    <w:p>
      <w:pPr>
        <w:ind w:left="58"/>
        <w:spacing w:after="0" w:line="235" w:lineRule="auto"/>
        <w:rPr>
          <w:sz w:val="20"/>
          <w:szCs w:val="20"/>
          <w:color w:val="auto"/>
        </w:rPr>
      </w:pPr>
      <w:r>
        <w:rPr>
          <w:rFonts w:ascii="Arial" w:cs="Arial" w:eastAsia="Arial" w:hAnsi="Arial"/>
          <w:sz w:val="18"/>
          <w:szCs w:val="18"/>
          <w:color w:val="0000FF"/>
        </w:rPr>
        <w:t>all purposes hereunder and under any Loan Document in accordance with Section 5.8(c)(i) and (y) ending at the time that a Benchmark</w:t>
      </w:r>
    </w:p>
    <w:p>
      <w:pPr>
        <w:ind w:left="58" w:right="20"/>
        <w:spacing w:after="0" w:line="220" w:lineRule="auto"/>
        <w:rPr>
          <w:sz w:val="20"/>
          <w:szCs w:val="20"/>
          <w:color w:val="auto"/>
        </w:rPr>
      </w:pPr>
      <w:r>
        <w:rPr>
          <w:rFonts w:ascii="Arial" w:cs="Arial" w:eastAsia="Arial" w:hAnsi="Arial"/>
          <w:sz w:val="20"/>
          <w:szCs w:val="20"/>
          <w:color w:val="0000FF"/>
        </w:rPr>
        <w:t>Replacement has replaced the then-current Benchmark for all purposes hereunder and under any Loan Document in accordance with Section 5.8(c)(i).</w:t>
      </w:r>
    </w:p>
    <w:p>
      <w:pPr>
        <w:spacing w:after="0" w:line="264" w:lineRule="exact"/>
        <w:rPr>
          <w:sz w:val="20"/>
          <w:szCs w:val="20"/>
          <w:color w:val="auto"/>
        </w:rPr>
      </w:pPr>
    </w:p>
    <w:p>
      <w:pPr>
        <w:ind w:left="58" w:right="700" w:firstLine="648"/>
        <w:spacing w:after="0" w:line="236" w:lineRule="auto"/>
        <w:rPr>
          <w:sz w:val="20"/>
          <w:szCs w:val="20"/>
          <w:color w:val="auto"/>
        </w:rPr>
      </w:pPr>
      <w:r>
        <w:rPr>
          <w:rFonts w:ascii="Arial" w:cs="Arial" w:eastAsia="Arial" w:hAnsi="Arial"/>
          <w:sz w:val="20"/>
          <w:szCs w:val="20"/>
          <w:color w:val="auto"/>
        </w:rPr>
        <w:t>“Beneficial Ownership Certification” means any certification regarding beneficial ownership as required by the Beneficial Ownership Regulation.</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“Beneficial Ownership Regulation” means 31 CFR § 1010.230.</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“Benefit Plan” means any of (a) an “employee benefit plan” (as defined in ERISA) that is subject to Title I of ERISA, (b) a “plan”</w:t>
      </w:r>
    </w:p>
    <w:p>
      <w:pPr>
        <w:spacing w:after="0" w:line="12" w:lineRule="exact"/>
        <w:rPr>
          <w:sz w:val="20"/>
          <w:szCs w:val="20"/>
          <w:color w:val="auto"/>
        </w:rPr>
      </w:pPr>
    </w:p>
    <w:p>
      <w:pPr>
        <w:ind w:left="58" w:right="20"/>
        <w:spacing w:after="0" w:line="250" w:lineRule="auto"/>
        <w:rPr>
          <w:sz w:val="20"/>
          <w:szCs w:val="20"/>
          <w:color w:val="auto"/>
        </w:rPr>
      </w:pPr>
      <w:r>
        <w:rPr>
          <w:rFonts w:ascii="Arial" w:cs="Arial" w:eastAsia="Arial" w:hAnsi="Arial"/>
          <w:sz w:val="18"/>
          <w:szCs w:val="18"/>
          <w:color w:val="auto"/>
        </w:rPr>
        <w:t>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1" w:lineRule="exact"/>
        <w:rPr>
          <w:sz w:val="20"/>
          <w:szCs w:val="20"/>
          <w:color w:val="auto"/>
        </w:rPr>
      </w:pPr>
    </w:p>
    <w:p>
      <w:pPr>
        <w:ind w:left="698"/>
        <w:spacing w:after="0"/>
        <w:rPr>
          <w:sz w:val="20"/>
          <w:szCs w:val="20"/>
          <w:color w:val="auto"/>
        </w:rPr>
      </w:pPr>
      <w:r>
        <w:rPr>
          <w:rFonts w:ascii="Arial" w:cs="Arial" w:eastAsia="Arial" w:hAnsi="Arial"/>
          <w:sz w:val="20"/>
          <w:szCs w:val="20"/>
          <w:color w:val="auto"/>
        </w:rPr>
        <w:t>“Borrower Materials” has the meaning assigned thereto in Section 8.2.</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“Borrowers” means, collectively, the US Borrowers and the Canadian Borrowers.</w:t>
      </w:r>
    </w:p>
    <w:p>
      <w:pPr>
        <w:spacing w:after="0" w:line="27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“Business Day” means:</w:t>
      </w:r>
    </w:p>
    <w:p>
      <w:pPr>
        <w:spacing w:after="0" w:line="283" w:lineRule="exact"/>
        <w:rPr>
          <w:sz w:val="20"/>
          <w:szCs w:val="20"/>
          <w:color w:val="auto"/>
        </w:rPr>
      </w:pPr>
    </w:p>
    <w:p>
      <w:pPr>
        <w:ind w:left="58" w:right="20" w:firstLine="644"/>
        <w:spacing w:after="0" w:line="285" w:lineRule="auto"/>
        <w:tabs>
          <w:tab w:leader="none" w:pos="1234"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56" w:lineRule="exact"/>
        <w:rPr>
          <w:rFonts w:ascii="Arial" w:cs="Arial" w:eastAsia="Arial" w:hAnsi="Arial"/>
          <w:sz w:val="18"/>
          <w:szCs w:val="18"/>
          <w:color w:val="auto"/>
        </w:rPr>
      </w:pPr>
    </w:p>
    <w:p>
      <w:pPr>
        <w:jc w:val="both"/>
        <w:ind w:left="58" w:firstLine="644"/>
        <w:spacing w:after="0" w:line="217" w:lineRule="auto"/>
        <w:tabs>
          <w:tab w:leader="none" w:pos="1234" w:val="left"/>
        </w:tabs>
        <w:numPr>
          <w:ilvl w:val="1"/>
          <w:numId w:val="66"/>
        </w:numPr>
        <w:rPr>
          <w:rFonts w:ascii="Arial" w:cs="Arial" w:eastAsia="Arial" w:hAnsi="Arial"/>
          <w:sz w:val="20"/>
          <w:szCs w:val="20"/>
          <w:color w:val="auto"/>
        </w:rPr>
      </w:pPr>
      <w:r>
        <w:rPr>
          <w:rFonts w:ascii="Arial" w:cs="Arial" w:eastAsia="Arial" w:hAnsi="Arial"/>
          <w:sz w:val="20"/>
          <w:szCs w:val="20"/>
          <w:color w:val="0000FF"/>
        </w:rPr>
        <w:t xml:space="preserve">(i) </w:t>
      </w:r>
      <w:r>
        <w:rPr>
          <w:rFonts w:ascii="Arial" w:cs="Arial" w:eastAsia="Arial" w:hAnsi="Arial"/>
          <w:sz w:val="20"/>
          <w:szCs w:val="20"/>
          <w:color w:val="000000"/>
        </w:rPr>
        <w:t>with respect to all notices and determinations in connection with, and payments of principal and interest on, any LIBOR</w:t>
      </w:r>
      <w:r>
        <w:rPr>
          <w:rFonts w:ascii="Arial" w:cs="Arial" w:eastAsia="Arial" w:hAnsi="Arial"/>
          <w:sz w:val="20"/>
          <w:szCs w:val="20"/>
          <w:color w:val="0000FF"/>
        </w:rPr>
        <w:t xml:space="preserve"> </w:t>
      </w:r>
      <w:r>
        <w:rPr>
          <w:rFonts w:ascii="Arial" w:cs="Arial" w:eastAsia="Arial" w:hAnsi="Arial"/>
          <w:sz w:val="20"/>
          <w:szCs w:val="20"/>
          <w:color w:val="000000"/>
        </w:rPr>
        <w:t xml:space="preserve">Rate Loan, or any Base Rate Loan as to which the interest rate is determined by reference to LIBOR, any day that is a Business Day described in clause (a) and that is also a London Banking Day </w:t>
      </w:r>
      <w:r>
        <w:rPr>
          <w:rFonts w:ascii="Arial" w:cs="Arial" w:eastAsia="Arial" w:hAnsi="Arial"/>
          <w:sz w:val="20"/>
          <w:szCs w:val="20"/>
          <w:color w:val="0000FF"/>
        </w:rPr>
        <w:t>and (ii) with respect to all notices and determinations in connection with,</w:t>
      </w:r>
      <w:r>
        <w:rPr>
          <w:rFonts w:ascii="Arial" w:cs="Arial" w:eastAsia="Arial" w:hAnsi="Arial"/>
          <w:sz w:val="20"/>
          <w:szCs w:val="20"/>
          <w:color w:val="000000"/>
        </w:rPr>
        <w:t xml:space="preserve"> </w:t>
      </w:r>
      <w:r>
        <w:rPr>
          <w:rFonts w:ascii="Arial" w:cs="Arial" w:eastAsia="Arial" w:hAnsi="Arial"/>
          <w:sz w:val="20"/>
          <w:szCs w:val="20"/>
          <w:color w:val="0000FF"/>
        </w:rPr>
        <w:t>and payments of principal and interest on, any SOFR Loan, or any Base Rate Loan as to which the interest rate is determined by reference to Adjusted Term SOFR, any day that is a Business Day described in clause (a) and that is also a day on which the Federal Reserve Bank of New York is open</w:t>
      </w:r>
      <w:r>
        <w:rPr>
          <w:rFonts w:ascii="Arial" w:cs="Arial" w:eastAsia="Arial" w:hAnsi="Arial"/>
          <w:sz w:val="20"/>
          <w:szCs w:val="20"/>
          <w:color w:val="000000"/>
        </w:rPr>
        <w:t>; and</w:t>
      </w:r>
    </w:p>
    <w:p>
      <w:pPr>
        <w:spacing w:after="0" w:line="250" w:lineRule="exact"/>
        <w:rPr>
          <w:rFonts w:ascii="Arial" w:cs="Arial" w:eastAsia="Arial" w:hAnsi="Arial"/>
          <w:sz w:val="20"/>
          <w:szCs w:val="20"/>
          <w:color w:val="auto"/>
        </w:rPr>
      </w:pPr>
    </w:p>
    <w:p>
      <w:pPr>
        <w:ind w:left="58" w:right="180" w:firstLine="644"/>
        <w:spacing w:after="0" w:line="236" w:lineRule="auto"/>
        <w:tabs>
          <w:tab w:leader="none" w:pos="1234" w:val="left"/>
        </w:tabs>
        <w:numPr>
          <w:ilvl w:val="1"/>
          <w:numId w:val="66"/>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Canadian Revolving Credit Loan, any day that is a Business Day described in clause</w:t>
      </w:r>
    </w:p>
    <w:p>
      <w:pPr>
        <w:spacing w:after="0" w:line="74" w:lineRule="exact"/>
        <w:rPr>
          <w:rFonts w:ascii="Arial" w:cs="Arial" w:eastAsia="Arial" w:hAnsi="Arial"/>
          <w:sz w:val="20"/>
          <w:szCs w:val="20"/>
          <w:color w:val="auto"/>
        </w:rPr>
      </w:pPr>
    </w:p>
    <w:p>
      <w:pPr>
        <w:ind w:left="318" w:hanging="265"/>
        <w:spacing w:after="0"/>
        <w:tabs>
          <w:tab w:leader="none" w:pos="318"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and on which banks are open for business in London, England and Toronto, Canada. “Calculation Date” has the meaning</w:t>
      </w:r>
    </w:p>
    <w:p>
      <w:pPr>
        <w:spacing w:after="0" w:line="21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assigned thereto in the definition of Applicable Margin.</w:t>
      </w:r>
    </w:p>
    <w:p>
      <w:pPr>
        <w:spacing w:after="0" w:line="94" w:lineRule="exact"/>
        <w:rPr>
          <w:sz w:val="20"/>
          <w:szCs w:val="20"/>
          <w:color w:val="auto"/>
        </w:rPr>
      </w:pPr>
    </w:p>
    <w:p>
      <w:pPr>
        <w:jc w:val="both"/>
        <w:ind w:left="58" w:firstLine="648"/>
        <w:spacing w:after="0" w:line="227" w:lineRule="auto"/>
        <w:rPr>
          <w:sz w:val="20"/>
          <w:szCs w:val="20"/>
          <w:color w:val="auto"/>
        </w:rPr>
      </w:pPr>
      <w:r>
        <w:rPr>
          <w:rFonts w:ascii="Arial" w:cs="Arial" w:eastAsia="Arial" w:hAnsi="Arial"/>
          <w:sz w:val="20"/>
          <w:szCs w:val="20"/>
          <w:color w:val="auto"/>
        </w:rPr>
        <w:t>“Canadian AML Laws” means the Proceeds of Crime (Money Laundering) and Terrorist Financing Act (Canada), as amended, and any other applicable anti-money laundering, anti-terrorist financing, government sanction and “know your client” laws in effect in Canada from time to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6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9" w:name="page90"/>
    <w:bookmarkEnd w:id="89"/>
    <w:p>
      <w:pPr>
        <w:ind w:left="698"/>
        <w:spacing w:after="0"/>
        <w:rPr>
          <w:sz w:val="20"/>
          <w:szCs w:val="20"/>
          <w:color w:val="auto"/>
        </w:rPr>
      </w:pPr>
      <w:r>
        <w:rPr>
          <w:rFonts w:ascii="Arial" w:cs="Arial" w:eastAsia="Arial" w:hAnsi="Arial"/>
          <w:sz w:val="18"/>
          <w:szCs w:val="18"/>
          <w:color w:val="auto"/>
        </w:rPr>
        <w:t>“Canadian Base Rate” means at any time, the greater of (a) the Canadian Prime Rate and (b) except during any period of time</w:t>
      </w:r>
    </w:p>
    <w:p>
      <w:pPr>
        <w:spacing w:after="0" w:line="12" w:lineRule="exact"/>
        <w:rPr>
          <w:sz w:val="20"/>
          <w:szCs w:val="20"/>
          <w:color w:val="auto"/>
        </w:rPr>
      </w:pPr>
    </w:p>
    <w:p>
      <w:pPr>
        <w:ind w:left="58" w:right="20"/>
        <w:spacing w:after="0" w:line="255" w:lineRule="auto"/>
        <w:rPr>
          <w:sz w:val="20"/>
          <w:szCs w:val="20"/>
          <w:color w:val="auto"/>
        </w:rPr>
      </w:pPr>
      <w:r>
        <w:rPr>
          <w:rFonts w:ascii="Arial" w:cs="Arial" w:eastAsia="Arial" w:hAnsi="Arial"/>
          <w:sz w:val="16"/>
          <w:szCs w:val="16"/>
          <w:color w:val="auto"/>
        </w:rPr>
        <w:t>during which a notice delivered to Centuri under Section 5.8 shall remain in effect, the annual rate of interest equal to the sum of (i) the CDOR Rate for an Interest Period of one month at such time plus (ii) one percent (1%) per annum; each change in the Canadian Base Rate</w:t>
      </w:r>
    </w:p>
    <w:p>
      <w:pPr>
        <w:spacing w:after="0" w:line="1" w:lineRule="exact"/>
        <w:rPr>
          <w:sz w:val="20"/>
          <w:szCs w:val="20"/>
          <w:color w:val="auto"/>
        </w:rPr>
      </w:pPr>
    </w:p>
    <w:p>
      <w:pPr>
        <w:ind w:left="58"/>
        <w:spacing w:after="0"/>
        <w:rPr>
          <w:sz w:val="20"/>
          <w:szCs w:val="20"/>
          <w:color w:val="auto"/>
        </w:rPr>
      </w:pPr>
      <w:r>
        <w:rPr>
          <w:rFonts w:ascii="Arial" w:cs="Arial" w:eastAsia="Arial" w:hAnsi="Arial"/>
          <w:sz w:val="18"/>
          <w:szCs w:val="18"/>
          <w:color w:val="auto"/>
        </w:rPr>
        <w:t>shall take effect simultaneously with the corresponding change or changes in the Canadian Prime Rate or the CDOR Rate, as applicable.</w:t>
      </w:r>
    </w:p>
    <w:p>
      <w:pPr>
        <w:spacing w:after="0" w:line="223"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“Canadian Base Rate Loan” means any Canadian Loan bearing interest at a rate based upon the Canadian Base Rate as provided in Section 5.1(a).</w:t>
      </w:r>
    </w:p>
    <w:p>
      <w:pPr>
        <w:spacing w:after="0" w:line="263"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“Canadian Borrowers” means, collectively, Centuri Canada and each Additional Borrower approved by the Lenders that becomes a party hereto as a Canadian Borrower.</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“Canadian Cash Management Bank” means any Person that, (a) at the time it enters into a Cash Management Agreement with a</w:t>
      </w:r>
    </w:p>
    <w:p>
      <w:pPr>
        <w:spacing w:after="0" w:line="12" w:lineRule="exact"/>
        <w:rPr>
          <w:sz w:val="20"/>
          <w:szCs w:val="20"/>
          <w:color w:val="auto"/>
        </w:rPr>
      </w:pPr>
    </w:p>
    <w:p>
      <w:pPr>
        <w:ind w:left="58"/>
        <w:spacing w:after="0" w:line="215" w:lineRule="auto"/>
        <w:rPr>
          <w:sz w:val="20"/>
          <w:szCs w:val="20"/>
          <w:color w:val="auto"/>
        </w:rPr>
      </w:pPr>
      <w:r>
        <w:rPr>
          <w:rFonts w:ascii="Arial" w:cs="Arial" w:eastAsia="Arial" w:hAnsi="Arial"/>
          <w:sz w:val="19"/>
          <w:szCs w:val="19"/>
          <w:color w:val="auto"/>
        </w:rPr>
        <w:t>Canadian Credit Party or a Foreign Subsidiary, is a Lender, an Affiliate of a Lender, the Administrative Agent or an Affiliate of the Administrative Agent, or (b) at the time it (or its Affiliate) becomes a Lender (including on the Closing Date), is a party to a Cash</w:t>
      </w:r>
    </w:p>
    <w:p>
      <w:pPr>
        <w:ind w:left="58" w:right="20"/>
        <w:spacing w:after="0" w:line="227" w:lineRule="auto"/>
        <w:rPr>
          <w:sz w:val="20"/>
          <w:szCs w:val="20"/>
          <w:color w:val="auto"/>
        </w:rPr>
      </w:pPr>
      <w:r>
        <w:rPr>
          <w:rFonts w:ascii="Arial" w:cs="Arial" w:eastAsia="Arial" w:hAnsi="Arial"/>
          <w:sz w:val="20"/>
          <w:szCs w:val="20"/>
          <w:color w:val="auto"/>
        </w:rPr>
        <w:t>Management Agreement with a Canadian Credit Party or a Foreign Subsidiary, in each case in its capacity as a party to such Cash Management Agreement.</w:t>
      </w:r>
    </w:p>
    <w:p>
      <w:pPr>
        <w:spacing w:after="0" w:line="197"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“Canadian Collateral Agreement” means that certain Second Amended and Restated Canadian Collateral Agreement of even date herewith executed by the Canadian Credit Parties in favor of the Administrative Agent, for the ratable benefit of the Canadian Secured</w:t>
      </w:r>
    </w:p>
    <w:p>
      <w:pPr>
        <w:ind w:left="58"/>
        <w:spacing w:after="0"/>
        <w:rPr>
          <w:sz w:val="20"/>
          <w:szCs w:val="20"/>
          <w:color w:val="auto"/>
        </w:rPr>
      </w:pPr>
      <w:r>
        <w:rPr>
          <w:rFonts w:ascii="Arial" w:cs="Arial" w:eastAsia="Arial" w:hAnsi="Arial"/>
          <w:sz w:val="20"/>
          <w:szCs w:val="20"/>
          <w:color w:val="auto"/>
        </w:rPr>
        <w:t>Parties.</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“Canadian Credit Parties” means, collectively, the Canadian Borrowers and the Canadian Subsidiary Guarantors.</w:t>
      </w:r>
    </w:p>
    <w:p>
      <w:pPr>
        <w:spacing w:after="0" w:line="229" w:lineRule="exact"/>
        <w:rPr>
          <w:sz w:val="20"/>
          <w:szCs w:val="20"/>
          <w:color w:val="auto"/>
        </w:rPr>
      </w:pPr>
    </w:p>
    <w:p>
      <w:pPr>
        <w:ind w:left="58" w:right="20" w:firstLine="648"/>
        <w:spacing w:after="0" w:line="265" w:lineRule="auto"/>
        <w:rPr>
          <w:sz w:val="20"/>
          <w:szCs w:val="20"/>
          <w:color w:val="auto"/>
        </w:rPr>
      </w:pPr>
      <w:r>
        <w:rPr>
          <w:rFonts w:ascii="Arial" w:cs="Arial" w:eastAsia="Arial" w:hAnsi="Arial"/>
          <w:sz w:val="16"/>
          <w:szCs w:val="16"/>
          <w:color w:val="auto"/>
        </w:rPr>
        <w:t>“Canadian Credit Party Guarantee Agreement” means that certain Amended and Restated Canadian Credit Party Guarantee Agreement dated as of the date hereof executed by the Canadian Credit Parties in favor of the Administrative Agent, for the ratable benefit</w:t>
      </w:r>
    </w:p>
    <w:p>
      <w:pPr>
        <w:spacing w:after="0" w:line="1" w:lineRule="exact"/>
        <w:rPr>
          <w:sz w:val="20"/>
          <w:szCs w:val="20"/>
          <w:color w:val="auto"/>
        </w:rPr>
      </w:pPr>
    </w:p>
    <w:p>
      <w:pPr>
        <w:ind w:left="58"/>
        <w:spacing w:after="0"/>
        <w:rPr>
          <w:sz w:val="20"/>
          <w:szCs w:val="20"/>
          <w:color w:val="auto"/>
        </w:rPr>
      </w:pPr>
      <w:r>
        <w:rPr>
          <w:rFonts w:ascii="Arial" w:cs="Arial" w:eastAsia="Arial" w:hAnsi="Arial"/>
          <w:sz w:val="20"/>
          <w:szCs w:val="20"/>
          <w:color w:val="auto"/>
        </w:rPr>
        <w:t>of the Canadian Secured Parties.</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“Canadian Dollar” or “C$” means, at the time of determination,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6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90" w:name="page91"/>
    <w:bookmarkEnd w:id="90"/>
    <w:p>
      <w:pPr>
        <w:ind w:left="5638"/>
        <w:spacing w:after="0"/>
        <w:rPr>
          <w:sz w:val="20"/>
          <w:szCs w:val="20"/>
          <w:color w:val="auto"/>
        </w:rPr>
      </w:pPr>
      <w:r>
        <w:rPr>
          <w:rFonts w:ascii="Arial" w:cs="Arial" w:eastAsia="Arial" w:hAnsi="Arial"/>
          <w:sz w:val="18"/>
          <w:szCs w:val="18"/>
          <w:color w:val="auto"/>
        </w:rPr>
        <w:t>“Canadian Employee Benefit Plan” means any Canadian Pension</w:t>
      </w:r>
    </w:p>
    <w:p>
      <w:pPr>
        <w:ind w:left="58"/>
        <w:spacing w:after="0" w:line="183" w:lineRule="auto"/>
        <w:tabs>
          <w:tab w:leader="none" w:pos="5618" w:val="left"/>
        </w:tabs>
        <w:rPr>
          <w:sz w:val="20"/>
          <w:szCs w:val="20"/>
          <w:color w:val="auto"/>
        </w:rPr>
      </w:pPr>
      <w:r>
        <w:rPr>
          <w:rFonts w:ascii="Arial" w:cs="Arial" w:eastAsia="Arial" w:hAnsi="Arial"/>
          <w:sz w:val="28"/>
          <w:szCs w:val="28"/>
          <w:color w:val="auto"/>
          <w:vertAlign w:val="subscript"/>
        </w:rPr>
        <w:t>Plan.</w:t>
      </w:r>
      <w:r>
        <w:rPr>
          <w:sz w:val="20"/>
          <w:szCs w:val="20"/>
          <w:color w:val="auto"/>
        </w:rPr>
        <w:tab/>
      </w:r>
      <w:r>
        <w:rPr>
          <w:rFonts w:ascii="Arial" w:cs="Arial" w:eastAsia="Arial" w:hAnsi="Arial"/>
          <w:sz w:val="16"/>
          <w:szCs w:val="16"/>
          <w:color w:val="auto"/>
        </w:rPr>
        <w:t>Plan or Canadian Multiemployer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“Canadian Hedge Bank” means any Person that, (a) at the time it enters into a Hedge Agreement with a Canadian Credit Party or a Foreign Subsidiary permitted under Article IX, is a Lender, an Affiliate of a Lender, the Administrative Agent or an Affiliate of the</w:t>
      </w:r>
    </w:p>
    <w:p>
      <w:pPr>
        <w:ind w:left="58"/>
        <w:spacing w:after="0" w:line="232" w:lineRule="auto"/>
        <w:rPr>
          <w:sz w:val="20"/>
          <w:szCs w:val="20"/>
          <w:color w:val="auto"/>
        </w:rPr>
      </w:pPr>
      <w:r>
        <w:rPr>
          <w:rFonts w:ascii="Arial" w:cs="Arial" w:eastAsia="Arial" w:hAnsi="Arial"/>
          <w:sz w:val="19"/>
          <w:szCs w:val="19"/>
          <w:color w:val="auto"/>
        </w:rPr>
        <w:t>Administrative Agent or (b) at the time it (or its Affiliate) becomes a Lender (including on the Closing Date), is a party to a Hedge Agreement with a Canadian Credit Party or a Foreign Subsidiary, in each case in its capacity as a party to such Hedge Agreement.</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“Canadian L/C Obligations” means at any time, an amount equal to the sum of (a) the aggregate undrawn and unexpired amount of the then outstanding Canadian Letters of Credit and (b) the aggregate amount of drawings under Canadian Letters of Credit which have</w:t>
      </w:r>
    </w:p>
    <w:p>
      <w:pPr>
        <w:ind w:left="58"/>
        <w:spacing w:after="0"/>
        <w:rPr>
          <w:sz w:val="20"/>
          <w:szCs w:val="20"/>
          <w:color w:val="auto"/>
        </w:rPr>
      </w:pPr>
      <w:r>
        <w:rPr>
          <w:rFonts w:ascii="Arial" w:cs="Arial" w:eastAsia="Arial" w:hAnsi="Arial"/>
          <w:sz w:val="20"/>
          <w:szCs w:val="20"/>
          <w:color w:val="auto"/>
        </w:rPr>
        <w:t>not then been reimbursed pursuant to Section 3.5.</w:t>
      </w:r>
    </w:p>
    <w:p>
      <w:pPr>
        <w:spacing w:after="0" w:line="267"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“Canadian Letters of Credit” means the collective reference to letters of credit denominated in Canadian Dollars pursuant to Section 3.1 (including any applicable Existing Letters of Credit). Notwithstanding anything to the contrary contained herein, a letter of</w:t>
      </w:r>
    </w:p>
    <w:p>
      <w:pPr>
        <w:ind w:left="58"/>
        <w:spacing w:after="0"/>
        <w:rPr>
          <w:sz w:val="20"/>
          <w:szCs w:val="20"/>
          <w:color w:val="auto"/>
        </w:rPr>
      </w:pPr>
      <w:r>
        <w:rPr>
          <w:rFonts w:ascii="Arial" w:cs="Arial" w:eastAsia="Arial" w:hAnsi="Arial"/>
          <w:sz w:val="20"/>
          <w:szCs w:val="20"/>
          <w:color w:val="auto"/>
        </w:rPr>
        <w:t>credit issued by any Issuing Lender</w:t>
      </w: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7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57" w:right="439" w:bottom="1440" w:gutter="0" w:footer="0" w:header="0"/>
        </w:sectPr>
      </w:pPr>
    </w:p>
    <w:bookmarkStart w:id="91" w:name="page92"/>
    <w:bookmarkEnd w:id="91"/>
    <w:p>
      <w:pPr>
        <w:ind w:left="58"/>
        <w:spacing w:after="0"/>
        <w:rPr>
          <w:sz w:val="20"/>
          <w:szCs w:val="20"/>
          <w:color w:val="auto"/>
        </w:rPr>
      </w:pPr>
      <w:r>
        <w:rPr>
          <w:rFonts w:ascii="Arial" w:cs="Arial" w:eastAsia="Arial" w:hAnsi="Arial"/>
          <w:sz w:val="18"/>
          <w:szCs w:val="18"/>
          <w:color w:val="auto"/>
        </w:rPr>
        <w:t>(other than Wells Fargo at any time it is also acting as Administrative Agent) shall not be a “Canadian Letter of Credit” for purposes of the</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Loan Documents until such time as the Administrative Agent has been notified in writing of the issuance thereof by the applicable Issuing Lender.</w:t>
      </w:r>
    </w:p>
    <w:p>
      <w:pPr>
        <w:spacing w:after="0" w:line="210" w:lineRule="exact"/>
        <w:rPr>
          <w:sz w:val="20"/>
          <w:szCs w:val="20"/>
          <w:color w:val="auto"/>
        </w:rPr>
      </w:pPr>
    </w:p>
    <w:p>
      <w:pPr>
        <w:ind w:left="58" w:firstLine="648"/>
        <w:spacing w:after="0" w:line="265" w:lineRule="auto"/>
        <w:rPr>
          <w:sz w:val="20"/>
          <w:szCs w:val="20"/>
          <w:color w:val="auto"/>
        </w:rPr>
      </w:pPr>
      <w:r>
        <w:rPr>
          <w:rFonts w:ascii="Arial" w:cs="Arial" w:eastAsia="Arial" w:hAnsi="Arial"/>
          <w:sz w:val="16"/>
          <w:szCs w:val="16"/>
          <w:color w:val="auto"/>
        </w:rPr>
        <w:t>“Canadian Multiemployer Plan” means a “multi-employer pension plan” as defined by Canadian Pension Laws and registered in accordance with Canadian Pension Laws and as to which any Credit Party or any Subsidiary thereof is making, or is accruing an obligation</w:t>
      </w:r>
    </w:p>
    <w:p>
      <w:pPr>
        <w:spacing w:after="0" w:line="1"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to make, or has accrued an obligation to make contributions within the preceding six (6) years, and shall not include any Multiemployer Plan.</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“Canadian Obligations” means, in each case, whether now in existence or hereafter arising: (a) the principal of and interest on</w:t>
      </w:r>
    </w:p>
    <w:p>
      <w:pPr>
        <w:spacing w:after="0" w:line="12" w:lineRule="exact"/>
        <w:rPr>
          <w:sz w:val="20"/>
          <w:szCs w:val="20"/>
          <w:color w:val="auto"/>
        </w:rPr>
      </w:pPr>
    </w:p>
    <w:p>
      <w:pPr>
        <w:ind w:left="58"/>
        <w:spacing w:after="0" w:line="215" w:lineRule="auto"/>
        <w:rPr>
          <w:sz w:val="20"/>
          <w:szCs w:val="20"/>
          <w:color w:val="auto"/>
        </w:rPr>
      </w:pPr>
      <w:r>
        <w:rPr>
          <w:rFonts w:ascii="Arial" w:cs="Arial" w:eastAsia="Arial" w:hAnsi="Arial"/>
          <w:sz w:val="19"/>
          <w:szCs w:val="19"/>
          <w:color w:val="auto"/>
        </w:rPr>
        <w:t>(including interest accruing after the filing of any bankruptcy or similar petition) the Canadian Revolving Credit Loans, Canadian Swingline Loans and, to the extent applicable, any Incremental Term Loan made to the Canadian Borrowers, (b) the Canadian L/C</w:t>
      </w:r>
    </w:p>
    <w:p>
      <w:pPr>
        <w:ind w:left="58"/>
        <w:spacing w:after="0" w:line="222" w:lineRule="auto"/>
        <w:rPr>
          <w:sz w:val="20"/>
          <w:szCs w:val="20"/>
          <w:color w:val="auto"/>
        </w:rPr>
      </w:pPr>
      <w:r>
        <w:rPr>
          <w:rFonts w:ascii="Arial" w:cs="Arial" w:eastAsia="Arial" w:hAnsi="Arial"/>
          <w:sz w:val="19"/>
          <w:szCs w:val="19"/>
          <w:color w:val="auto"/>
        </w:rPr>
        <w:t>Obligations and (c) all other fees and commissions (including attorneys’ fees), charges, indebtedness, loans, liabilities, financial</w:t>
      </w:r>
    </w:p>
    <w:p>
      <w:pPr>
        <w:ind w:left="58"/>
        <w:spacing w:after="0" w:line="226" w:lineRule="auto"/>
        <w:rPr>
          <w:sz w:val="20"/>
          <w:szCs w:val="20"/>
          <w:color w:val="auto"/>
        </w:rPr>
      </w:pPr>
      <w:r>
        <w:rPr>
          <w:rFonts w:ascii="Arial" w:cs="Arial" w:eastAsia="Arial" w:hAnsi="Arial"/>
          <w:sz w:val="18"/>
          <w:szCs w:val="18"/>
          <w:color w:val="auto"/>
        </w:rPr>
        <w:t>accommodations, obligations, covenants and duties owing by the Canadian Credit Parties to the Term Loan Lenders, Revolving Credit Lenders, the applicable Swingline Lender or the Administrative Agent, in each case under any Loan Document, with respect to any</w:t>
      </w:r>
    </w:p>
    <w:p>
      <w:pPr>
        <w:ind w:left="58"/>
        <w:spacing w:after="0" w:line="224" w:lineRule="auto"/>
        <w:rPr>
          <w:sz w:val="20"/>
          <w:szCs w:val="20"/>
          <w:color w:val="auto"/>
        </w:rPr>
      </w:pPr>
      <w:r>
        <w:rPr>
          <w:rFonts w:ascii="Arial" w:cs="Arial" w:eastAsia="Arial" w:hAnsi="Arial"/>
          <w:sz w:val="19"/>
          <w:szCs w:val="19"/>
          <w:color w:val="auto"/>
        </w:rPr>
        <w:t>Canadian Revolving Credit Loan, any Canadian Swingline Loan, any Canadian Letter of Credit and, to the extent applicable, any</w:t>
      </w:r>
    </w:p>
    <w:p>
      <w:pPr>
        <w:ind w:left="58"/>
        <w:spacing w:after="0" w:line="226" w:lineRule="auto"/>
        <w:rPr>
          <w:sz w:val="20"/>
          <w:szCs w:val="20"/>
          <w:color w:val="auto"/>
        </w:rPr>
      </w:pPr>
      <w:r>
        <w:rPr>
          <w:rFonts w:ascii="Arial" w:cs="Arial" w:eastAsia="Arial" w:hAnsi="Arial"/>
          <w:sz w:val="18"/>
          <w:szCs w:val="18"/>
          <w:color w:val="auto"/>
        </w:rPr>
        <w:t>Incremental Term Loan made to the Canadian Borrowers of every kind, nature and description, direct or indirect, absolute or contingent, due or to become due, contractual or tortious, liquidated or unliquidated, and whether or not evidenced by any note and including interest</w:t>
      </w:r>
    </w:p>
    <w:p>
      <w:pPr>
        <w:ind w:left="58"/>
        <w:spacing w:after="0" w:line="236" w:lineRule="auto"/>
        <w:rPr>
          <w:sz w:val="20"/>
          <w:szCs w:val="20"/>
          <w:color w:val="auto"/>
        </w:rPr>
      </w:pPr>
      <w:r>
        <w:rPr>
          <w:rFonts w:ascii="Arial" w:cs="Arial" w:eastAsia="Arial" w:hAnsi="Arial"/>
          <w:sz w:val="18"/>
          <w:szCs w:val="18"/>
          <w:color w:val="auto"/>
        </w:rPr>
        <w:t>and fees that accrue after the commencement by or against any Credit Party or any Affiliate thereof of any proceeding under any Debtor</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Relief Laws, naming such Person as the debtor in such proceeding, regardless of whether such interest and fees are allowed claims in such proceeding.</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“Canadian Pension Laws” means the Pensions Benefit Act (Ontario), the ITA and any other Canadian federal or provincial pension benefits standards legislation and the regulations thereunder applicable to a Canadian Pension Plan or a Canadian Multiemployer</w:t>
      </w:r>
    </w:p>
    <w:p>
      <w:pPr>
        <w:ind w:left="58"/>
        <w:spacing w:after="0"/>
        <w:rPr>
          <w:sz w:val="20"/>
          <w:szCs w:val="20"/>
          <w:color w:val="auto"/>
        </w:rPr>
      </w:pPr>
      <w:r>
        <w:rPr>
          <w:rFonts w:ascii="Arial" w:cs="Arial" w:eastAsia="Arial" w:hAnsi="Arial"/>
          <w:sz w:val="20"/>
          <w:szCs w:val="20"/>
          <w:color w:val="auto"/>
        </w:rPr>
        <w:t>Plan.</w:t>
      </w:r>
    </w:p>
    <w:p>
      <w:pPr>
        <w:spacing w:after="0" w:line="200" w:lineRule="exact"/>
        <w:rPr>
          <w:sz w:val="20"/>
          <w:szCs w:val="20"/>
          <w:color w:val="auto"/>
        </w:rPr>
      </w:pPr>
    </w:p>
    <w:p>
      <w:pPr>
        <w:ind w:left="58" w:right="20" w:firstLine="647"/>
        <w:spacing w:after="0" w:line="212" w:lineRule="auto"/>
        <w:rPr>
          <w:sz w:val="20"/>
          <w:szCs w:val="20"/>
          <w:color w:val="auto"/>
        </w:rPr>
      </w:pPr>
      <w:r>
        <w:rPr>
          <w:rFonts w:ascii="Arial" w:cs="Arial" w:eastAsia="Arial" w:hAnsi="Arial"/>
          <w:sz w:val="20"/>
          <w:szCs w:val="20"/>
          <w:color w:val="auto"/>
        </w:rPr>
        <w:t>“Canadian Pension Plan” means any “registered pension plan” as defined under Section 248(l) of the ITA or any other registered or unregistered pension, or retirement or retirement savings plan and which</w:t>
      </w:r>
    </w:p>
    <w:p>
      <w:pPr>
        <w:spacing w:after="0" w:line="1" w:lineRule="exact"/>
        <w:rPr>
          <w:sz w:val="20"/>
          <w:szCs w:val="20"/>
          <w:color w:val="auto"/>
        </w:rPr>
      </w:pPr>
    </w:p>
    <w:p>
      <w:pPr>
        <w:jc w:val="both"/>
        <w:ind w:left="58" w:hanging="4"/>
        <w:spacing w:after="0" w:line="227" w:lineRule="auto"/>
        <w:tabs>
          <w:tab w:leader="none" w:pos="37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is sponsored, maintained, funded, contributed to or required to be contributed to, or administered for the employees or former employees of any Credit Party or any Subsidiary thereof or (b) has at any time within the preceding six (6) years been sponsored, maintained, funded, contributed to or required to be contributed to, or administered for the employees or former employees of any Credit Party or any Subsidiary thereof, and shall not include any Pension Plan, other than a Canadian Multiemployer Plan.</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“Canadian Pension Plan Unfunded Liability” means an unfunded liability in respect of any Canadian Pension Plan, including a going concern unfunded liability, solvency deficiency, reduced solvency deficiency or wind-up deficiency, in each case, as reported in the</w:t>
      </w:r>
    </w:p>
    <w:p>
      <w:pPr>
        <w:ind w:left="58"/>
        <w:spacing w:after="0"/>
        <w:rPr>
          <w:sz w:val="20"/>
          <w:szCs w:val="20"/>
          <w:color w:val="auto"/>
        </w:rPr>
      </w:pPr>
      <w:r>
        <w:rPr>
          <w:rFonts w:ascii="Arial" w:cs="Arial" w:eastAsia="Arial" w:hAnsi="Arial"/>
          <w:sz w:val="20"/>
          <w:szCs w:val="20"/>
          <w:color w:val="auto"/>
        </w:rPr>
        <w:t>most recent valuation report delivered under Section 8.2(j) in respect of such Canadian Pension Plan.</w:t>
      </w:r>
    </w:p>
    <w:p>
      <w:pPr>
        <w:spacing w:after="0" w:line="267"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“Canadian Prime Rate” means the rate of interest publicly announced from time to time by the Canadian Reference Bank as its prime rate in effect for determining interest rates on Canadian Dollar denominated commercial loans in Canada (which such rate is not</w:t>
      </w:r>
    </w:p>
    <w:p>
      <w:pPr>
        <w:ind w:left="58"/>
        <w:spacing w:after="0"/>
        <w:rPr>
          <w:sz w:val="20"/>
          <w:szCs w:val="20"/>
          <w:color w:val="auto"/>
        </w:rPr>
      </w:pPr>
      <w:r>
        <w:rPr>
          <w:rFonts w:ascii="Arial" w:cs="Arial" w:eastAsia="Arial" w:hAnsi="Arial"/>
          <w:sz w:val="16"/>
          <w:szCs w:val="16"/>
          <w:color w:val="auto"/>
        </w:rPr>
        <w:t>necessarily the most favored rate of the Canadian Reference Bank and the Canadian Reference Bank may lend to its customers at rates that</w:t>
      </w:r>
    </w:p>
    <w:p>
      <w:pPr>
        <w:spacing w:after="0" w:line="19"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are at, above or below such rate) or, if the Canadian Reference Bank ceases to announce a rate so designated, any similar successor rate designated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7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92" w:name="page93"/>
    <w:bookmarkEnd w:id="92"/>
    <w:p>
      <w:pPr>
        <w:spacing w:after="0" w:line="209" w:lineRule="exact"/>
        <w:rPr>
          <w:sz w:val="20"/>
          <w:szCs w:val="20"/>
          <w:color w:val="auto"/>
        </w:rPr>
      </w:pPr>
    </w:p>
    <w:p>
      <w:pPr>
        <w:jc w:val="both"/>
        <w:ind w:left="58" w:firstLine="648"/>
        <w:spacing w:after="0" w:line="285" w:lineRule="auto"/>
        <w:rPr>
          <w:sz w:val="20"/>
          <w:szCs w:val="20"/>
          <w:color w:val="auto"/>
        </w:rPr>
      </w:pPr>
      <w:r>
        <w:rPr>
          <w:rFonts w:ascii="Arial" w:cs="Arial" w:eastAsia="Arial" w:hAnsi="Arial"/>
          <w:sz w:val="18"/>
          <w:szCs w:val="18"/>
          <w:color w:val="auto"/>
        </w:rPr>
        <w:t>“Canadian Reference Bank” means any one or more of The Bank of Nova Scotia, Bank of Montreal, Royal Bank of Canada, The Toronto-Dominion Bank, Canadian Imperial Bank of Commerce or National Bank of Canada, as the Administrative Agent may determine.</w:t>
      </w:r>
    </w:p>
    <w:p>
      <w:pPr>
        <w:spacing w:after="0" w:line="15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“Canadian Revolving Credit Loan” means any revolving loan denominated in Canadian Dollars made to the Canadian Borrowers</w:t>
      </w:r>
    </w:p>
    <w:p>
      <w:pPr>
        <w:spacing w:after="0" w:line="12" w:lineRule="exact"/>
        <w:rPr>
          <w:sz w:val="20"/>
          <w:szCs w:val="20"/>
          <w:color w:val="auto"/>
        </w:rPr>
      </w:pPr>
    </w:p>
    <w:p>
      <w:pPr>
        <w:jc w:val="both"/>
        <w:ind w:left="58" w:right="20"/>
        <w:spacing w:after="0" w:line="255" w:lineRule="auto"/>
        <w:rPr>
          <w:sz w:val="20"/>
          <w:szCs w:val="20"/>
          <w:color w:val="auto"/>
        </w:rPr>
      </w:pPr>
      <w:r>
        <w:rPr>
          <w:rFonts w:ascii="Arial" w:cs="Arial" w:eastAsia="Arial" w:hAnsi="Arial"/>
          <w:sz w:val="16"/>
          <w:szCs w:val="16"/>
          <w:color w:val="auto"/>
        </w:rPr>
        <w:t>pursuant to Section 2.1, and all such revolving loans collectively as the context requires, and shall include any Extended Revolving Credit Loans, any Refinancing Revolving Loans and any loans made pursuant to an Incremental Revolving Credit Facility Increase, in each case,</w:t>
      </w:r>
    </w:p>
    <w:p>
      <w:pPr>
        <w:spacing w:after="0" w:line="1" w:lineRule="exact"/>
        <w:rPr>
          <w:sz w:val="20"/>
          <w:szCs w:val="20"/>
          <w:color w:val="auto"/>
        </w:rPr>
      </w:pPr>
    </w:p>
    <w:p>
      <w:pPr>
        <w:ind w:left="58"/>
        <w:spacing w:after="0"/>
        <w:rPr>
          <w:sz w:val="20"/>
          <w:szCs w:val="20"/>
          <w:color w:val="auto"/>
        </w:rPr>
      </w:pPr>
      <w:r>
        <w:rPr>
          <w:rFonts w:ascii="Arial" w:cs="Arial" w:eastAsia="Arial" w:hAnsi="Arial"/>
          <w:sz w:val="20"/>
          <w:szCs w:val="20"/>
          <w:color w:val="auto"/>
        </w:rPr>
        <w:t>related to such loans.</w:t>
      </w:r>
    </w:p>
    <w:p>
      <w:pPr>
        <w:spacing w:after="0" w:line="200" w:lineRule="exact"/>
        <w:rPr>
          <w:sz w:val="20"/>
          <w:szCs w:val="20"/>
          <w:color w:val="auto"/>
        </w:rPr>
      </w:pPr>
    </w:p>
    <w:p>
      <w:pPr>
        <w:jc w:val="both"/>
        <w:ind w:left="58" w:firstLine="648"/>
        <w:spacing w:after="0" w:line="259" w:lineRule="auto"/>
        <w:rPr>
          <w:sz w:val="20"/>
          <w:szCs w:val="20"/>
          <w:color w:val="auto"/>
        </w:rPr>
      </w:pPr>
      <w:r>
        <w:rPr>
          <w:rFonts w:ascii="Arial" w:cs="Arial" w:eastAsia="Arial" w:hAnsi="Arial"/>
          <w:sz w:val="18"/>
          <w:szCs w:val="18"/>
          <w:color w:val="auto"/>
        </w:rPr>
        <w:t xml:space="preserve">“Canadian Revolving Credit Note” means a promissory note made by the Canadian Borrowers in favor of a Revolving Credit Lender evidencing the Canadian Revolving Credit Loans made by such Revolving Credit Lender, substantially in the form attached as </w:t>
      </w:r>
      <w:r>
        <w:rPr>
          <w:rFonts w:ascii="Arial" w:cs="Arial" w:eastAsia="Arial" w:hAnsi="Arial"/>
          <w:sz w:val="18"/>
          <w:szCs w:val="18"/>
          <w:b w:val="1"/>
          <w:bCs w:val="1"/>
          <w:i w:val="1"/>
          <w:iCs w:val="1"/>
          <w:color w:val="auto"/>
        </w:rPr>
        <w:t>Exhibit A-2</w:t>
      </w:r>
      <w:r>
        <w:rPr>
          <w:rFonts w:ascii="Arial" w:cs="Arial" w:eastAsia="Arial" w:hAnsi="Arial"/>
          <w:sz w:val="18"/>
          <w:szCs w:val="18"/>
          <w:color w:val="auto"/>
        </w:rPr>
        <w:t>, and any substitutes therefor, and any replacements, restatements, renewals or extension thereof, in whole or in part.</w:t>
      </w:r>
    </w:p>
    <w:p>
      <w:pPr>
        <w:spacing w:after="0" w:line="180"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“Canadian Secured Obligations” means, collectively, (a) the Canadian Obligations and (b) all existing or future payment and other</w:t>
      </w:r>
    </w:p>
    <w:p>
      <w:pPr>
        <w:spacing w:after="0" w:line="12" w:lineRule="exact"/>
        <w:rPr>
          <w:sz w:val="20"/>
          <w:szCs w:val="20"/>
          <w:color w:val="auto"/>
        </w:rPr>
      </w:pPr>
    </w:p>
    <w:p>
      <w:pPr>
        <w:jc w:val="both"/>
        <w:ind w:left="58" w:right="20"/>
        <w:spacing w:after="0" w:line="220" w:lineRule="auto"/>
        <w:rPr>
          <w:sz w:val="20"/>
          <w:szCs w:val="20"/>
          <w:color w:val="auto"/>
        </w:rPr>
      </w:pPr>
      <w:r>
        <w:rPr>
          <w:rFonts w:ascii="Arial" w:cs="Arial" w:eastAsia="Arial" w:hAnsi="Arial"/>
          <w:sz w:val="20"/>
          <w:szCs w:val="20"/>
          <w:color w:val="auto"/>
        </w:rPr>
        <w:t>obligations owing by any Canadian Credit Party or any Foreign Subsidiary under (i) any Secured Hedge Agreement with a Canadian Hedge Bank and (ii) any Secured Cash Management Agreement with a Canadian Cash Management Bank.</w:t>
      </w:r>
    </w:p>
    <w:p>
      <w:pPr>
        <w:spacing w:after="0" w:line="210"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18"/>
          <w:szCs w:val="18"/>
          <w:color w:val="auto"/>
        </w:rPr>
        <w:t>“Canadian Secured Parties” means, collectively, the Administrative Agent, the Lenders, the Canadian Hedge Banks, the Canadian Cash Management Banks, each co-agent or sub-agent appointed by the Administrative Agent from time to time pursuant to Section 11.5,</w:t>
      </w:r>
    </w:p>
    <w:p>
      <w:pPr>
        <w:jc w:val="both"/>
        <w:ind w:left="58" w:right="20"/>
        <w:spacing w:after="0" w:line="227" w:lineRule="auto"/>
        <w:rPr>
          <w:sz w:val="20"/>
          <w:szCs w:val="20"/>
          <w:color w:val="auto"/>
        </w:rPr>
      </w:pPr>
      <w:r>
        <w:rPr>
          <w:rFonts w:ascii="Arial" w:cs="Arial" w:eastAsia="Arial" w:hAnsi="Arial"/>
          <w:sz w:val="20"/>
          <w:szCs w:val="20"/>
          <w:color w:val="auto"/>
        </w:rPr>
        <w:t>any other holder from time to time of any Canadian Secured Obligations and, in each case, their respective successors and permitted assigns.</w:t>
      </w:r>
    </w:p>
    <w:p>
      <w:pPr>
        <w:spacing w:after="0" w:line="197" w:lineRule="exact"/>
        <w:rPr>
          <w:sz w:val="20"/>
          <w:szCs w:val="20"/>
          <w:color w:val="auto"/>
        </w:rPr>
      </w:pPr>
    </w:p>
    <w:p>
      <w:pPr>
        <w:jc w:val="both"/>
        <w:ind w:left="58" w:right="20" w:firstLine="648"/>
        <w:spacing w:after="0" w:line="229" w:lineRule="auto"/>
        <w:rPr>
          <w:sz w:val="20"/>
          <w:szCs w:val="20"/>
          <w:color w:val="auto"/>
        </w:rPr>
      </w:pPr>
      <w:r>
        <w:rPr>
          <w:rFonts w:ascii="Arial" w:cs="Arial" w:eastAsia="Arial" w:hAnsi="Arial"/>
          <w:sz w:val="20"/>
          <w:szCs w:val="20"/>
          <w:color w:val="auto"/>
        </w:rPr>
        <w:t>“Canadian Subsidiary” means any Subsidiary of Centuri that is organized under the laws of Canada or any province or territory thereof, including, without limitation, the Canadian Borrowers.</w:t>
      </w:r>
    </w:p>
    <w:p>
      <w:pPr>
        <w:spacing w:after="0" w:line="209" w:lineRule="exact"/>
        <w:rPr>
          <w:sz w:val="20"/>
          <w:szCs w:val="20"/>
          <w:color w:val="auto"/>
        </w:rPr>
      </w:pPr>
    </w:p>
    <w:p>
      <w:pPr>
        <w:jc w:val="both"/>
        <w:ind w:left="58" w:right="20" w:firstLine="648"/>
        <w:spacing w:after="0" w:line="265" w:lineRule="auto"/>
        <w:rPr>
          <w:sz w:val="20"/>
          <w:szCs w:val="20"/>
          <w:color w:val="auto"/>
        </w:rPr>
      </w:pPr>
      <w:r>
        <w:rPr>
          <w:rFonts w:ascii="Arial" w:cs="Arial" w:eastAsia="Arial" w:hAnsi="Arial"/>
          <w:sz w:val="16"/>
          <w:szCs w:val="16"/>
          <w:color w:val="auto"/>
        </w:rPr>
        <w:t>“Canadian Subsidiary Guarantors” means, collectively, all direct and indirect Canadian Subsidiaries in existence on the Closing Date (other than the Canadian Borrowers) or which become a party to the Canadian Credit Party Guarantee Agreement pursuant to Section</w:t>
      </w:r>
    </w:p>
    <w:p>
      <w:pPr>
        <w:spacing w:after="0" w:line="1" w:lineRule="exact"/>
        <w:rPr>
          <w:sz w:val="20"/>
          <w:szCs w:val="20"/>
          <w:color w:val="auto"/>
        </w:rPr>
      </w:pPr>
    </w:p>
    <w:p>
      <w:pPr>
        <w:ind w:left="58"/>
        <w:spacing w:after="0"/>
        <w:rPr>
          <w:sz w:val="20"/>
          <w:szCs w:val="20"/>
          <w:color w:val="auto"/>
        </w:rPr>
      </w:pPr>
      <w:r>
        <w:rPr>
          <w:rFonts w:ascii="Arial" w:cs="Arial" w:eastAsia="Arial" w:hAnsi="Arial"/>
          <w:sz w:val="20"/>
          <w:szCs w:val="20"/>
          <w:color w:val="auto"/>
        </w:rPr>
        <w:t>8.14.</w:t>
      </w:r>
    </w:p>
    <w:p>
      <w:pPr>
        <w:spacing w:after="0" w:line="267" w:lineRule="exact"/>
        <w:rPr>
          <w:sz w:val="20"/>
          <w:szCs w:val="20"/>
          <w:color w:val="auto"/>
        </w:rPr>
      </w:pPr>
    </w:p>
    <w:p>
      <w:pPr>
        <w:jc w:val="both"/>
        <w:ind w:left="58" w:firstLine="648"/>
        <w:spacing w:after="0" w:line="257" w:lineRule="auto"/>
        <w:rPr>
          <w:sz w:val="20"/>
          <w:szCs w:val="20"/>
          <w:color w:val="auto"/>
        </w:rPr>
      </w:pPr>
      <w:r>
        <w:rPr>
          <w:rFonts w:ascii="Arial" w:cs="Arial" w:eastAsia="Arial" w:hAnsi="Arial"/>
          <w:sz w:val="19"/>
          <w:szCs w:val="19"/>
          <w:color w:val="auto"/>
        </w:rPr>
        <w:t>“Canadian Swingline Loan” means any swingline loan denominated in Canadian Dollars made by the applicable Swingline Lender to a Canadian Borrower pursuant to Section 2.2, and all such swingline loans collectively as the context requires.</w:t>
      </w:r>
    </w:p>
    <w:p>
      <w:pPr>
        <w:spacing w:after="0" w:line="180" w:lineRule="exact"/>
        <w:rPr>
          <w:sz w:val="20"/>
          <w:szCs w:val="20"/>
          <w:color w:val="auto"/>
        </w:rPr>
      </w:pPr>
    </w:p>
    <w:p>
      <w:pPr>
        <w:ind w:left="698"/>
        <w:spacing w:after="0"/>
        <w:rPr>
          <w:sz w:val="20"/>
          <w:szCs w:val="20"/>
          <w:color w:val="auto"/>
        </w:rPr>
      </w:pPr>
      <w:r>
        <w:rPr>
          <w:rFonts w:ascii="Arial" w:cs="Arial" w:eastAsia="Arial" w:hAnsi="Arial"/>
          <w:sz w:val="19"/>
          <w:szCs w:val="19"/>
          <w:color w:val="auto"/>
        </w:rPr>
        <w:t>“Canadian Swingline Note” means a promissory note made by the Canadian Borrowers in favor of the applicable Swingline</w:t>
      </w:r>
    </w:p>
    <w:p>
      <w:pPr>
        <w:jc w:val="both"/>
        <w:ind w:left="58" w:right="20"/>
        <w:spacing w:after="0" w:line="232" w:lineRule="auto"/>
        <w:rPr>
          <w:sz w:val="20"/>
          <w:szCs w:val="20"/>
          <w:color w:val="auto"/>
        </w:rPr>
      </w:pPr>
      <w:r>
        <w:rPr>
          <w:rFonts w:ascii="Arial" w:cs="Arial" w:eastAsia="Arial" w:hAnsi="Arial"/>
          <w:sz w:val="19"/>
          <w:szCs w:val="19"/>
          <w:color w:val="auto"/>
        </w:rPr>
        <w:t xml:space="preserve">Lender evidencing the Canadian Swingline Loans made by the Swingline Lender, substantially in the form attached as </w:t>
      </w:r>
      <w:r>
        <w:rPr>
          <w:rFonts w:ascii="Arial" w:cs="Arial" w:eastAsia="Arial" w:hAnsi="Arial"/>
          <w:sz w:val="19"/>
          <w:szCs w:val="19"/>
          <w:b w:val="1"/>
          <w:bCs w:val="1"/>
          <w:i w:val="1"/>
          <w:iCs w:val="1"/>
          <w:color w:val="auto"/>
        </w:rPr>
        <w:t>Exhibit A-4</w:t>
      </w:r>
      <w:r>
        <w:rPr>
          <w:rFonts w:ascii="Arial" w:cs="Arial" w:eastAsia="Arial" w:hAnsi="Arial"/>
          <w:sz w:val="19"/>
          <w:szCs w:val="19"/>
          <w:color w:val="auto"/>
        </w:rPr>
        <w:t>, and any substitutes therefor, and any replacements, restatements, renewals or extension thereof, in whole or in part.</w:t>
      </w:r>
    </w:p>
    <w:p>
      <w:pPr>
        <w:spacing w:after="0" w:line="210" w:lineRule="exact"/>
        <w:rPr>
          <w:sz w:val="20"/>
          <w:szCs w:val="20"/>
          <w:color w:val="auto"/>
        </w:rPr>
      </w:pPr>
    </w:p>
    <w:p>
      <w:pPr>
        <w:jc w:val="both"/>
        <w:ind w:left="58" w:right="20" w:firstLine="648"/>
        <w:spacing w:after="0" w:line="236" w:lineRule="auto"/>
        <w:rPr>
          <w:sz w:val="20"/>
          <w:szCs w:val="20"/>
          <w:color w:val="auto"/>
        </w:rPr>
      </w:pPr>
      <w:r>
        <w:rPr>
          <w:rFonts w:ascii="Arial" w:cs="Arial" w:eastAsia="Arial" w:hAnsi="Arial"/>
          <w:sz w:val="18"/>
          <w:szCs w:val="18"/>
          <w:color w:val="auto"/>
        </w:rPr>
        <w:t>“Canadian Term Loan Note” means a promissory note made by any Canadian Borrower in favor of a Term Loan Lender evidencing the portion of any Incremental Term Loans made to such Canadian Borrower by such Term Loan Lender, substantially in the</w:t>
      </w:r>
    </w:p>
    <w:p>
      <w:pPr>
        <w:ind w:left="58"/>
        <w:spacing w:after="0"/>
        <w:rPr>
          <w:sz w:val="20"/>
          <w:szCs w:val="20"/>
          <w:color w:val="auto"/>
        </w:rPr>
      </w:pPr>
      <w:r>
        <w:rPr>
          <w:rFonts w:ascii="Arial" w:cs="Arial" w:eastAsia="Arial" w:hAnsi="Arial"/>
          <w:sz w:val="18"/>
          <w:szCs w:val="18"/>
          <w:color w:val="auto"/>
        </w:rPr>
        <w:t xml:space="preserve">form attached as </w:t>
      </w:r>
      <w:r>
        <w:rPr>
          <w:rFonts w:ascii="Arial" w:cs="Arial" w:eastAsia="Arial" w:hAnsi="Arial"/>
          <w:sz w:val="18"/>
          <w:szCs w:val="18"/>
          <w:b w:val="1"/>
          <w:bCs w:val="1"/>
          <w:i w:val="1"/>
          <w:iCs w:val="1"/>
          <w:color w:val="auto"/>
        </w:rPr>
        <w:t>Exhibit A-6</w:t>
      </w:r>
      <w:r>
        <w:rPr>
          <w:rFonts w:ascii="Arial" w:cs="Arial" w:eastAsia="Arial" w:hAnsi="Arial"/>
          <w:sz w:val="18"/>
          <w:szCs w:val="18"/>
          <w:color w:val="auto"/>
        </w:rPr>
        <w:t>, and any substitutes therefor, and any replacements, restatements or extensions thereof, in whole or in part.</w:t>
      </w:r>
    </w:p>
    <w:p>
      <w:pPr>
        <w:spacing w:after="0" w:line="22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“Canadian Termination Event” means a Canadian Pension Plan Unfunded Liability in excess of the Threshold Amount or the</w:t>
      </w:r>
    </w:p>
    <w:p>
      <w:pPr>
        <w:spacing w:after="0" w:line="12" w:lineRule="exact"/>
        <w:rPr>
          <w:sz w:val="20"/>
          <w:szCs w:val="20"/>
          <w:color w:val="auto"/>
        </w:rPr>
      </w:pPr>
    </w:p>
    <w:p>
      <w:pPr>
        <w:jc w:val="both"/>
        <w:ind w:left="58" w:right="20"/>
        <w:spacing w:after="0" w:line="226" w:lineRule="auto"/>
        <w:rPr>
          <w:sz w:val="20"/>
          <w:szCs w:val="20"/>
          <w:color w:val="auto"/>
        </w:rPr>
      </w:pPr>
      <w:r>
        <w:rPr>
          <w:rFonts w:ascii="Arial" w:cs="Arial" w:eastAsia="Arial" w:hAnsi="Arial"/>
          <w:sz w:val="18"/>
          <w:szCs w:val="18"/>
          <w:color w:val="auto"/>
        </w:rPr>
        <w:t>occurrence of any of the following which, individually or in the aggregate, has resulted or could reasonably be expected to result in liability of any Credit Party or any Subsidiary thereof in an aggregate amount in excess of the Threshold Amount: (a) the institution of any</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steps by any Governmental Authority to order the termination or wind-up, in full or in part, of any Canadian Employee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7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93" w:name="page94"/>
    <w:bookmarkEnd w:id="93"/>
    <w:p>
      <w:pPr>
        <w:ind w:left="58"/>
        <w:spacing w:after="0"/>
        <w:rPr>
          <w:sz w:val="20"/>
          <w:szCs w:val="20"/>
          <w:color w:val="auto"/>
        </w:rPr>
      </w:pPr>
      <w:r>
        <w:rPr>
          <w:rFonts w:ascii="Arial" w:cs="Arial" w:eastAsia="Arial" w:hAnsi="Arial"/>
          <w:sz w:val="18"/>
          <w:szCs w:val="18"/>
          <w:color w:val="auto"/>
        </w:rPr>
        <w:t>Benefit Plan, (b) the institution of any steps by a Credit Party to terminate, in full or in part, any Canadian Pension Plan if such plan has a</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Canadian Pension Plan Unfunded Liability, (c) an event respecting any Canadian Employee Benefit Plan which could reasonably be expected to result in the revocation of the registration of such Canadian Employee Benefit Plan which could otherwise reasonably be</w:t>
      </w:r>
    </w:p>
    <w:p>
      <w:pPr>
        <w:ind w:left="58"/>
        <w:spacing w:after="0" w:line="224" w:lineRule="auto"/>
        <w:rPr>
          <w:sz w:val="20"/>
          <w:szCs w:val="20"/>
          <w:color w:val="auto"/>
        </w:rPr>
      </w:pPr>
      <w:r>
        <w:rPr>
          <w:rFonts w:ascii="Arial" w:cs="Arial" w:eastAsia="Arial" w:hAnsi="Arial"/>
          <w:sz w:val="19"/>
          <w:szCs w:val="19"/>
          <w:color w:val="auto"/>
        </w:rPr>
        <w:t>expected to adversely affect the Tax status of any such Canadian Employee Benefit Plan, (d) any event or condition which would</w:t>
      </w:r>
    </w:p>
    <w:p>
      <w:pPr>
        <w:ind w:left="58"/>
        <w:spacing w:after="0" w:line="226" w:lineRule="auto"/>
        <w:rPr>
          <w:sz w:val="20"/>
          <w:szCs w:val="20"/>
          <w:color w:val="auto"/>
        </w:rPr>
      </w:pPr>
      <w:r>
        <w:rPr>
          <w:rFonts w:ascii="Arial" w:cs="Arial" w:eastAsia="Arial" w:hAnsi="Arial"/>
          <w:sz w:val="18"/>
          <w:szCs w:val="18"/>
          <w:color w:val="auto"/>
        </w:rPr>
        <w:t>reasonably constitute grounds under Canadian Pension Laws for the full or partial termination of, or the appointment of a trustee or replacement administrator to administer, any Canadian Employee Benefit Plan, (e) the partial or complete withdrawal of any Credit Party</w:t>
      </w:r>
    </w:p>
    <w:p>
      <w:pPr>
        <w:ind w:left="58"/>
        <w:spacing w:after="0" w:line="236" w:lineRule="auto"/>
        <w:rPr>
          <w:sz w:val="20"/>
          <w:szCs w:val="20"/>
          <w:color w:val="auto"/>
        </w:rPr>
      </w:pPr>
      <w:r>
        <w:rPr>
          <w:rFonts w:ascii="Arial" w:cs="Arial" w:eastAsia="Arial" w:hAnsi="Arial"/>
          <w:sz w:val="18"/>
          <w:szCs w:val="18"/>
          <w:color w:val="auto"/>
        </w:rPr>
        <w:t>from a Canadian Multiemployer Plan if a withdrawal liability is asserted by such plan or by any Governmental Authority, or (f) any event</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or condition which results in the increase in the liability of any Credit Party or any Subsidiary thereof under a Canadian Multiemployer Plan.</w:t>
      </w:r>
    </w:p>
    <w:p>
      <w:pPr>
        <w:spacing w:after="0" w:line="210" w:lineRule="exact"/>
        <w:rPr>
          <w:sz w:val="20"/>
          <w:szCs w:val="20"/>
          <w:color w:val="auto"/>
        </w:rPr>
      </w:pPr>
    </w:p>
    <w:p>
      <w:pPr>
        <w:ind w:left="418" w:firstLine="921"/>
        <w:spacing w:after="0" w:line="265" w:lineRule="auto"/>
        <w:rPr>
          <w:sz w:val="20"/>
          <w:szCs w:val="20"/>
          <w:color w:val="auto"/>
        </w:rPr>
      </w:pPr>
      <w:r>
        <w:rPr>
          <w:rFonts w:ascii="Arial" w:cs="Arial" w:eastAsia="Arial" w:hAnsi="Arial"/>
          <w:sz w:val="16"/>
          <w:szCs w:val="16"/>
          <w:color w:val="auto"/>
        </w:rPr>
        <w:t>“Capital Expenditures” means, with respect to the Consolidated Companies on a Consolidated basis, for any period, (a) the additions to property, plant and equipment and other capital expenditures that are (or would be) set forth in a consolidated statement of</w:t>
      </w:r>
    </w:p>
    <w:p>
      <w:pPr>
        <w:spacing w:after="0" w:line="1" w:lineRule="exact"/>
        <w:rPr>
          <w:sz w:val="20"/>
          <w:szCs w:val="20"/>
          <w:color w:val="auto"/>
        </w:rPr>
      </w:pPr>
    </w:p>
    <w:p>
      <w:pPr>
        <w:ind w:left="298"/>
        <w:spacing w:after="0"/>
        <w:rPr>
          <w:sz w:val="20"/>
          <w:szCs w:val="20"/>
          <w:color w:val="auto"/>
        </w:rPr>
      </w:pPr>
      <w:r>
        <w:rPr>
          <w:rFonts w:ascii="Arial" w:cs="Arial" w:eastAsia="Arial" w:hAnsi="Arial"/>
          <w:sz w:val="16"/>
          <w:szCs w:val="16"/>
          <w:color w:val="auto"/>
        </w:rPr>
        <w:t>cash flows of such Person for such period prepared in accordance with GAAP and (b) Capital Lease Obligations during such period, but</w:t>
      </w:r>
    </w:p>
    <w:p>
      <w:pPr>
        <w:spacing w:after="0" w:line="19" w:lineRule="exact"/>
        <w:rPr>
          <w:sz w:val="20"/>
          <w:szCs w:val="20"/>
          <w:color w:val="auto"/>
        </w:rPr>
      </w:pPr>
    </w:p>
    <w:p>
      <w:pPr>
        <w:jc w:val="right"/>
        <w:ind w:left="58"/>
        <w:spacing w:after="0" w:line="220" w:lineRule="auto"/>
        <w:rPr>
          <w:sz w:val="20"/>
          <w:szCs w:val="20"/>
          <w:color w:val="auto"/>
        </w:rPr>
      </w:pPr>
      <w:r>
        <w:rPr>
          <w:rFonts w:ascii="Arial" w:cs="Arial" w:eastAsia="Arial" w:hAnsi="Arial"/>
          <w:sz w:val="20"/>
          <w:szCs w:val="20"/>
          <w:color w:val="auto"/>
        </w:rPr>
        <w:t>excluding expenditures for the restoration, repair or replacement of any fixed or capital asset which was destroyed or damaged, in whole or in part, to the extent financed by the proceeds of an insurance policy maintained by such Person.</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“Capital Lease Obligations” of any Person means, subject to Section 1.3(b), the obligations of such Person to pay rent or other amounts under any lease of (or other arrangement conveying the right to use) real or personal property, or a combination thereof, which</w:t>
      </w:r>
    </w:p>
    <w:p>
      <w:pPr>
        <w:ind w:left="58" w:right="20"/>
        <w:spacing w:after="0" w:line="227" w:lineRule="auto"/>
        <w:rPr>
          <w:sz w:val="20"/>
          <w:szCs w:val="20"/>
          <w:color w:val="auto"/>
        </w:rPr>
      </w:pPr>
      <w:r>
        <w:rPr>
          <w:rFonts w:ascii="Arial" w:cs="Arial" w:eastAsia="Arial" w:hAnsi="Arial"/>
          <w:sz w:val="20"/>
          <w:szCs w:val="20"/>
          <w:color w:val="auto"/>
        </w:rPr>
        <w:t>obligations are required to be classified and accounted for as finance leases on a balance sheet of such Person under GAAP, and the amount of such obligations shall be the capitalized amount thereof determined in accordance with GAAP.</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“Cash Collateralize” means, to deposit in a Controlled Account or to pledge and deposit with, or deliver to the Administrative</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Agent, or directly to the applicable Issuing Lender (with notice thereof to the Administrative Agent), for the benefit of one or more of the Issuing Lenders, one or both of the Swingline Lenders or the Lenders, as collateral for L/C Obligations or obligations of the Lenders to</w:t>
      </w:r>
    </w:p>
    <w:p>
      <w:pPr>
        <w:ind w:left="58"/>
        <w:spacing w:after="0" w:line="236" w:lineRule="auto"/>
        <w:rPr>
          <w:sz w:val="20"/>
          <w:szCs w:val="20"/>
          <w:color w:val="auto"/>
        </w:rPr>
      </w:pPr>
      <w:r>
        <w:rPr>
          <w:rFonts w:ascii="Arial" w:cs="Arial" w:eastAsia="Arial" w:hAnsi="Arial"/>
          <w:sz w:val="18"/>
          <w:szCs w:val="18"/>
          <w:color w:val="auto"/>
        </w:rPr>
        <w:t>fund participations in respect of L/C Obligations or Swingline Loans, cash or deposit account balances or, if the Administrative Agent and</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the applicable Issuing Lender and/or the applicable Swingline Lender, as the case may be, shall agree, in their sole discretion, other credit support, in each case pursuant to documentation in form and substance satisfactory to the Administrative Agent, such Issuing Lender</w:t>
      </w:r>
    </w:p>
    <w:p>
      <w:pPr>
        <w:spacing w:after="0" w:line="2"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auto"/>
        </w:rPr>
        <w:t>and/or such Swingline Lender, as applicable. “Cash Collateral” shall have a meaning correlative to the foregoing and shall include the proceeds of such cash collateral and other credit support.</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“Cash Equivalents” means, collectively, (a) marketable direct obligations issued or unconditionally guaranteed by Canada or the</w:t>
      </w:r>
    </w:p>
    <w:p>
      <w:pPr>
        <w:spacing w:after="0" w:line="12"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United States (or any agency thereof) maturing within one (1) year from the date of acquisition thereof, (b) commercial paper maturing no more than two hundred seventy (270) days from the date of creation thereof and currently having the highest rating obtainable from either</w:t>
      </w:r>
    </w:p>
    <w:p>
      <w:pPr>
        <w:spacing w:after="0" w:line="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S&amp;P or Moody’s (or, if at any time either S&amp;P or Moody’s are not rating such fund, an equivalent rating from another nationally recognized statistical rating agency), (c) investments in certificates of deposit, banker’s acceptances, money market deposits and time</w:t>
      </w:r>
    </w:p>
    <w:p>
      <w:pPr>
        <w:ind w:left="58"/>
        <w:spacing w:after="0" w:line="236" w:lineRule="auto"/>
        <w:rPr>
          <w:sz w:val="20"/>
          <w:szCs w:val="20"/>
          <w:color w:val="auto"/>
        </w:rPr>
      </w:pPr>
      <w:r>
        <w:rPr>
          <w:rFonts w:ascii="Arial" w:cs="Arial" w:eastAsia="Arial" w:hAnsi="Arial"/>
          <w:sz w:val="18"/>
          <w:szCs w:val="18"/>
          <w:color w:val="auto"/>
        </w:rPr>
        <w:t>deposits maturing within one hundred eighty (180) days from the date of acquisition thereof issued or guaranteed by or placed with, and</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money market deposit accounts issued or offered by, any domestic office of any commercial bank organized under the laws of the United States of America or any state thereof that has a combined capital and surplus and undivided profits of not less than $500,000,000 and</w:t>
      </w:r>
    </w:p>
    <w:p>
      <w:pPr>
        <w:ind w:left="58"/>
        <w:spacing w:after="0" w:line="236" w:lineRule="auto"/>
        <w:rPr>
          <w:sz w:val="20"/>
          <w:szCs w:val="20"/>
          <w:color w:val="auto"/>
        </w:rPr>
      </w:pPr>
      <w:r>
        <w:rPr>
          <w:rFonts w:ascii="Arial" w:cs="Arial" w:eastAsia="Arial" w:hAnsi="Arial"/>
          <w:sz w:val="18"/>
          <w:szCs w:val="18"/>
          <w:color w:val="auto"/>
        </w:rPr>
        <w:t>having a long-term debt rating of “A” or better by S&amp;P or “A2” or better from Moody’s (or, if at any time either S&amp;P or Moody’s are not</w:t>
      </w:r>
    </w:p>
    <w:p>
      <w:pPr>
        <w:spacing w:after="0" w:line="1" w:lineRule="exact"/>
        <w:rPr>
          <w:sz w:val="20"/>
          <w:szCs w:val="20"/>
          <w:color w:val="auto"/>
        </w:rPr>
      </w:pPr>
    </w:p>
    <w:p>
      <w:pPr>
        <w:ind w:left="58"/>
        <w:spacing w:after="0" w:line="250" w:lineRule="auto"/>
        <w:rPr>
          <w:sz w:val="20"/>
          <w:szCs w:val="20"/>
          <w:color w:val="auto"/>
        </w:rPr>
      </w:pPr>
      <w:r>
        <w:rPr>
          <w:rFonts w:ascii="Arial" w:cs="Arial" w:eastAsia="Arial" w:hAnsi="Arial"/>
          <w:sz w:val="18"/>
          <w:szCs w:val="18"/>
          <w:color w:val="auto"/>
        </w:rPr>
        <w:t>rating the debt of such bank, an equivalent rating from another nationally recognized statistical rating agency), (d) time deposits maturing no more than thirty (30) days from the date of creation thereof with commercial banks or savings banks or savings and loan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7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94" w:name="page95"/>
    <w:bookmarkEnd w:id="94"/>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associations each having membership either in the FDIC or the CDIC or the deposits of which are insured by the FDIC or the CDIC and in</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amounts not exceeding the maximum amounts of insurance thereunder, and (e) investments in any money market fund or money market mutual fund that has (i) substantially all of its assets invested in the types of investments referred to in clauses (a) through (d) above, (ii)</w:t>
      </w:r>
    </w:p>
    <w:p>
      <w:pPr>
        <w:spacing w:after="0" w:line="2" w:lineRule="exact"/>
        <w:rPr>
          <w:sz w:val="20"/>
          <w:szCs w:val="20"/>
          <w:color w:val="auto"/>
        </w:rPr>
      </w:pPr>
    </w:p>
    <w:p>
      <w:pPr>
        <w:ind w:left="58" w:right="20"/>
        <w:spacing w:after="0" w:line="239" w:lineRule="auto"/>
        <w:rPr>
          <w:sz w:val="20"/>
          <w:szCs w:val="20"/>
          <w:color w:val="auto"/>
        </w:rPr>
      </w:pPr>
      <w:r>
        <w:rPr>
          <w:rFonts w:ascii="Arial" w:cs="Arial" w:eastAsia="Arial" w:hAnsi="Arial"/>
          <w:sz w:val="19"/>
          <w:szCs w:val="19"/>
          <w:color w:val="auto"/>
        </w:rPr>
        <w:t>net assets of not less than $250,000,000 and (iii) a rating of at least A-2 from S&amp;P or at least P-2 from Moody’s (or, if at any time either S&amp;P or Moody’s are not rating such fund, an equivalent rating from another nationally recognized statistical rating agency).</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“Cash Management Agreement” means any agreement to provide cash management services, including treasury, depository,</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overdraft, credit or debit card (including non-card electronic payables and purchasing cards), electronic funds transfer and other cash management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7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95" w:name="page96"/>
    <w:bookmarkEnd w:id="95"/>
    <w:p>
      <w:pPr>
        <w:ind w:left="5618"/>
        <w:spacing w:after="0"/>
        <w:rPr>
          <w:sz w:val="20"/>
          <w:szCs w:val="20"/>
          <w:color w:val="auto"/>
        </w:rPr>
      </w:pPr>
      <w:r>
        <w:rPr>
          <w:rFonts w:ascii="Arial" w:cs="Arial" w:eastAsia="Arial" w:hAnsi="Arial"/>
          <w:sz w:val="18"/>
          <w:szCs w:val="18"/>
          <w:color w:val="auto"/>
        </w:rPr>
        <w:t>“Cash Management Bank” means any US Cash Management Bank</w:t>
      </w:r>
    </w:p>
    <w:p>
      <w:pPr>
        <w:ind w:left="58"/>
        <w:spacing w:after="0" w:line="183" w:lineRule="auto"/>
        <w:tabs>
          <w:tab w:leader="none" w:pos="5598" w:val="left"/>
        </w:tabs>
        <w:rPr>
          <w:sz w:val="20"/>
          <w:szCs w:val="20"/>
          <w:color w:val="auto"/>
        </w:rPr>
      </w:pPr>
      <w:r>
        <w:rPr>
          <w:rFonts w:ascii="Arial" w:cs="Arial" w:eastAsia="Arial" w:hAnsi="Arial"/>
          <w:sz w:val="28"/>
          <w:szCs w:val="28"/>
          <w:color w:val="auto"/>
          <w:vertAlign w:val="subscript"/>
        </w:rPr>
        <w:t>Bank.</w:t>
      </w:r>
      <w:r>
        <w:rPr>
          <w:sz w:val="20"/>
          <w:szCs w:val="20"/>
          <w:color w:val="auto"/>
        </w:rPr>
        <w:tab/>
      </w:r>
      <w:r>
        <w:rPr>
          <w:rFonts w:ascii="Arial" w:cs="Arial" w:eastAsia="Arial" w:hAnsi="Arial"/>
          <w:sz w:val="16"/>
          <w:szCs w:val="16"/>
          <w:color w:val="auto"/>
        </w:rPr>
        <w:t>or Canadian Cash Management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“CDIC” means the Canada Deposit Insurance Corporation.</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“CDOR Rate” means the rate of interest per annum determined by the Administrative Agent on the basis of the rate applicable to</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Canadian Dollar bankers’ acceptances for the applicable Interest Period (or if such Interest Period is not equal to a number of months, for a term equivalent to the number of months closest to such Interest Period) appearing on the “CDOR Page”, or any successor page of</w:t>
      </w:r>
    </w:p>
    <w:p>
      <w:pPr>
        <w:ind w:left="58"/>
        <w:spacing w:after="0" w:line="236" w:lineRule="auto"/>
        <w:rPr>
          <w:sz w:val="20"/>
          <w:szCs w:val="20"/>
          <w:color w:val="auto"/>
        </w:rPr>
      </w:pPr>
      <w:r>
        <w:rPr>
          <w:rFonts w:ascii="Arial" w:cs="Arial" w:eastAsia="Arial" w:hAnsi="Arial"/>
          <w:sz w:val="18"/>
          <w:szCs w:val="18"/>
          <w:color w:val="auto"/>
        </w:rPr>
        <w:t>Refinitiv Benchmark Services (UK) Limited (or such other page or commercially available source displaying Canadian interbank bid rates</w:t>
      </w:r>
    </w:p>
    <w:p>
      <w:pPr>
        <w:spacing w:after="0" w:line="1" w:lineRule="exact"/>
        <w:rPr>
          <w:sz w:val="20"/>
          <w:szCs w:val="20"/>
          <w:color w:val="auto"/>
        </w:rPr>
      </w:pPr>
    </w:p>
    <w:p>
      <w:pPr>
        <w:ind w:left="58" w:right="20"/>
        <w:spacing w:after="0" w:line="255" w:lineRule="auto"/>
        <w:rPr>
          <w:sz w:val="20"/>
          <w:szCs w:val="20"/>
          <w:color w:val="auto"/>
        </w:rPr>
      </w:pPr>
      <w:r>
        <w:rPr>
          <w:rFonts w:ascii="Arial" w:cs="Arial" w:eastAsia="Arial" w:hAnsi="Arial"/>
          <w:sz w:val="16"/>
          <w:szCs w:val="16"/>
          <w:color w:val="auto"/>
        </w:rPr>
        <w:t>for Canadian Dollar bankers’ acceptances as may be designated by the Administrative Agent from time to time), as of 10:00 a.m. (Toronto, Ontario time) on the first day of the applicable Interest Period (or if such day is not a Business Day, then on the immediately preceding</w:t>
      </w:r>
    </w:p>
    <w:p>
      <w:pPr>
        <w:spacing w:after="0" w:line="1"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auto"/>
        </w:rPr>
        <w:t>Business Day). Each calculation by the Administrative Agent of the CDOR Rate shall be conclusive and binding for all purposes, absent manifest error.</w:t>
      </w:r>
    </w:p>
    <w:p>
      <w:pPr>
        <w:spacing w:after="0" w:line="197"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Notwithstanding the foregoing, if the CDOR Rate shall be less than zero, such rate shall be deemed to be zero for purposes of this Agreement.</w:t>
      </w:r>
    </w:p>
    <w:p>
      <w:pPr>
        <w:sectPr>
          <w:pgSz w:w="11900" w:h="16838" w:orient="portrait"/>
          <w:cols w:equalWidth="0" w:num="1">
            <w:col w:w="11078"/>
          </w:cols>
          <w:pgMar w:left="382" w:top="757" w:right="4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8"/>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
        <w:spacing w:after="0"/>
        <w:rPr>
          <w:sz w:val="20"/>
          <w:szCs w:val="20"/>
          <w:color w:val="auto"/>
        </w:rPr>
      </w:pPr>
      <w:r>
        <w:rPr>
          <w:rFonts w:ascii="Arial" w:cs="Arial" w:eastAsia="Arial" w:hAnsi="Arial"/>
          <w:sz w:val="16"/>
          <w:szCs w:val="16"/>
          <w:color w:val="auto"/>
        </w:rPr>
        <w:t>Canada.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“CDOR Rate Loan” means any Loan bearing interest at a rate</w:t>
      </w:r>
    </w:p>
    <w:p>
      <w:pPr>
        <w:ind w:left="4940"/>
        <w:spacing w:after="0"/>
        <w:rPr>
          <w:sz w:val="20"/>
          <w:szCs w:val="20"/>
          <w:color w:val="auto"/>
        </w:rPr>
      </w:pPr>
      <w:r>
        <w:rPr>
          <w:rFonts w:ascii="Arial" w:cs="Arial" w:eastAsia="Arial" w:hAnsi="Arial"/>
          <w:sz w:val="20"/>
          <w:szCs w:val="20"/>
          <w:color w:val="auto"/>
        </w:rPr>
        <w:t>determined by reference to the CDOR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“Centuri” means Centuri Group, Inc. (formerly known as Centuri Construction Group, Inc.), a Nevada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“Centuri Canada” means Centuri Canada Division Inc., a corporation organized under the laws of the Province of Ontario,</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“Centuri U.S. Division” means Centuri U.S. Division, Inc., formerly known as Meritus Group, Inc., a Nevada corporation.</w:t>
      </w:r>
    </w:p>
    <w:p>
      <w:pPr>
        <w:spacing w:after="0" w:line="200" w:lineRule="exact"/>
        <w:rPr>
          <w:sz w:val="20"/>
          <w:szCs w:val="20"/>
          <w:color w:val="auto"/>
        </w:rPr>
      </w:pPr>
    </w:p>
    <w:p>
      <w:pPr>
        <w:sectPr>
          <w:pgSz w:w="11900" w:h="16838" w:orient="portrait"/>
          <w:cols w:equalWidth="0" w:num="2">
            <w:col w:w="698" w:space="0"/>
            <w:col w:w="10380"/>
          </w:cols>
          <w:pgMar w:left="382" w:top="757" w:right="439" w:bottom="1440" w:gutter="0" w:footer="0" w:header="0"/>
          <w:type w:val="continuous"/>
        </w:sectPr>
      </w:pPr>
    </w:p>
    <w:p>
      <w:pPr>
        <w:spacing w:after="0" w:line="41" w:lineRule="exact"/>
        <w:rPr>
          <w:sz w:val="20"/>
          <w:szCs w:val="20"/>
          <w:color w:val="auto"/>
        </w:rPr>
      </w:pPr>
    </w:p>
    <w:p>
      <w:pPr>
        <w:ind w:left="58" w:right="20" w:firstLine="648"/>
        <w:spacing w:after="0" w:line="229" w:lineRule="auto"/>
        <w:rPr>
          <w:sz w:val="20"/>
          <w:szCs w:val="20"/>
          <w:color w:val="auto"/>
        </w:rPr>
      </w:pPr>
      <w:r>
        <w:rPr>
          <w:rFonts w:ascii="Arial" w:cs="Arial" w:eastAsia="Arial" w:hAnsi="Arial"/>
          <w:sz w:val="20"/>
          <w:szCs w:val="20"/>
          <w:color w:val="auto"/>
        </w:rPr>
        <w:t>“CFC” means a Foreign Subsidiary that is a “controlled foreign corporation” under Section 957 of the Code and any Subsidiary owned directly or indirectly by such Foreign Subsidiary.</w:t>
      </w:r>
    </w:p>
    <w:p>
      <w:pPr>
        <w:spacing w:after="0" w:line="196" w:lineRule="exact"/>
        <w:rPr>
          <w:sz w:val="20"/>
          <w:szCs w:val="20"/>
          <w:color w:val="auto"/>
        </w:rPr>
      </w:pPr>
    </w:p>
    <w:p>
      <w:pPr>
        <w:jc w:val="both"/>
        <w:ind w:left="58" w:firstLine="648"/>
        <w:spacing w:after="0" w:line="212" w:lineRule="auto"/>
        <w:rPr>
          <w:sz w:val="20"/>
          <w:szCs w:val="20"/>
          <w:color w:val="auto"/>
        </w:rPr>
      </w:pPr>
      <w:r>
        <w:rPr>
          <w:rFonts w:ascii="Arial" w:cs="Arial" w:eastAsia="Arial" w:hAnsi="Arial"/>
          <w:sz w:val="20"/>
          <w:szCs w:val="20"/>
          <w:color w:val="auto"/>
        </w:rPr>
        <w:t>“CFC Holdco” means a Subsidiary substantially all the assets of which consist of Equity Interests in Foreign Subsidiaries that each constitute a CFC and/or Indebtedness or accounts receivable owed by Foreign Subsidiaries that each constitute a CFC or are treated as owed by any such Foreign Subsidiaries for</w:t>
      </w:r>
    </w:p>
    <w:p>
      <w:pPr>
        <w:spacing w:after="0" w:line="1" w:lineRule="exact"/>
        <w:rPr>
          <w:sz w:val="20"/>
          <w:szCs w:val="20"/>
          <w:color w:val="auto"/>
        </w:rPr>
      </w:pPr>
    </w:p>
    <w:p>
      <w:pPr>
        <w:ind w:left="58"/>
        <w:spacing w:after="0"/>
        <w:rPr>
          <w:sz w:val="20"/>
          <w:szCs w:val="20"/>
          <w:color w:val="auto"/>
        </w:rPr>
      </w:pPr>
      <w:r>
        <w:rPr>
          <w:rFonts w:ascii="Arial" w:cs="Arial" w:eastAsia="Arial" w:hAnsi="Arial"/>
          <w:sz w:val="20"/>
          <w:szCs w:val="20"/>
          <w:color w:val="auto"/>
        </w:rPr>
        <w:t>U.S. federal income tax purposes.</w:t>
      </w: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76"/>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57" w:right="439" w:bottom="1440" w:gutter="0" w:footer="0" w:header="0"/>
          <w:type w:val="continuous"/>
        </w:sectPr>
      </w:pPr>
    </w:p>
    <w:bookmarkStart w:id="96" w:name="page97"/>
    <w:bookmarkEnd w:id="96"/>
    <w:p>
      <w:pPr>
        <w:ind w:left="698"/>
        <w:spacing w:after="0"/>
        <w:rPr>
          <w:sz w:val="20"/>
          <w:szCs w:val="20"/>
          <w:color w:val="auto"/>
        </w:rPr>
      </w:pPr>
      <w:r>
        <w:rPr>
          <w:rFonts w:ascii="Arial" w:cs="Arial" w:eastAsia="Arial" w:hAnsi="Arial"/>
          <w:sz w:val="18"/>
          <w:szCs w:val="18"/>
          <w:color w:val="auto"/>
        </w:rPr>
        <w:t>“Change in Control” means an event or series of events by which (a) Centuri shall fail to own, directly or indirectly, and control (i)</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one hundred percent (100%) on a fully diluted basis of the economic and voting Equity Interests of each US Borrower, and (ii) one hundred percent (100%) on a fully diluted basis of the economic and voting Equity Interests of Centuri Canada or (b) Southwest Gas shall</w:t>
      </w:r>
    </w:p>
    <w:p>
      <w:pPr>
        <w:spacing w:after="0" w:line="2"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fail to own, directly or indirectly, and control at least fifty-one percent (51%) on a fully diluted basis of the economic and voting Equity Interests of each of the Borrowers.</w:t>
      </w:r>
    </w:p>
    <w:p>
      <w:pPr>
        <w:spacing w:after="0" w:line="185"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“Change in Law” means the occurrence, after the date of this Agreement, of any of the following:</w:t>
      </w:r>
    </w:p>
    <w:p>
      <w:pPr>
        <w:jc w:val="both"/>
        <w:ind w:left="58" w:hanging="4"/>
        <w:spacing w:after="0" w:line="221" w:lineRule="auto"/>
        <w:tabs>
          <w:tab w:leader="none" w:pos="587"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21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“CIBC” means Canadian Imperial Bank of Commerce.</w:t>
      </w:r>
    </w:p>
    <w:p>
      <w:pPr>
        <w:spacing w:after="0" w:line="270"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“Class” means (a) when used in reference to any Loan, whether such Loan is a Revolving Credit Loan, Swingline Loan, Term Loan, Extended Term Loan, Extended Revolving Credit Loan, Refinancing Revolving Loan of a given Refinancing Series or Refinancing</w:t>
      </w:r>
    </w:p>
    <w:p>
      <w:pPr>
        <w:ind w:left="58"/>
        <w:spacing w:after="0" w:line="226" w:lineRule="auto"/>
        <w:rPr>
          <w:sz w:val="20"/>
          <w:szCs w:val="20"/>
          <w:color w:val="auto"/>
        </w:rPr>
      </w:pPr>
      <w:r>
        <w:rPr>
          <w:rFonts w:ascii="Arial" w:cs="Arial" w:eastAsia="Arial" w:hAnsi="Arial"/>
          <w:sz w:val="18"/>
          <w:szCs w:val="18"/>
          <w:color w:val="auto"/>
        </w:rPr>
        <w:t>Term Loan of a given Refinancing Series, and (b) when used in reference to any Commitment, whether such Commitment is a Revolving Credit Commitment, a Term Loan Commitment, an Extended Revolving Credit Commitment or Refinancing Revolving Credit</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Commitment of a given Refinancing Series.</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“Closing Date” means the date of this Agreement.</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9"/>
          <w:szCs w:val="19"/>
          <w:color w:val="auto"/>
        </w:rPr>
        <w:t>“Code” means the United States Internal Revenue Code of 1986, and the rules and regulations promulgated thereunder.</w:t>
      </w:r>
    </w:p>
    <w:p>
      <w:pPr>
        <w:spacing w:after="0" w:line="241"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“Collateral” means the collateral security for the Secured Obligations pledged or granted pursuant to the Security Documents.</w:t>
      </w:r>
    </w:p>
    <w:p>
      <w:pPr>
        <w:spacing w:after="0" w:line="23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“Commitment Fee” has the meaning assigned thereto in Section 5.3(a).</w:t>
      </w:r>
    </w:p>
    <w:p>
      <w:pPr>
        <w:spacing w:after="0" w:line="283" w:lineRule="exact"/>
        <w:rPr>
          <w:sz w:val="20"/>
          <w:szCs w:val="20"/>
          <w:color w:val="auto"/>
        </w:rPr>
      </w:pPr>
    </w:p>
    <w:p>
      <w:pPr>
        <w:ind w:left="58" w:right="500" w:firstLine="648"/>
        <w:spacing w:after="0" w:line="229" w:lineRule="auto"/>
        <w:rPr>
          <w:sz w:val="20"/>
          <w:szCs w:val="20"/>
          <w:color w:val="auto"/>
        </w:rPr>
      </w:pPr>
      <w:r>
        <w:rPr>
          <w:rFonts w:ascii="Arial" w:cs="Arial" w:eastAsia="Arial" w:hAnsi="Arial"/>
          <w:sz w:val="20"/>
          <w:szCs w:val="20"/>
          <w:color w:val="auto"/>
        </w:rPr>
        <w:t>“Commitment Percentage” means, as to any Lender, such Lender’s Revolving Credit Commitment Percentage or Term Loan Percentage, as applicable.</w:t>
      </w:r>
    </w:p>
    <w:p>
      <w:pPr>
        <w:spacing w:after="0" w:line="209" w:lineRule="exact"/>
        <w:rPr>
          <w:sz w:val="20"/>
          <w:szCs w:val="20"/>
          <w:color w:val="auto"/>
        </w:rPr>
      </w:pPr>
    </w:p>
    <w:p>
      <w:pPr>
        <w:ind w:left="58" w:right="260" w:firstLine="648"/>
        <w:spacing w:after="0" w:line="229" w:lineRule="auto"/>
        <w:rPr>
          <w:sz w:val="20"/>
          <w:szCs w:val="20"/>
          <w:color w:val="auto"/>
        </w:rPr>
      </w:pPr>
      <w:r>
        <w:rPr>
          <w:rFonts w:ascii="Arial" w:cs="Arial" w:eastAsia="Arial" w:hAnsi="Arial"/>
          <w:sz w:val="20"/>
          <w:szCs w:val="20"/>
          <w:color w:val="auto"/>
        </w:rPr>
        <w:t>“Commitments” means, collectively, as to all Lenders, the Revolving Credit Commitments and the Term Loan Commitments of such Lenders.</w:t>
      </w:r>
    </w:p>
    <w:p>
      <w:pPr>
        <w:spacing w:after="0" w:line="20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“Commodity Exchange Act” means the Commodity Exchange Act (7 U.S.C. § 1 et seq.).</w:t>
      </w:r>
    </w:p>
    <w:p>
      <w:pPr>
        <w:spacing w:after="0" w:line="270" w:lineRule="exact"/>
        <w:rPr>
          <w:sz w:val="20"/>
          <w:szCs w:val="20"/>
          <w:color w:val="auto"/>
        </w:rPr>
      </w:pPr>
    </w:p>
    <w:p>
      <w:pPr>
        <w:ind w:left="58" w:right="1020" w:firstLine="648"/>
        <w:spacing w:after="0" w:line="236" w:lineRule="auto"/>
        <w:rPr>
          <w:sz w:val="20"/>
          <w:szCs w:val="20"/>
          <w:color w:val="auto"/>
        </w:rPr>
      </w:pPr>
      <w:r>
        <w:rPr>
          <w:rFonts w:ascii="Arial" w:cs="Arial" w:eastAsia="Arial" w:hAnsi="Arial"/>
          <w:sz w:val="20"/>
          <w:szCs w:val="20"/>
          <w:color w:val="auto"/>
        </w:rPr>
        <w:t>“Connection Income Taxes”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7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97" w:name="page98"/>
    <w:bookmarkEnd w:id="97"/>
    <w:p>
      <w:pPr>
        <w:ind w:left="38" w:right="20" w:firstLine="648"/>
        <w:spacing w:after="0" w:line="236" w:lineRule="auto"/>
        <w:rPr>
          <w:sz w:val="20"/>
          <w:szCs w:val="20"/>
          <w:color w:val="auto"/>
        </w:rPr>
      </w:pPr>
      <w:r>
        <w:rPr>
          <w:rFonts w:ascii="Arial" w:cs="Arial" w:eastAsia="Arial" w:hAnsi="Arial"/>
          <w:sz w:val="20"/>
          <w:szCs w:val="20"/>
          <w:color w:val="auto"/>
        </w:rPr>
        <w:t>“Consolidated” means, when used with reference to financial statements or financial statement items of any Person, such statements or items on a consolidated basis in accordance with applicable principles of consolidation under GAAP.</w:t>
      </w:r>
    </w:p>
    <w:p>
      <w:pPr>
        <w:spacing w:after="0" w:line="196" w:lineRule="exact"/>
        <w:rPr>
          <w:sz w:val="20"/>
          <w:szCs w:val="20"/>
          <w:color w:val="auto"/>
        </w:rPr>
      </w:pPr>
    </w:p>
    <w:p>
      <w:pPr>
        <w:ind w:left="678"/>
        <w:spacing w:after="0"/>
        <w:rPr>
          <w:sz w:val="20"/>
          <w:szCs w:val="20"/>
          <w:color w:val="auto"/>
        </w:rPr>
      </w:pPr>
      <w:r>
        <w:rPr>
          <w:rFonts w:ascii="Arial" w:cs="Arial" w:eastAsia="Arial" w:hAnsi="Arial"/>
          <w:sz w:val="20"/>
          <w:szCs w:val="20"/>
          <w:color w:val="auto"/>
        </w:rPr>
        <w:t>“Consolidated Companies” means Centuri and its Subsidiaries.</w:t>
      </w:r>
    </w:p>
    <w:p>
      <w:pPr>
        <w:spacing w:after="0" w:line="283" w:lineRule="exact"/>
        <w:rPr>
          <w:sz w:val="20"/>
          <w:szCs w:val="20"/>
          <w:color w:val="auto"/>
        </w:rPr>
      </w:pPr>
    </w:p>
    <w:p>
      <w:pPr>
        <w:ind w:left="38" w:right="20" w:firstLine="648"/>
        <w:spacing w:after="0" w:line="236" w:lineRule="auto"/>
        <w:rPr>
          <w:sz w:val="20"/>
          <w:szCs w:val="20"/>
          <w:color w:val="auto"/>
        </w:rPr>
      </w:pPr>
      <w:r>
        <w:rPr>
          <w:rFonts w:ascii="Arial" w:cs="Arial" w:eastAsia="Arial" w:hAnsi="Arial"/>
          <w:sz w:val="20"/>
          <w:szCs w:val="20"/>
          <w:color w:val="auto"/>
        </w:rPr>
        <w:t>“Consolidated EBITDA” means, for any period, the sum of the following determined on a Consolidated basis, without duplication, for the Consolidated Companies in accordance with GAAP:</w:t>
      </w:r>
    </w:p>
    <w:p>
      <w:pPr>
        <w:spacing w:after="0" w:line="196" w:lineRule="exact"/>
        <w:rPr>
          <w:sz w:val="20"/>
          <w:szCs w:val="20"/>
          <w:color w:val="auto"/>
        </w:rPr>
      </w:pPr>
    </w:p>
    <w:p>
      <w:pPr>
        <w:ind w:left="1898" w:hanging="566"/>
        <w:spacing w:after="0"/>
        <w:tabs>
          <w:tab w:leader="none" w:pos="1898" w:val="left"/>
        </w:tabs>
        <w:numPr>
          <w:ilvl w:val="3"/>
          <w:numId w:val="79"/>
        </w:numPr>
        <w:rPr>
          <w:rFonts w:ascii="Arial" w:cs="Arial" w:eastAsia="Arial" w:hAnsi="Arial"/>
          <w:sz w:val="20"/>
          <w:szCs w:val="20"/>
          <w:color w:val="auto"/>
        </w:rPr>
      </w:pPr>
      <w:r>
        <w:rPr>
          <w:rFonts w:ascii="Arial" w:cs="Arial" w:eastAsia="Arial" w:hAnsi="Arial"/>
          <w:sz w:val="20"/>
          <w:szCs w:val="20"/>
          <w:color w:val="auto"/>
        </w:rPr>
        <w:t>Consolidated Net Income for such period plus</w:t>
      </w:r>
    </w:p>
    <w:p>
      <w:pPr>
        <w:spacing w:after="0" w:line="283" w:lineRule="exact"/>
        <w:rPr>
          <w:rFonts w:ascii="Arial" w:cs="Arial" w:eastAsia="Arial" w:hAnsi="Arial"/>
          <w:sz w:val="20"/>
          <w:szCs w:val="20"/>
          <w:color w:val="auto"/>
        </w:rPr>
      </w:pPr>
    </w:p>
    <w:p>
      <w:pPr>
        <w:ind w:left="38" w:right="220" w:firstLine="646"/>
        <w:spacing w:after="0" w:line="236" w:lineRule="auto"/>
        <w:tabs>
          <w:tab w:leader="none" w:pos="1241"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sum of the following, without duplication, to the extent deducted in determining Consolidated Net Income (other than as set forth in clause (b)(x)(B)) for such period:</w:t>
      </w:r>
    </w:p>
    <w:p>
      <w:pPr>
        <w:spacing w:after="0" w:line="195" w:lineRule="exact"/>
        <w:rPr>
          <w:rFonts w:ascii="Arial" w:cs="Arial" w:eastAsia="Arial" w:hAnsi="Arial"/>
          <w:sz w:val="20"/>
          <w:szCs w:val="20"/>
          <w:color w:val="auto"/>
        </w:rPr>
      </w:pPr>
    </w:p>
    <w:p>
      <w:pPr>
        <w:ind w:left="1878" w:hanging="651"/>
        <w:spacing w:after="0"/>
        <w:tabs>
          <w:tab w:leader="none" w:pos="1878" w:val="left"/>
        </w:tabs>
        <w:numPr>
          <w:ilvl w:val="2"/>
          <w:numId w:val="80"/>
        </w:numPr>
        <w:rPr>
          <w:rFonts w:ascii="Arial" w:cs="Arial" w:eastAsia="Arial" w:hAnsi="Arial"/>
          <w:sz w:val="20"/>
          <w:szCs w:val="20"/>
          <w:color w:val="auto"/>
        </w:rPr>
      </w:pPr>
      <w:r>
        <w:rPr>
          <w:rFonts w:ascii="Arial" w:cs="Arial" w:eastAsia="Arial" w:hAnsi="Arial"/>
          <w:sz w:val="20"/>
          <w:szCs w:val="20"/>
          <w:color w:val="auto"/>
        </w:rPr>
        <w:t>income and franchise taxes,</w:t>
      </w:r>
    </w:p>
    <w:p>
      <w:pPr>
        <w:spacing w:after="0" w:line="215" w:lineRule="exact"/>
        <w:rPr>
          <w:rFonts w:ascii="Arial" w:cs="Arial" w:eastAsia="Arial" w:hAnsi="Arial"/>
          <w:sz w:val="20"/>
          <w:szCs w:val="20"/>
          <w:color w:val="auto"/>
        </w:rPr>
      </w:pPr>
    </w:p>
    <w:p>
      <w:pPr>
        <w:ind w:left="1978" w:hanging="805"/>
        <w:spacing w:after="0"/>
        <w:tabs>
          <w:tab w:leader="none" w:pos="1978" w:val="left"/>
        </w:tabs>
        <w:numPr>
          <w:ilvl w:val="2"/>
          <w:numId w:val="80"/>
        </w:numPr>
        <w:rPr>
          <w:rFonts w:ascii="Arial" w:cs="Arial" w:eastAsia="Arial" w:hAnsi="Arial"/>
          <w:sz w:val="20"/>
          <w:szCs w:val="20"/>
          <w:color w:val="auto"/>
        </w:rPr>
      </w:pPr>
      <w:r>
        <w:rPr>
          <w:rFonts w:ascii="Arial" w:cs="Arial" w:eastAsia="Arial" w:hAnsi="Arial"/>
          <w:sz w:val="20"/>
          <w:szCs w:val="20"/>
          <w:color w:val="auto"/>
        </w:rPr>
        <w:t>Consolidated Interest Expense,</w:t>
      </w:r>
    </w:p>
    <w:p>
      <w:pPr>
        <w:spacing w:after="0" w:line="215" w:lineRule="exact"/>
        <w:rPr>
          <w:rFonts w:ascii="Arial" w:cs="Arial" w:eastAsia="Arial" w:hAnsi="Arial"/>
          <w:sz w:val="20"/>
          <w:szCs w:val="20"/>
          <w:color w:val="auto"/>
        </w:rPr>
      </w:pPr>
    </w:p>
    <w:p>
      <w:pPr>
        <w:jc w:val="both"/>
        <w:ind w:left="678" w:firstLine="440"/>
        <w:spacing w:after="0" w:line="231" w:lineRule="auto"/>
        <w:tabs>
          <w:tab w:leader="none" w:pos="1880" w:val="left"/>
        </w:tabs>
        <w:numPr>
          <w:ilvl w:val="2"/>
          <w:numId w:val="80"/>
        </w:numPr>
        <w:rPr>
          <w:rFonts w:ascii="Arial" w:cs="Arial" w:eastAsia="Arial" w:hAnsi="Arial"/>
          <w:sz w:val="19"/>
          <w:szCs w:val="19"/>
          <w:color w:val="auto"/>
        </w:rPr>
      </w:pPr>
      <w:r>
        <w:rPr>
          <w:rFonts w:ascii="Arial" w:cs="Arial" w:eastAsia="Arial" w:hAnsi="Arial"/>
          <w:sz w:val="19"/>
          <w:szCs w:val="19"/>
          <w:color w:val="auto"/>
        </w:rPr>
        <w:t>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non-cash charges (except to the extent that such non-cash charges are reserved for cash charges to be taken in the future), including any non-cash equity based compensation expense,</w:t>
      </w:r>
    </w:p>
    <w:p>
      <w:pPr>
        <w:spacing w:after="0" w:line="211" w:lineRule="exact"/>
        <w:rPr>
          <w:rFonts w:ascii="Arial" w:cs="Arial" w:eastAsia="Arial" w:hAnsi="Arial"/>
          <w:sz w:val="19"/>
          <w:szCs w:val="19"/>
          <w:color w:val="auto"/>
        </w:rPr>
      </w:pPr>
    </w:p>
    <w:p>
      <w:pPr>
        <w:ind w:left="678" w:firstLine="450"/>
        <w:spacing w:after="0" w:line="229" w:lineRule="auto"/>
        <w:tabs>
          <w:tab w:leader="none" w:pos="1867" w:val="left"/>
        </w:tabs>
        <w:numPr>
          <w:ilvl w:val="1"/>
          <w:numId w:val="80"/>
        </w:numPr>
        <w:rPr>
          <w:rFonts w:ascii="Arial" w:cs="Arial" w:eastAsia="Arial" w:hAnsi="Arial"/>
          <w:sz w:val="20"/>
          <w:szCs w:val="20"/>
          <w:color w:val="auto"/>
        </w:rPr>
      </w:pPr>
      <w:r>
        <w:rPr>
          <w:rFonts w:ascii="Arial" w:cs="Arial" w:eastAsia="Arial" w:hAnsi="Arial"/>
          <w:sz w:val="20"/>
          <w:szCs w:val="20"/>
          <w:color w:val="auto"/>
        </w:rPr>
        <w:t>non-recurring expenses and restructuring charges reducing Consolidated Net Income which do not represent a cash item in such period,</w:t>
      </w:r>
    </w:p>
    <w:p>
      <w:pPr>
        <w:spacing w:after="0" w:line="209" w:lineRule="exact"/>
        <w:rPr>
          <w:rFonts w:ascii="Arial" w:cs="Arial" w:eastAsia="Arial" w:hAnsi="Arial"/>
          <w:sz w:val="20"/>
          <w:szCs w:val="20"/>
          <w:color w:val="auto"/>
        </w:rPr>
      </w:pPr>
    </w:p>
    <w:p>
      <w:pPr>
        <w:ind w:left="1958" w:hanging="775"/>
        <w:spacing w:after="0"/>
        <w:tabs>
          <w:tab w:leader="none" w:pos="1958" w:val="left"/>
        </w:tabs>
        <w:numPr>
          <w:ilvl w:val="1"/>
          <w:numId w:val="80"/>
        </w:numPr>
        <w:rPr>
          <w:rFonts w:ascii="Arial" w:cs="Arial" w:eastAsia="Arial" w:hAnsi="Arial"/>
          <w:sz w:val="20"/>
          <w:szCs w:val="20"/>
          <w:color w:val="auto"/>
        </w:rPr>
      </w:pPr>
      <w:r>
        <w:rPr>
          <w:rFonts w:ascii="Arial" w:cs="Arial" w:eastAsia="Arial" w:hAnsi="Arial"/>
          <w:sz w:val="20"/>
          <w:szCs w:val="20"/>
          <w:color w:val="auto"/>
        </w:rPr>
        <w:t>one-time fees and expenses in connection with the Drum Acquisition,</w:t>
      </w:r>
    </w:p>
    <w:p>
      <w:pPr>
        <w:spacing w:after="0" w:line="215" w:lineRule="exact"/>
        <w:rPr>
          <w:rFonts w:ascii="Arial" w:cs="Arial" w:eastAsia="Arial" w:hAnsi="Arial"/>
          <w:sz w:val="20"/>
          <w:szCs w:val="20"/>
          <w:color w:val="auto"/>
        </w:rPr>
      </w:pPr>
    </w:p>
    <w:p>
      <w:pPr>
        <w:ind w:left="678" w:firstLine="450"/>
        <w:spacing w:after="0" w:line="236" w:lineRule="auto"/>
        <w:tabs>
          <w:tab w:leader="none" w:pos="1880" w:val="left"/>
        </w:tabs>
        <w:numPr>
          <w:ilvl w:val="2"/>
          <w:numId w:val="81"/>
        </w:numPr>
        <w:rPr>
          <w:rFonts w:ascii="Arial" w:cs="Arial" w:eastAsia="Arial" w:hAnsi="Arial"/>
          <w:sz w:val="20"/>
          <w:szCs w:val="20"/>
          <w:color w:val="auto"/>
        </w:rPr>
      </w:pPr>
      <w:r>
        <w:rPr>
          <w:rFonts w:ascii="Arial" w:cs="Arial" w:eastAsia="Arial" w:hAnsi="Arial"/>
          <w:sz w:val="20"/>
          <w:szCs w:val="20"/>
          <w:color w:val="auto"/>
        </w:rPr>
        <w:t>net unrealized losses resulting from mark to market accounting for hedging activities, including, without limitation those resulting from the application of FASB Accounting Standards Codification 815,</w:t>
      </w:r>
    </w:p>
    <w:p>
      <w:pPr>
        <w:spacing w:after="0" w:line="195" w:lineRule="exact"/>
        <w:rPr>
          <w:rFonts w:ascii="Arial" w:cs="Arial" w:eastAsia="Arial" w:hAnsi="Arial"/>
          <w:sz w:val="20"/>
          <w:szCs w:val="20"/>
          <w:color w:val="auto"/>
        </w:rPr>
      </w:pPr>
    </w:p>
    <w:p>
      <w:pPr>
        <w:ind w:left="1878" w:hanging="805"/>
        <w:spacing w:after="0"/>
        <w:tabs>
          <w:tab w:leader="none" w:pos="1878" w:val="left"/>
        </w:tabs>
        <w:numPr>
          <w:ilvl w:val="2"/>
          <w:numId w:val="81"/>
        </w:numPr>
        <w:rPr>
          <w:rFonts w:ascii="Arial" w:cs="Arial" w:eastAsia="Arial" w:hAnsi="Arial"/>
          <w:sz w:val="19"/>
          <w:szCs w:val="19"/>
          <w:color w:val="auto"/>
        </w:rPr>
      </w:pPr>
      <w:r>
        <w:rPr>
          <w:rFonts w:ascii="Arial" w:cs="Arial" w:eastAsia="Arial" w:hAnsi="Arial"/>
          <w:sz w:val="19"/>
          <w:szCs w:val="19"/>
          <w:color w:val="auto"/>
        </w:rPr>
        <w:t>net unrealized non-cash losses resulting from foreign currency balance sheet adjustments required by GAAP,</w:t>
      </w:r>
    </w:p>
    <w:p>
      <w:pPr>
        <w:spacing w:after="0" w:line="227" w:lineRule="exact"/>
        <w:rPr>
          <w:rFonts w:ascii="Arial" w:cs="Arial" w:eastAsia="Arial" w:hAnsi="Arial"/>
          <w:sz w:val="19"/>
          <w:szCs w:val="19"/>
          <w:color w:val="auto"/>
        </w:rPr>
      </w:pPr>
    </w:p>
    <w:p>
      <w:pPr>
        <w:ind w:left="678" w:right="20" w:firstLine="341"/>
        <w:spacing w:after="0" w:line="212" w:lineRule="auto"/>
        <w:tabs>
          <w:tab w:leader="none" w:pos="1880" w:val="left"/>
        </w:tabs>
        <w:numPr>
          <w:ilvl w:val="2"/>
          <w:numId w:val="81"/>
        </w:numPr>
        <w:rPr>
          <w:rFonts w:ascii="Arial" w:cs="Arial" w:eastAsia="Arial" w:hAnsi="Arial"/>
          <w:sz w:val="20"/>
          <w:szCs w:val="20"/>
          <w:color w:val="auto"/>
        </w:rPr>
      </w:pPr>
      <w:r>
        <w:rPr>
          <w:rFonts w:ascii="Arial" w:cs="Arial" w:eastAsia="Arial" w:hAnsi="Arial"/>
          <w:sz w:val="20"/>
          <w:szCs w:val="20"/>
          <w:color w:val="auto"/>
        </w:rPr>
        <w:t>all transaction fees, charges and other amounts related to this Agreement and any amendment or other modification to the Loan Documents, in each case to the extent paid within six</w:t>
      </w:r>
    </w:p>
    <w:p>
      <w:pPr>
        <w:spacing w:after="0" w:line="1" w:lineRule="exact"/>
        <w:rPr>
          <w:rFonts w:ascii="Arial" w:cs="Arial" w:eastAsia="Arial" w:hAnsi="Arial"/>
          <w:sz w:val="20"/>
          <w:szCs w:val="20"/>
          <w:color w:val="auto"/>
        </w:rPr>
      </w:pPr>
    </w:p>
    <w:p>
      <w:pPr>
        <w:ind w:left="678"/>
        <w:spacing w:after="0"/>
        <w:rPr>
          <w:rFonts w:ascii="Arial" w:cs="Arial" w:eastAsia="Arial" w:hAnsi="Arial"/>
          <w:sz w:val="20"/>
          <w:szCs w:val="20"/>
          <w:color w:val="auto"/>
        </w:rPr>
      </w:pPr>
      <w:r>
        <w:rPr>
          <w:rFonts w:ascii="Arial" w:cs="Arial" w:eastAsia="Arial" w:hAnsi="Arial"/>
          <w:sz w:val="20"/>
          <w:szCs w:val="20"/>
          <w:color w:val="auto"/>
        </w:rPr>
        <w:t>(6) months of the Closing Date or the effectiveness of such amendment or other modification,</w:t>
      </w:r>
    </w:p>
    <w:p>
      <w:pPr>
        <w:spacing w:after="0" w:line="213" w:lineRule="exact"/>
        <w:rPr>
          <w:rFonts w:ascii="Arial" w:cs="Arial" w:eastAsia="Arial" w:hAnsi="Arial"/>
          <w:sz w:val="20"/>
          <w:szCs w:val="20"/>
          <w:color w:val="auto"/>
        </w:rPr>
      </w:pPr>
    </w:p>
    <w:p>
      <w:pPr>
        <w:jc w:val="both"/>
        <w:ind w:left="678" w:firstLine="450"/>
        <w:spacing w:after="0" w:line="223" w:lineRule="auto"/>
        <w:tabs>
          <w:tab w:leader="none" w:pos="1880" w:val="left"/>
        </w:tabs>
        <w:numPr>
          <w:ilvl w:val="2"/>
          <w:numId w:val="81"/>
        </w:numPr>
        <w:rPr>
          <w:rFonts w:ascii="Arial" w:cs="Arial" w:eastAsia="Arial" w:hAnsi="Arial"/>
          <w:sz w:val="19"/>
          <w:szCs w:val="19"/>
          <w:color w:val="auto"/>
        </w:rPr>
      </w:pPr>
      <w:r>
        <w:rPr>
          <w:rFonts w:ascii="Arial" w:cs="Arial" w:eastAsia="Arial" w:hAnsi="Arial"/>
          <w:sz w:val="19"/>
          <w:szCs w:val="19"/>
          <w:color w:val="auto"/>
        </w:rPr>
        <w:t>all transaction fees, charges and other amounts (including any financing fees, merger and acquisition fees, legal fees and expenses, due diligence fees or any other fees and expenses in connection therewith) in connection with any Permitted Acquisition, Investment, disposition, issuance or repurchase of Equity Interests, or the incurrence, amendment or waiver of Indebtedness permitted hereunder (other than those related to the Transactions or with respect to any amendment or modification of the Loan Documents), in each case, whether or not consummated, in each case to the extent paid within six (6) months of the closing or effectiveness of such event or the termination or abandonment of such transaction, as the case may be; provided that the aggregate amount added pursuant to this clause (b)(ix) taken together with the aggregate amount added pursuant to clause (b)(x) for any four quarter period shall in no event exceed twenty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8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98" w:name="page99"/>
    <w:bookmarkEnd w:id="98"/>
    <w:p>
      <w:pPr>
        <w:ind w:left="720" w:right="40"/>
        <w:spacing w:after="0" w:line="236" w:lineRule="auto"/>
        <w:rPr>
          <w:sz w:val="20"/>
          <w:szCs w:val="20"/>
          <w:color w:val="auto"/>
        </w:rPr>
      </w:pPr>
      <w:r>
        <w:rPr>
          <w:rFonts w:ascii="Arial" w:cs="Arial" w:eastAsia="Arial" w:hAnsi="Arial"/>
          <w:sz w:val="20"/>
          <w:szCs w:val="20"/>
          <w:color w:val="auto"/>
        </w:rPr>
        <w:t>percent (20%) of Consolidated EBITDA for such period (calculated prior to any such add-backs pursuant to clauses (b)(ix) and (b) (x)),</w:t>
      </w:r>
    </w:p>
    <w:p>
      <w:pPr>
        <w:spacing w:after="0" w:line="196" w:lineRule="exact"/>
        <w:rPr>
          <w:sz w:val="20"/>
          <w:szCs w:val="20"/>
          <w:color w:val="auto"/>
        </w:rPr>
      </w:pPr>
    </w:p>
    <w:p>
      <w:pPr>
        <w:jc w:val="both"/>
        <w:ind w:left="720" w:firstLine="503"/>
        <w:spacing w:after="0" w:line="231" w:lineRule="auto"/>
        <w:tabs>
          <w:tab w:leader="none" w:pos="190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other unusual and non-recurring cash expenses or charges, (B) the amount of any “run rate” synergies, operating expense reductions and other net cost savings and integration costs, in each case projected by the Borrowers in connection with Permitted Acquisitions, Asset Dispositions (including the termination or discontinuance of activities constituting such business) and/or other operating improvement, restructuring, cost savings initiative or other similar initiative taken after the Closing Date that have been consummated during the applicable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and (C) solely during the period from June 30, 2021 through December 31, 2022, the amount of projected EBITDA relating to the fourteen Exelon and Avangrid Master Services Agreements awarded in 2020 in an amount equal to $14,300,000 less the cumulative amount of actual EBITDA relating to such agreements after June 30, 2021); provided that (i) such synergies, expense reductions and cost savings are reasonably identifiable, factually supportable, expected to have a continuing impact on the operations of the Combined Companies and have been determined by the Borrowers in good faith to be reasonably anticipated to be realizable within eighteen</w:t>
      </w:r>
    </w:p>
    <w:p>
      <w:pPr>
        <w:spacing w:after="0" w:line="1" w:lineRule="exact"/>
        <w:rPr>
          <w:rFonts w:ascii="Arial" w:cs="Arial" w:eastAsia="Arial" w:hAnsi="Arial"/>
          <w:sz w:val="18"/>
          <w:szCs w:val="18"/>
          <w:color w:val="auto"/>
        </w:rPr>
      </w:pPr>
    </w:p>
    <w:p>
      <w:pPr>
        <w:jc w:val="both"/>
        <w:ind w:left="720" w:firstLine="4"/>
        <w:spacing w:after="0" w:line="235" w:lineRule="auto"/>
        <w:tabs>
          <w:tab w:leader="none" w:pos="11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months following any such action as set forth in reasonable detail on a certificate of a Responsible Officer of Centuri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(b)(x) taken together with the aggregate amount added pursuant to clause (b)(ix) for any four quarter period shall in no event exceed twenty percent (20%) of Consolidated EBITDA for such period (calculated prior to any such add-backs pursuant to clauses (b)(ix) and (b)(x)), less</w:t>
      </w:r>
    </w:p>
    <w:p>
      <w:pPr>
        <w:spacing w:after="0" w:line="266" w:lineRule="exact"/>
        <w:rPr>
          <w:sz w:val="20"/>
          <w:szCs w:val="20"/>
          <w:color w:val="auto"/>
        </w:rPr>
      </w:pPr>
    </w:p>
    <w:p>
      <w:pPr>
        <w:ind w:left="1260" w:hanging="536"/>
        <w:spacing w:after="0"/>
        <w:tabs>
          <w:tab w:leader="none" w:pos="12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sum of the following, without duplication, to the extent included in determining Consolidated Net Income for such</w:t>
      </w:r>
    </w:p>
    <w:p>
      <w:pPr>
        <w:ind w:left="80"/>
        <w:spacing w:after="0"/>
        <w:rPr>
          <w:sz w:val="20"/>
          <w:szCs w:val="20"/>
          <w:color w:val="auto"/>
        </w:rPr>
      </w:pPr>
      <w:r>
        <w:rPr>
          <w:rFonts w:ascii="Arial" w:cs="Arial" w:eastAsia="Arial" w:hAnsi="Arial"/>
          <w:sz w:val="20"/>
          <w:szCs w:val="20"/>
          <w:color w:val="auto"/>
        </w:rPr>
        <w:t>period:</w:t>
      </w:r>
    </w:p>
    <w:p>
      <w:pPr>
        <w:spacing w:after="0" w:line="200" w:lineRule="exact"/>
        <w:rPr>
          <w:sz w:val="20"/>
          <w:szCs w:val="20"/>
          <w:color w:val="auto"/>
        </w:rPr>
      </w:pPr>
    </w:p>
    <w:p>
      <w:pPr>
        <w:ind w:left="1920" w:hanging="653"/>
        <w:spacing w:after="0"/>
        <w:tabs>
          <w:tab w:leader="none" w:pos="1920" w:val="left"/>
        </w:tabs>
        <w:numPr>
          <w:ilvl w:val="1"/>
          <w:numId w:val="86"/>
        </w:numPr>
        <w:rPr>
          <w:rFonts w:ascii="Arial" w:cs="Arial" w:eastAsia="Arial" w:hAnsi="Arial"/>
          <w:sz w:val="20"/>
          <w:szCs w:val="20"/>
          <w:color w:val="auto"/>
        </w:rPr>
      </w:pPr>
      <w:r>
        <w:rPr>
          <w:rFonts w:ascii="Arial" w:cs="Arial" w:eastAsia="Arial" w:hAnsi="Arial"/>
          <w:sz w:val="20"/>
          <w:szCs w:val="20"/>
          <w:color w:val="auto"/>
        </w:rPr>
        <w:t>interest income,</w:t>
      </w:r>
    </w:p>
    <w:p>
      <w:pPr>
        <w:spacing w:after="0" w:line="215" w:lineRule="exact"/>
        <w:rPr>
          <w:rFonts w:ascii="Arial" w:cs="Arial" w:eastAsia="Arial" w:hAnsi="Arial"/>
          <w:sz w:val="20"/>
          <w:szCs w:val="20"/>
          <w:color w:val="auto"/>
        </w:rPr>
      </w:pPr>
    </w:p>
    <w:p>
      <w:pPr>
        <w:ind w:left="2020" w:hanging="807"/>
        <w:spacing w:after="0"/>
        <w:tabs>
          <w:tab w:leader="none" w:pos="2020" w:val="left"/>
        </w:tabs>
        <w:numPr>
          <w:ilvl w:val="1"/>
          <w:numId w:val="86"/>
        </w:numPr>
        <w:rPr>
          <w:rFonts w:ascii="Arial" w:cs="Arial" w:eastAsia="Arial" w:hAnsi="Arial"/>
          <w:sz w:val="20"/>
          <w:szCs w:val="20"/>
          <w:color w:val="auto"/>
        </w:rPr>
      </w:pPr>
      <w:r>
        <w:rPr>
          <w:rFonts w:ascii="Arial" w:cs="Arial" w:eastAsia="Arial" w:hAnsi="Arial"/>
          <w:sz w:val="20"/>
          <w:szCs w:val="20"/>
          <w:color w:val="auto"/>
        </w:rPr>
        <w:t>unusual or non-recurring gains,</w:t>
      </w:r>
    </w:p>
    <w:p>
      <w:pPr>
        <w:spacing w:after="0" w:line="229" w:lineRule="exact"/>
        <w:rPr>
          <w:rFonts w:ascii="Arial" w:cs="Arial" w:eastAsia="Arial" w:hAnsi="Arial"/>
          <w:sz w:val="20"/>
          <w:szCs w:val="20"/>
          <w:color w:val="auto"/>
        </w:rPr>
      </w:pPr>
    </w:p>
    <w:p>
      <w:pPr>
        <w:ind w:left="2020" w:hanging="862"/>
        <w:spacing w:after="0"/>
        <w:tabs>
          <w:tab w:leader="none" w:pos="2020" w:val="left"/>
        </w:tabs>
        <w:numPr>
          <w:ilvl w:val="1"/>
          <w:numId w:val="86"/>
        </w:numPr>
        <w:rPr>
          <w:rFonts w:ascii="Arial" w:cs="Arial" w:eastAsia="Arial" w:hAnsi="Arial"/>
          <w:sz w:val="20"/>
          <w:szCs w:val="20"/>
          <w:color w:val="auto"/>
        </w:rPr>
      </w:pPr>
      <w:r>
        <w:rPr>
          <w:rFonts w:ascii="Arial" w:cs="Arial" w:eastAsia="Arial" w:hAnsi="Arial"/>
          <w:sz w:val="20"/>
          <w:szCs w:val="20"/>
          <w:color w:val="auto"/>
        </w:rPr>
        <w:t>net unrealized gains for items set forth in the foregoing clauses (b)(vi) and (vii),</w:t>
      </w:r>
    </w:p>
    <w:p>
      <w:pPr>
        <w:spacing w:after="0" w:line="215" w:lineRule="exact"/>
        <w:rPr>
          <w:rFonts w:ascii="Arial" w:cs="Arial" w:eastAsia="Arial" w:hAnsi="Arial"/>
          <w:sz w:val="20"/>
          <w:szCs w:val="20"/>
          <w:color w:val="auto"/>
        </w:rPr>
      </w:pPr>
    </w:p>
    <w:p>
      <w:pPr>
        <w:ind w:left="2000" w:hanging="831"/>
        <w:spacing w:after="0"/>
        <w:tabs>
          <w:tab w:leader="none" w:pos="20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non-cash gains or non-cash items increasing Consolidated Net Income, and</w:t>
      </w:r>
    </w:p>
    <w:p>
      <w:pPr>
        <w:spacing w:after="0" w:line="215" w:lineRule="exact"/>
        <w:rPr>
          <w:rFonts w:ascii="Arial" w:cs="Arial" w:eastAsia="Arial" w:hAnsi="Arial"/>
          <w:sz w:val="20"/>
          <w:szCs w:val="20"/>
          <w:color w:val="auto"/>
        </w:rPr>
      </w:pPr>
    </w:p>
    <w:p>
      <w:pPr>
        <w:jc w:val="both"/>
        <w:ind w:left="720" w:right="20" w:firstLine="502"/>
        <w:spacing w:after="0" w:line="227" w:lineRule="auto"/>
        <w:tabs>
          <w:tab w:leader="none" w:pos="1895"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purposes of this Agreement, Consolidated EBITDA shall be adjusted on a Pro Forma Basis. Notwithstanding the foregoing,</w:t>
      </w:r>
    </w:p>
    <w:p>
      <w:pPr>
        <w:spacing w:after="0" w:line="30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Consolidated EBITDA for the fiscal quarters ending September 30,</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2020, January 3, 2021, April 4, 2021 and July 4, 2021 shall be the amounts corresponding to such fiscal quarters set forth on Schedule</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20"/>
          <w:szCs w:val="20"/>
          <w:color w:val="auto"/>
        </w:rPr>
        <w:t>1.1(c).</w:t>
      </w:r>
    </w:p>
    <w:p>
      <w:pPr>
        <w:spacing w:after="0" w:line="267" w:lineRule="exact"/>
        <w:rPr>
          <w:sz w:val="20"/>
          <w:szCs w:val="20"/>
          <w:color w:val="auto"/>
        </w:rPr>
      </w:pPr>
    </w:p>
    <w:p>
      <w:pPr>
        <w:ind w:left="80" w:right="400" w:firstLine="648"/>
        <w:spacing w:after="0" w:line="229" w:lineRule="auto"/>
        <w:rPr>
          <w:sz w:val="20"/>
          <w:szCs w:val="20"/>
          <w:color w:val="auto"/>
        </w:rPr>
      </w:pPr>
      <w:r>
        <w:rPr>
          <w:rFonts w:ascii="Arial" w:cs="Arial" w:eastAsia="Arial" w:hAnsi="Arial"/>
          <w:sz w:val="20"/>
          <w:szCs w:val="20"/>
          <w:color w:val="auto"/>
        </w:rPr>
        <w:t>“Consolidated Funded Indebtedness” means, as of any date of determination with respect to the Consolidated Companies on a Consolidated basis, without duplication, the sum of all Indebtedness (other</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1405" w:right="439" w:bottom="1440" w:gutter="0" w:footer="0" w:header="0"/>
        </w:sectPr>
      </w:pPr>
    </w:p>
    <w:bookmarkStart w:id="99" w:name="page100"/>
    <w:bookmarkEnd w:id="99"/>
    <w:p>
      <w:pPr>
        <w:ind w:left="80"/>
        <w:spacing w:after="0"/>
        <w:rPr>
          <w:sz w:val="20"/>
          <w:szCs w:val="20"/>
          <w:color w:val="auto"/>
        </w:rPr>
      </w:pPr>
      <w:r>
        <w:rPr>
          <w:rFonts w:ascii="Arial" w:cs="Arial" w:eastAsia="Arial" w:hAnsi="Arial"/>
          <w:sz w:val="20"/>
          <w:szCs w:val="20"/>
          <w:color w:val="auto"/>
        </w:rPr>
        <w:t>than Indebtedness in respect of obligations under any undrawn letter of credit) of the Consolidated Companies.</w:t>
      </w:r>
    </w:p>
    <w:p>
      <w:pPr>
        <w:spacing w:after="0" w:line="216" w:lineRule="exact"/>
        <w:rPr>
          <w:sz w:val="20"/>
          <w:szCs w:val="20"/>
          <w:color w:val="auto"/>
        </w:rPr>
      </w:pPr>
    </w:p>
    <w:p>
      <w:pPr>
        <w:jc w:val="both"/>
        <w:ind w:left="80" w:firstLine="648"/>
        <w:spacing w:after="0" w:line="227" w:lineRule="auto"/>
        <w:rPr>
          <w:sz w:val="20"/>
          <w:szCs w:val="20"/>
          <w:color w:val="auto"/>
        </w:rPr>
      </w:pPr>
      <w:r>
        <w:rPr>
          <w:rFonts w:ascii="Arial" w:cs="Arial" w:eastAsia="Arial" w:hAnsi="Arial"/>
          <w:sz w:val="20"/>
          <w:szCs w:val="20"/>
          <w:color w:val="auto"/>
        </w:rPr>
        <w:t>“Consolidated Interest Coverage Ratio” means, as of any date of determination, determined on a Consolidated basis, without duplication, for the Consolidated Companies in accordance with GAAP: the ratio of (a) Consolidated EBITDA for the period of four (4) consecutive fiscal quarters ending on such date to (b) Consolidated Interest Expense for such period.</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Interest Expense” means, for any period, the sum of the following determined on a Consolidated basis, without</w:t>
      </w:r>
    </w:p>
    <w:p>
      <w:pPr>
        <w:spacing w:after="0" w:line="12" w:lineRule="exact"/>
        <w:rPr>
          <w:sz w:val="20"/>
          <w:szCs w:val="20"/>
          <w:color w:val="auto"/>
        </w:rPr>
      </w:pPr>
    </w:p>
    <w:p>
      <w:pPr>
        <w:jc w:val="both"/>
        <w:ind w:left="80"/>
        <w:spacing w:after="0" w:line="226" w:lineRule="auto"/>
        <w:rPr>
          <w:sz w:val="20"/>
          <w:szCs w:val="20"/>
          <w:color w:val="auto"/>
        </w:rPr>
      </w:pPr>
      <w:r>
        <w:rPr>
          <w:rFonts w:ascii="Arial" w:cs="Arial" w:eastAsia="Arial" w:hAnsi="Arial"/>
          <w:sz w:val="18"/>
          <w:szCs w:val="18"/>
          <w:color w:val="auto"/>
        </w:rPr>
        <w:t>duplication, for the Consolidated Companies in accordance with GAAP, interest expense (including, without limitation, interest expense attributable to Capital Lease Obligations and all net payment obligations pursuant to Hedge Agreements) for such period. For purposes of</w:t>
      </w:r>
    </w:p>
    <w:p>
      <w:pPr>
        <w:ind w:left="80"/>
        <w:spacing w:after="0" w:line="236" w:lineRule="auto"/>
        <w:rPr>
          <w:sz w:val="20"/>
          <w:szCs w:val="20"/>
          <w:color w:val="auto"/>
        </w:rPr>
      </w:pPr>
      <w:r>
        <w:rPr>
          <w:rFonts w:ascii="Arial" w:cs="Arial" w:eastAsia="Arial" w:hAnsi="Arial"/>
          <w:sz w:val="18"/>
          <w:szCs w:val="18"/>
          <w:color w:val="auto"/>
        </w:rPr>
        <w:t>this Agreement, Consolidated Interest Expense shall be adjusted on a Pro Forma Basis. Notwithstanding the foregoing, Consolidated</w:t>
      </w:r>
    </w:p>
    <w:p>
      <w:pPr>
        <w:spacing w:after="0" w:line="1" w:lineRule="exact"/>
        <w:rPr>
          <w:sz w:val="20"/>
          <w:szCs w:val="20"/>
          <w:color w:val="auto"/>
        </w:rPr>
      </w:pPr>
    </w:p>
    <w:p>
      <w:pPr>
        <w:jc w:val="both"/>
        <w:ind w:left="80" w:right="20"/>
        <w:spacing w:after="0" w:line="226" w:lineRule="auto"/>
        <w:rPr>
          <w:sz w:val="20"/>
          <w:szCs w:val="20"/>
          <w:color w:val="auto"/>
        </w:rPr>
      </w:pPr>
      <w:r>
        <w:rPr>
          <w:rFonts w:ascii="Arial" w:cs="Arial" w:eastAsia="Arial" w:hAnsi="Arial"/>
          <w:sz w:val="18"/>
          <w:szCs w:val="18"/>
          <w:color w:val="auto"/>
        </w:rPr>
        <w:t>Interest Expense for the period of four (4) consecutive fiscal quarters ending on September 30, 2021, December 31, 2021 and March 31, 2022 shall be calculated (i) for the fiscal quarter ending September 30, 2021, Consolidated Interest Expense for the fiscal quarter ending</w:t>
      </w:r>
    </w:p>
    <w:p>
      <w:pPr>
        <w:ind w:left="80"/>
        <w:spacing w:after="0" w:line="236" w:lineRule="auto"/>
        <w:rPr>
          <w:sz w:val="20"/>
          <w:szCs w:val="20"/>
          <w:color w:val="auto"/>
        </w:rPr>
      </w:pPr>
      <w:r>
        <w:rPr>
          <w:rFonts w:ascii="Arial" w:cs="Arial" w:eastAsia="Arial" w:hAnsi="Arial"/>
          <w:sz w:val="18"/>
          <w:szCs w:val="18"/>
          <w:color w:val="auto"/>
        </w:rPr>
        <w:t>on such date times four (4), (ii) for the fiscal quarter ending December 31, 2021, Consolidated Interest Expense for the two consecutive</w:t>
      </w:r>
    </w:p>
    <w:p>
      <w:pPr>
        <w:spacing w:after="0" w:line="1" w:lineRule="exact"/>
        <w:rPr>
          <w:sz w:val="20"/>
          <w:szCs w:val="20"/>
          <w:color w:val="auto"/>
        </w:rPr>
      </w:pPr>
    </w:p>
    <w:p>
      <w:pPr>
        <w:jc w:val="both"/>
        <w:ind w:left="80"/>
        <w:spacing w:after="0" w:line="220" w:lineRule="auto"/>
        <w:rPr>
          <w:sz w:val="20"/>
          <w:szCs w:val="20"/>
          <w:color w:val="auto"/>
        </w:rPr>
      </w:pPr>
      <w:r>
        <w:rPr>
          <w:rFonts w:ascii="Arial" w:cs="Arial" w:eastAsia="Arial" w:hAnsi="Arial"/>
          <w:sz w:val="20"/>
          <w:szCs w:val="20"/>
          <w:color w:val="auto"/>
        </w:rPr>
        <w:t>fiscal quarters ending on such date times two (2) and (iii) for the fiscal quarter ending March 31, 2022, Consolidated Interest Expense for the three consecutive fiscal quarters ending on such date times four-third (4/3).</w:t>
      </w:r>
    </w:p>
    <w:p>
      <w:pPr>
        <w:spacing w:after="0" w:line="210" w:lineRule="exact"/>
        <w:rPr>
          <w:sz w:val="20"/>
          <w:szCs w:val="20"/>
          <w:color w:val="auto"/>
        </w:rPr>
      </w:pPr>
    </w:p>
    <w:p>
      <w:pPr>
        <w:ind w:left="540" w:firstLine="318"/>
        <w:spacing w:after="0" w:line="265" w:lineRule="auto"/>
        <w:rPr>
          <w:sz w:val="20"/>
          <w:szCs w:val="20"/>
          <w:color w:val="auto"/>
        </w:rPr>
      </w:pPr>
      <w:r>
        <w:rPr>
          <w:rFonts w:ascii="Arial" w:cs="Arial" w:eastAsia="Arial" w:hAnsi="Arial"/>
          <w:sz w:val="16"/>
          <w:szCs w:val="16"/>
          <w:color w:val="auto"/>
        </w:rPr>
        <w:t>“Consolidated Net Leverage Ratio” means, as of any date of determination, the ratio of (a) Consolidated Funded Indebtedness on such date minus the amount of Unrestricted cash and Cash Equivalents of Centuri and its Subsidiaries (excluding the proceeds of any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Incremental Term Loans or any other Indebtedness incurred or made substantially concurrent with the determination of the amount of such</w:t>
      </w:r>
    </w:p>
    <w:p>
      <w:pPr>
        <w:spacing w:after="0" w:line="19" w:lineRule="exact"/>
        <w:rPr>
          <w:sz w:val="20"/>
          <w:szCs w:val="20"/>
          <w:color w:val="auto"/>
        </w:rPr>
      </w:pPr>
    </w:p>
    <w:p>
      <w:pPr>
        <w:jc w:val="right"/>
        <w:ind w:left="160"/>
        <w:spacing w:after="0" w:line="220" w:lineRule="auto"/>
        <w:rPr>
          <w:sz w:val="20"/>
          <w:szCs w:val="20"/>
          <w:color w:val="auto"/>
        </w:rPr>
      </w:pPr>
      <w:r>
        <w:rPr>
          <w:rFonts w:ascii="Arial" w:cs="Arial" w:eastAsia="Arial" w:hAnsi="Arial"/>
          <w:sz w:val="20"/>
          <w:szCs w:val="20"/>
          <w:color w:val="auto"/>
        </w:rPr>
        <w:t>Unrestricted cash and Cash Equivalents) on such date, not to exceed $150,000,000, to (b) Consolidated EBITDA for the period of four (4) consecutive fiscal quarters ending on or immediately prior to such date.</w:t>
      </w:r>
    </w:p>
    <w:p>
      <w:pPr>
        <w:spacing w:after="0" w:line="197" w:lineRule="exact"/>
        <w:rPr>
          <w:sz w:val="20"/>
          <w:szCs w:val="20"/>
          <w:color w:val="auto"/>
        </w:rPr>
      </w:pPr>
    </w:p>
    <w:p>
      <w:pPr>
        <w:ind w:left="80" w:firstLine="648"/>
        <w:spacing w:after="0" w:line="231" w:lineRule="auto"/>
        <w:rPr>
          <w:sz w:val="20"/>
          <w:szCs w:val="20"/>
          <w:color w:val="auto"/>
        </w:rPr>
      </w:pPr>
      <w:r>
        <w:rPr>
          <w:rFonts w:ascii="Arial" w:cs="Arial" w:eastAsia="Arial" w:hAnsi="Arial"/>
          <w:sz w:val="19"/>
          <w:szCs w:val="19"/>
          <w:color w:val="auto"/>
        </w:rPr>
        <w:t>“Consolidated Net Income” means, for any period, the net income (or loss) of the Consolidated Companies for such period, determined on a Consolidated basis, without duplication, in accordance with GAAP; provided, that in calculating Consolidated Net</w:t>
      </w:r>
    </w:p>
    <w:p>
      <w:pPr>
        <w:jc w:val="both"/>
        <w:ind w:left="80" w:right="20"/>
        <w:spacing w:after="0" w:line="226" w:lineRule="auto"/>
        <w:rPr>
          <w:sz w:val="20"/>
          <w:szCs w:val="20"/>
          <w:color w:val="auto"/>
        </w:rPr>
      </w:pPr>
      <w:r>
        <w:rPr>
          <w:rFonts w:ascii="Arial" w:cs="Arial" w:eastAsia="Arial" w:hAnsi="Arial"/>
          <w:sz w:val="18"/>
          <w:szCs w:val="18"/>
          <w:color w:val="auto"/>
        </w:rPr>
        <w:t>Income of the Consolidated Companies for any period, there shall be excluded (a) the net income (or loss) of any Person (other than a Subsidiary which shall be subject to clause (c) below), in which any of the Consolidated Companies has a joint interest with a third party,</w:t>
      </w:r>
    </w:p>
    <w:p>
      <w:pPr>
        <w:spacing w:after="0" w:line="2" w:lineRule="exact"/>
        <w:rPr>
          <w:sz w:val="20"/>
          <w:szCs w:val="20"/>
          <w:color w:val="auto"/>
        </w:rPr>
      </w:pPr>
    </w:p>
    <w:p>
      <w:pPr>
        <w:ind w:left="80" w:right="20"/>
        <w:spacing w:after="0" w:line="204" w:lineRule="auto"/>
        <w:rPr>
          <w:sz w:val="20"/>
          <w:szCs w:val="20"/>
          <w:color w:val="auto"/>
        </w:rPr>
      </w:pPr>
      <w:r>
        <w:rPr>
          <w:rFonts w:ascii="Arial" w:cs="Arial" w:eastAsia="Arial" w:hAnsi="Arial"/>
          <w:sz w:val="20"/>
          <w:szCs w:val="20"/>
          <w:color w:val="auto"/>
        </w:rPr>
        <w:t>except to the extent such net income is actually paid in cash to any of the Consolidated Companies by dividend or other distribution during such period (provided that the net income (or loss) of</w:t>
      </w:r>
    </w:p>
    <w:p>
      <w:pPr>
        <w:spacing w:after="0" w:line="1" w:lineRule="exact"/>
        <w:rPr>
          <w:sz w:val="20"/>
          <w:szCs w:val="20"/>
          <w:color w:val="auto"/>
        </w:rPr>
      </w:pPr>
    </w:p>
    <w:p>
      <w:pPr>
        <w:ind w:left="80"/>
        <w:spacing w:after="0" w:line="234" w:lineRule="auto"/>
        <w:rPr>
          <w:sz w:val="20"/>
          <w:szCs w:val="20"/>
          <w:color w:val="auto"/>
        </w:rPr>
      </w:pPr>
      <w:r>
        <w:rPr>
          <w:rFonts w:ascii="Arial" w:cs="Arial" w:eastAsia="Arial" w:hAnsi="Arial"/>
          <w:sz w:val="18"/>
          <w:szCs w:val="18"/>
          <w:color w:val="auto"/>
        </w:rPr>
        <w:t>W.S. Nicholls Western Construction, Ltd. and VRO Construction Partners 1, LLC attributable to the ownership percentage held by the Consolidated Companies shall be included regardless of whether such amounts are paid in cash to the Consolidated Companies), (b) the</w:t>
      </w:r>
    </w:p>
    <w:p>
      <w:pPr>
        <w:spacing w:after="0" w:line="1"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net income (or loss) of any Person accrued prior to the date it becomes a Subsidiary of any of the Consolidated Companies or is merged into or consolidated with any of the Consolidated Companies or that Person’s assets are acquired by any of the Consolidated Companies</w:t>
      </w:r>
    </w:p>
    <w:p>
      <w:pPr>
        <w:spacing w:after="0" w:line="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except to the extent included pursuant to the foregoing clause (a), (c) the net income (if positive), of any Subsidiary to the extent that the declaration or payment of dividends or similar distributions by such Subsidiary to any of the Consolidated Companies of such net income</w:t>
      </w:r>
    </w:p>
    <w:p>
      <w:pPr>
        <w:spacing w:after="0" w:line="2" w:lineRule="exact"/>
        <w:rPr>
          <w:sz w:val="20"/>
          <w:szCs w:val="20"/>
          <w:color w:val="auto"/>
        </w:rPr>
      </w:pPr>
    </w:p>
    <w:p>
      <w:pPr>
        <w:jc w:val="both"/>
        <w:ind w:left="80" w:right="20" w:hanging="4"/>
        <w:spacing w:after="0" w:line="250" w:lineRule="auto"/>
        <w:tabs>
          <w:tab w:leader="none" w:pos="3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88" w:lineRule="exact"/>
        <w:rPr>
          <w:sz w:val="20"/>
          <w:szCs w:val="20"/>
          <w:color w:val="auto"/>
        </w:rPr>
      </w:pPr>
    </w:p>
    <w:p>
      <w:pPr>
        <w:ind w:left="80" w:right="20" w:firstLine="648"/>
        <w:spacing w:after="0" w:line="236" w:lineRule="auto"/>
        <w:rPr>
          <w:sz w:val="20"/>
          <w:szCs w:val="20"/>
          <w:color w:val="auto"/>
        </w:rPr>
      </w:pPr>
      <w:r>
        <w:rPr>
          <w:rFonts w:ascii="Arial" w:cs="Arial" w:eastAsia="Arial" w:hAnsi="Arial"/>
          <w:sz w:val="20"/>
          <w:szCs w:val="20"/>
          <w:color w:val="auto"/>
        </w:rPr>
        <w:t>“Consolidated Total Assets” means, on any date of determination, the Consolidated total assets of Centuri and its Subsidiaries as set forth on the Consolidated balance sheet of Centuri as of the last day of</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21</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1405" w:right="439" w:bottom="1440" w:gutter="0" w:footer="0" w:header="0"/>
        </w:sectPr>
      </w:pPr>
    </w:p>
    <w:bookmarkStart w:id="100" w:name="page101"/>
    <w:bookmarkEnd w:id="100"/>
    <w:p>
      <w:pPr>
        <w:ind w:left="58"/>
        <w:spacing w:after="0" w:line="236" w:lineRule="auto"/>
        <w:rPr>
          <w:sz w:val="20"/>
          <w:szCs w:val="20"/>
          <w:color w:val="auto"/>
        </w:rPr>
      </w:pPr>
      <w:r>
        <w:rPr>
          <w:rFonts w:ascii="Arial" w:cs="Arial" w:eastAsia="Arial" w:hAnsi="Arial"/>
          <w:sz w:val="20"/>
          <w:szCs w:val="20"/>
          <w:color w:val="auto"/>
        </w:rPr>
        <w:t>the fiscal quarter of Centuri ending on or immediately prior to such date and for which financial statements have been provided to the Administrative Agent in accordance with Section 8.1, determined on a Consolidated basis.</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“Control” means the possession, directly or indirectly, of the power to direct or cause the direction of the management or policies</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of a Person, whether through the ability to exercise voting power, by contract or otherwise. “Controlling” and “Controlled” have meanings correlative thereto.</w:t>
      </w:r>
    </w:p>
    <w:p>
      <w:pPr>
        <w:spacing w:after="0" w:line="264" w:lineRule="exact"/>
        <w:rPr>
          <w:sz w:val="20"/>
          <w:szCs w:val="20"/>
          <w:color w:val="auto"/>
        </w:rPr>
      </w:pPr>
    </w:p>
    <w:p>
      <w:pPr>
        <w:ind w:left="58" w:right="20" w:firstLine="648"/>
        <w:spacing w:after="0" w:line="257" w:lineRule="auto"/>
        <w:rPr>
          <w:sz w:val="20"/>
          <w:szCs w:val="20"/>
          <w:color w:val="auto"/>
        </w:rPr>
      </w:pPr>
      <w:r>
        <w:rPr>
          <w:rFonts w:ascii="Arial" w:cs="Arial" w:eastAsia="Arial" w:hAnsi="Arial"/>
          <w:sz w:val="19"/>
          <w:szCs w:val="19"/>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80" w:lineRule="exact"/>
        <w:rPr>
          <w:sz w:val="20"/>
          <w:szCs w:val="20"/>
          <w:color w:val="auto"/>
        </w:rPr>
      </w:pPr>
    </w:p>
    <w:p>
      <w:pPr>
        <w:ind w:left="698"/>
        <w:spacing w:after="0"/>
        <w:rPr>
          <w:sz w:val="20"/>
          <w:szCs w:val="20"/>
          <w:color w:val="auto"/>
        </w:rPr>
      </w:pPr>
      <w:r>
        <w:rPr>
          <w:rFonts w:ascii="Arial" w:cs="Arial" w:eastAsia="Arial" w:hAnsi="Arial"/>
          <w:sz w:val="19"/>
          <w:szCs w:val="19"/>
          <w:color w:val="auto"/>
        </w:rPr>
        <w:t>“Credit Facility” means, collectively, the Revolving Credit Facility, the Term Loan Facility, the Swingline Facility and the L/C</w:t>
      </w:r>
    </w:p>
    <w:p>
      <w:pPr>
        <w:ind w:left="58"/>
        <w:spacing w:after="0"/>
        <w:rPr>
          <w:sz w:val="20"/>
          <w:szCs w:val="20"/>
          <w:color w:val="auto"/>
        </w:rPr>
      </w:pPr>
      <w:r>
        <w:rPr>
          <w:rFonts w:ascii="Arial" w:cs="Arial" w:eastAsia="Arial" w:hAnsi="Arial"/>
          <w:sz w:val="20"/>
          <w:szCs w:val="20"/>
          <w:color w:val="auto"/>
        </w:rPr>
        <w:t>Facility.</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“Credit Parties” means, collectively, the US Credit Parties and the Canadian Credit Parties.</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9"/>
          <w:szCs w:val="19"/>
          <w:color w:val="auto"/>
        </w:rPr>
        <w:t>“Daily Simple SOFR” means, for any day, SOFR, with the conventions for this rate (which will include a lookback) being</w:t>
      </w:r>
    </w:p>
    <w:p>
      <w:pPr>
        <w:ind w:left="58" w:right="20"/>
        <w:spacing w:after="0" w:line="215" w:lineRule="auto"/>
        <w:rPr>
          <w:sz w:val="20"/>
          <w:szCs w:val="20"/>
          <w:color w:val="auto"/>
        </w:rPr>
      </w:pPr>
      <w:r>
        <w:rPr>
          <w:rFonts w:ascii="Arial" w:cs="Arial" w:eastAsia="Arial" w:hAnsi="Arial"/>
          <w:sz w:val="19"/>
          <w:szCs w:val="19"/>
          <w:color w:val="auto"/>
        </w:rPr>
        <w:t>established by the Administrative Agent in accordance with the conventions for this rate selected or recommended by the Relevant Governmental Body for determining “Daily Simple SOFR” for syndicated business loans; provided, that if the Administrative Agent</w:t>
      </w:r>
    </w:p>
    <w:p>
      <w:pPr>
        <w:ind w:left="58"/>
        <w:spacing w:after="0" w:line="227" w:lineRule="auto"/>
        <w:rPr>
          <w:sz w:val="20"/>
          <w:szCs w:val="20"/>
          <w:color w:val="auto"/>
        </w:rPr>
      </w:pPr>
      <w:r>
        <w:rPr>
          <w:rFonts w:ascii="Arial" w:cs="Arial" w:eastAsia="Arial" w:hAnsi="Arial"/>
          <w:sz w:val="20"/>
          <w:szCs w:val="20"/>
          <w:color w:val="auto"/>
        </w:rPr>
        <w:t>decides that any such convention is not administratively feasible for the Administrative Agent, then the Administrative Agent may establish another convention in its reasonable discretion.</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“Debt Issuance” means the issuance of any Indebtedness for borrowed money by any Credit Party or any of its Subsidiaries.</w:t>
      </w:r>
    </w:p>
    <w:p>
      <w:pPr>
        <w:spacing w:after="0" w:line="239"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“Debt Ratings” means the collective reference to (a) the public corporate family rating of Centuri as determined by Moody’s from time to time, (b) the public corporate credit rating of Centuri as determined by S&amp;P from time to time and (c) the public ratings with</w:t>
      </w:r>
    </w:p>
    <w:p>
      <w:pPr>
        <w:ind w:left="58"/>
        <w:spacing w:after="0" w:line="220" w:lineRule="auto"/>
        <w:rPr>
          <w:sz w:val="20"/>
          <w:szCs w:val="20"/>
          <w:color w:val="auto"/>
        </w:rPr>
      </w:pPr>
      <w:r>
        <w:rPr>
          <w:rFonts w:ascii="Arial" w:cs="Arial" w:eastAsia="Arial" w:hAnsi="Arial"/>
          <w:sz w:val="20"/>
          <w:szCs w:val="20"/>
          <w:color w:val="auto"/>
        </w:rPr>
        <w:t>respect to the Term Loan Facility as determined by both Moody’s and S&amp;P from time to time, and “Debt Rating” means, as applicable, any of the foregoing.</w:t>
      </w:r>
    </w:p>
    <w:p>
      <w:pPr>
        <w:spacing w:after="0" w:line="264" w:lineRule="exact"/>
        <w:rPr>
          <w:sz w:val="20"/>
          <w:szCs w:val="20"/>
          <w:color w:val="auto"/>
        </w:rPr>
      </w:pPr>
    </w:p>
    <w:p>
      <w:pPr>
        <w:ind w:left="698"/>
        <w:spacing w:after="0"/>
        <w:rPr>
          <w:sz w:val="20"/>
          <w:szCs w:val="20"/>
          <w:color w:val="auto"/>
        </w:rPr>
      </w:pPr>
      <w:r>
        <w:rPr>
          <w:rFonts w:ascii="Arial" w:cs="Arial" w:eastAsia="Arial" w:hAnsi="Arial"/>
          <w:sz w:val="18"/>
          <w:szCs w:val="18"/>
          <w:color w:val="auto"/>
        </w:rPr>
        <w:t>“Debtor Relief Laws” means the Bankruptcy Code of the United States of America, the Bankruptcy and Insolvency Act (Canada),</w:t>
      </w:r>
    </w:p>
    <w:p>
      <w:pPr>
        <w:spacing w:after="0" w:line="12" w:lineRule="exact"/>
        <w:rPr>
          <w:sz w:val="20"/>
          <w:szCs w:val="20"/>
          <w:color w:val="auto"/>
        </w:rPr>
      </w:pPr>
    </w:p>
    <w:p>
      <w:pPr>
        <w:jc w:val="both"/>
        <w:ind w:left="58" w:right="20"/>
        <w:spacing w:after="0" w:line="226" w:lineRule="auto"/>
        <w:rPr>
          <w:sz w:val="20"/>
          <w:szCs w:val="20"/>
          <w:color w:val="auto"/>
        </w:rPr>
      </w:pPr>
      <w:r>
        <w:rPr>
          <w:rFonts w:ascii="Arial" w:cs="Arial" w:eastAsia="Arial" w:hAnsi="Arial"/>
          <w:sz w:val="18"/>
          <w:szCs w:val="18"/>
          <w:color w:val="auto"/>
        </w:rPr>
        <w:t>the Winding-Up and Restructuring Act (Canada), the Companies’ Creditors Arrangement Act (Canada) and all other liquidation, conservatorship, bankruptcy, assignment for the benefit of creditors, moratorium, rearrangement, receivership, insolvency, reorganization,</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or similar debtor relief Laws of the United States, Canada or other applicable jurisdictions from time to time in effect.</w:t>
      </w:r>
    </w:p>
    <w:p>
      <w:pPr>
        <w:spacing w:after="0" w:line="200"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“Default” means any of the events specified in Section 10.1 which with the passage of time, the giving of notice or any other condition, would constitute an Event of Default.</w:t>
      </w:r>
    </w:p>
    <w:p>
      <w:pPr>
        <w:spacing w:after="0" w:line="196" w:lineRule="exact"/>
        <w:rPr>
          <w:sz w:val="20"/>
          <w:szCs w:val="20"/>
          <w:color w:val="auto"/>
        </w:rPr>
      </w:pPr>
    </w:p>
    <w:p>
      <w:pPr>
        <w:ind w:left="58" w:right="20" w:firstLine="648"/>
        <w:spacing w:after="0" w:line="244" w:lineRule="auto"/>
        <w:rPr>
          <w:sz w:val="20"/>
          <w:szCs w:val="20"/>
          <w:color w:val="auto"/>
        </w:rPr>
      </w:pPr>
      <w:r>
        <w:rPr>
          <w:rFonts w:ascii="Arial" w:cs="Arial" w:eastAsia="Arial" w:hAnsi="Arial"/>
          <w:sz w:val="18"/>
          <w:szCs w:val="18"/>
          <w:color w:val="auto"/>
        </w:rPr>
        <w:t>“Defaulting Lender” means, subject to Section 5.15(b), any Lender that (a) has failed to (i) fund all or any portion of the Revolving Credit Loans or any Term Loan required to be funded by it hereunder within two Business Days of the date such Loans were</w:t>
      </w:r>
    </w:p>
    <w:p>
      <w:pPr>
        <w:ind w:left="58"/>
        <w:spacing w:after="0" w:line="226" w:lineRule="auto"/>
        <w:rPr>
          <w:sz w:val="20"/>
          <w:szCs w:val="20"/>
          <w:color w:val="auto"/>
        </w:rPr>
      </w:pPr>
      <w:r>
        <w:rPr>
          <w:rFonts w:ascii="Arial" w:cs="Arial" w:eastAsia="Arial" w:hAnsi="Arial"/>
          <w:sz w:val="18"/>
          <w:szCs w:val="18"/>
          <w:color w:val="auto"/>
        </w:rPr>
        <w:t>required to be funded hereunder unless such Lender notifies the Administrative Agent and Centuri in writing that such failure is the result of such Lender’s determination that one or more conditions precedent to funding (each of which conditions precedent, together with any</w:t>
      </w:r>
    </w:p>
    <w:p>
      <w:pPr>
        <w:ind w:left="58"/>
        <w:spacing w:after="0" w:line="224" w:lineRule="auto"/>
        <w:rPr>
          <w:sz w:val="20"/>
          <w:szCs w:val="20"/>
          <w:color w:val="auto"/>
        </w:rPr>
      </w:pPr>
      <w:r>
        <w:rPr>
          <w:rFonts w:ascii="Arial" w:cs="Arial" w:eastAsia="Arial" w:hAnsi="Arial"/>
          <w:sz w:val="19"/>
          <w:szCs w:val="19"/>
          <w:color w:val="auto"/>
        </w:rPr>
        <w:t>applicable default, shall be specifically identified in such writing) has not been satisfied, or (ii) pay to the Administrative Agent, any</w:t>
      </w:r>
    </w:p>
    <w:p>
      <w:pPr>
        <w:ind w:left="58"/>
        <w:spacing w:after="0" w:line="226" w:lineRule="auto"/>
        <w:rPr>
          <w:sz w:val="20"/>
          <w:szCs w:val="20"/>
          <w:color w:val="auto"/>
        </w:rPr>
      </w:pPr>
      <w:r>
        <w:rPr>
          <w:rFonts w:ascii="Arial" w:cs="Arial" w:eastAsia="Arial" w:hAnsi="Arial"/>
          <w:sz w:val="18"/>
          <w:szCs w:val="18"/>
          <w:color w:val="auto"/>
        </w:rPr>
        <w:t>Issuing Lender, any Swingline Lender or any other Lender any other amount required to be paid by it hereunder (including in respect of its participation in Letters of Credit or Swingline Loans) within two Business Days of the date when due, (b) has notified Centuri, the</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Administrative Agent, any Issuing Lender or any Swingline Lender in writing that it does not intend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8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01" w:name="page102"/>
    <w:bookmarkEnd w:id="101"/>
    <w:p>
      <w:pPr>
        <w:spacing w:after="0" w:line="209" w:lineRule="exact"/>
        <w:rPr>
          <w:sz w:val="20"/>
          <w:szCs w:val="20"/>
          <w:color w:val="auto"/>
        </w:rPr>
      </w:pPr>
    </w:p>
    <w:p>
      <w:pPr>
        <w:ind w:left="58"/>
        <w:spacing w:after="0"/>
        <w:rPr>
          <w:sz w:val="20"/>
          <w:szCs w:val="20"/>
          <w:color w:val="auto"/>
        </w:rPr>
      </w:pPr>
      <w:r>
        <w:rPr>
          <w:rFonts w:ascii="Arial" w:cs="Arial" w:eastAsia="Arial" w:hAnsi="Arial"/>
          <w:sz w:val="16"/>
          <w:szCs w:val="16"/>
          <w:color w:val="auto"/>
        </w:rPr>
        <w:t>comply with its funding obligations hereunder, or has made a public statement to that effect (unless such writing or public statement relates</w:t>
      </w:r>
    </w:p>
    <w:p>
      <w:pPr>
        <w:spacing w:after="0" w:line="35" w:lineRule="exact"/>
        <w:rPr>
          <w:sz w:val="20"/>
          <w:szCs w:val="20"/>
          <w:color w:val="auto"/>
        </w:rPr>
      </w:pPr>
    </w:p>
    <w:p>
      <w:pPr>
        <w:ind w:left="58"/>
        <w:spacing w:after="0" w:line="255" w:lineRule="auto"/>
        <w:rPr>
          <w:sz w:val="20"/>
          <w:szCs w:val="20"/>
          <w:color w:val="auto"/>
        </w:rPr>
      </w:pPr>
      <w:r>
        <w:rPr>
          <w:rFonts w:ascii="Arial" w:cs="Arial" w:eastAsia="Arial" w:hAnsi="Arial"/>
          <w:sz w:val="16"/>
          <w:szCs w:val="16"/>
          <w:color w:val="auto"/>
        </w:rPr>
        <w:t>to such Lender’s obligation to fund a Loan hereunder and states that such position is based on such Lender’s determination that a condition precedent to funding (which condition precedent, together with any applicable default, shall be specifically identified in such writing or</w:t>
      </w:r>
    </w:p>
    <w:p>
      <w:pPr>
        <w:ind w:left="58"/>
        <w:spacing w:after="0" w:line="235" w:lineRule="auto"/>
        <w:rPr>
          <w:sz w:val="20"/>
          <w:szCs w:val="20"/>
          <w:color w:val="auto"/>
        </w:rPr>
      </w:pPr>
      <w:r>
        <w:rPr>
          <w:rFonts w:ascii="Arial" w:cs="Arial" w:eastAsia="Arial" w:hAnsi="Arial"/>
          <w:sz w:val="18"/>
          <w:szCs w:val="18"/>
          <w:color w:val="auto"/>
        </w:rPr>
        <w:t>public statement) cannot be satisfied), (c) has failed, within three Business Days after written request by the Administrative Agent or</w:t>
      </w:r>
    </w:p>
    <w:p>
      <w:pPr>
        <w:ind w:left="58"/>
        <w:spacing w:after="0" w:line="215" w:lineRule="auto"/>
        <w:rPr>
          <w:sz w:val="20"/>
          <w:szCs w:val="20"/>
          <w:color w:val="auto"/>
        </w:rPr>
      </w:pPr>
      <w:r>
        <w:rPr>
          <w:rFonts w:ascii="Arial" w:cs="Arial" w:eastAsia="Arial" w:hAnsi="Arial"/>
          <w:sz w:val="19"/>
          <w:szCs w:val="19"/>
          <w:color w:val="auto"/>
        </w:rPr>
        <w:t>Centuri, to confirm in writing to the Administrative Agent and Centuri that it will comply with its prospective funding obligations hereunder (provided that such Lender shall cease to be a Defaulting Lender pursuant to this clause (c) upon receipt of such written</w:t>
      </w:r>
    </w:p>
    <w:p>
      <w:pPr>
        <w:ind w:left="58"/>
        <w:spacing w:after="0" w:line="234" w:lineRule="auto"/>
        <w:rPr>
          <w:sz w:val="20"/>
          <w:szCs w:val="20"/>
          <w:color w:val="auto"/>
        </w:rPr>
      </w:pPr>
      <w:r>
        <w:rPr>
          <w:rFonts w:ascii="Arial" w:cs="Arial" w:eastAsia="Arial" w:hAnsi="Arial"/>
          <w:sz w:val="18"/>
          <w:szCs w:val="18"/>
          <w:color w:val="auto"/>
        </w:rPr>
        <w:t>confirmation by the Administrative Agent and Centuri), or (d) has, or has a direct or indirect parent company that has, (i) become the</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subject of a proceeding under any Debtor Relief Law, (ii) had appointed for it a receiver, custodian, conservator, trustee, administrator, assignee for the benefit of creditors or similar Person charged with reorganization or liquidation of its business or assets, including the</w:t>
      </w:r>
    </w:p>
    <w:p>
      <w:pPr>
        <w:ind w:left="58"/>
        <w:spacing w:after="0" w:line="236" w:lineRule="auto"/>
        <w:rPr>
          <w:sz w:val="20"/>
          <w:szCs w:val="20"/>
          <w:color w:val="auto"/>
        </w:rPr>
      </w:pPr>
      <w:r>
        <w:rPr>
          <w:rFonts w:ascii="Arial" w:cs="Arial" w:eastAsia="Arial" w:hAnsi="Arial"/>
          <w:sz w:val="18"/>
          <w:szCs w:val="18"/>
          <w:color w:val="auto"/>
        </w:rPr>
        <w:t>CDIC, the FDIC or any other state or federal regulatory authority acting in such a capacity or (iii) become the subject of a Bail-In Action;</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provided that a Lender shall not be a Defaulting Lender solely by virtue of the ownership or acquisition of any equity interest in that Lender or any direct or indirect parent company thereof by a Governmental Authority so long as such ownership interest does not result in</w:t>
      </w:r>
    </w:p>
    <w:p>
      <w:pPr>
        <w:ind w:left="58"/>
        <w:spacing w:after="0" w:line="236" w:lineRule="auto"/>
        <w:rPr>
          <w:sz w:val="20"/>
          <w:szCs w:val="20"/>
          <w:color w:val="auto"/>
        </w:rPr>
      </w:pPr>
      <w:r>
        <w:rPr>
          <w:rFonts w:ascii="Arial" w:cs="Arial" w:eastAsia="Arial" w:hAnsi="Arial"/>
          <w:sz w:val="18"/>
          <w:szCs w:val="18"/>
          <w:color w:val="auto"/>
        </w:rPr>
        <w:t>or provide such Lender with immunity from the jurisdiction of courts within the United States or from the enforcement of judgments or</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writs of attachment on its assets or permit such Lender (or such Governmental Authority) to reject, repudiate, disavow or disaffirm any contracts or agreements made with such Lender. Any determination by the Administrative Agent that a Lender is a Defaulting Lender</w:t>
      </w:r>
    </w:p>
    <w:p>
      <w:pPr>
        <w:ind w:left="58"/>
        <w:spacing w:after="0" w:line="213" w:lineRule="auto"/>
        <w:rPr>
          <w:sz w:val="20"/>
          <w:szCs w:val="20"/>
          <w:color w:val="auto"/>
        </w:rPr>
      </w:pPr>
      <w:r>
        <w:rPr>
          <w:rFonts w:ascii="Arial" w:cs="Arial" w:eastAsia="Arial" w:hAnsi="Arial"/>
          <w:sz w:val="20"/>
          <w:szCs w:val="20"/>
          <w:color w:val="auto"/>
        </w:rPr>
        <w:t>under any one or more of clauses (a) through</w:t>
      </w:r>
    </w:p>
    <w:p>
      <w:pPr>
        <w:jc w:val="both"/>
        <w:ind w:left="58" w:hanging="4"/>
        <w:spacing w:after="0" w:line="217" w:lineRule="auto"/>
        <w:tabs>
          <w:tab w:leader="none" w:pos="586" w:val="left"/>
        </w:tabs>
        <w:numPr>
          <w:ilvl w:val="0"/>
          <w:numId w:val="90"/>
        </w:numPr>
        <w:rPr>
          <w:rFonts w:ascii="Arial" w:cs="Arial" w:eastAsia="Arial" w:hAnsi="Arial"/>
          <w:sz w:val="20"/>
          <w:szCs w:val="20"/>
          <w:color w:val="auto"/>
        </w:rPr>
      </w:pPr>
      <w:r>
        <w:rPr>
          <w:rFonts w:ascii="Arial" w:cs="Arial" w:eastAsia="Arial" w:hAnsi="Arial"/>
          <w:sz w:val="20"/>
          <w:szCs w:val="20"/>
          <w:color w:val="auto"/>
        </w:rPr>
        <w:t>above shall be conclusive and binding absent manifest error, and such Lender shall be deemed to be a Defaulting Lender (subject to Section 5.15(b)) upon delivery of written notice of such determination to Centuri, each Issuing Lender, each Swingline Lender and each Lender.</w:t>
      </w:r>
    </w:p>
    <w:p>
      <w:pPr>
        <w:spacing w:after="0" w:line="197" w:lineRule="exact"/>
        <w:rPr>
          <w:sz w:val="20"/>
          <w:szCs w:val="20"/>
          <w:color w:val="auto"/>
        </w:rPr>
      </w:pPr>
    </w:p>
    <w:p>
      <w:pPr>
        <w:ind w:left="58" w:right="20" w:firstLine="648"/>
        <w:spacing w:after="0" w:line="244" w:lineRule="auto"/>
        <w:rPr>
          <w:sz w:val="20"/>
          <w:szCs w:val="20"/>
          <w:color w:val="auto"/>
        </w:rPr>
      </w:pPr>
      <w:r>
        <w:rPr>
          <w:rFonts w:ascii="Arial" w:cs="Arial" w:eastAsia="Arial" w:hAnsi="Arial"/>
          <w:sz w:val="18"/>
          <w:szCs w:val="18"/>
          <w:color w:val="auto"/>
        </w:rPr>
        <w:t>“Disqualified Equity Interests” means any Equity Interests that, by their terms (or by the terms of any security or other Equity Interest into which they are convertible or for which they are exchangeable) or upon the happening of any event or condition, (a) mature or</w:t>
      </w:r>
    </w:p>
    <w:p>
      <w:pPr>
        <w:ind w:left="58"/>
        <w:spacing w:after="0" w:line="255" w:lineRule="auto"/>
        <w:rPr>
          <w:sz w:val="20"/>
          <w:szCs w:val="20"/>
          <w:color w:val="auto"/>
        </w:rPr>
      </w:pPr>
      <w:r>
        <w:rPr>
          <w:rFonts w:ascii="Arial" w:cs="Arial" w:eastAsia="Arial" w:hAnsi="Arial"/>
          <w:sz w:val="16"/>
          <w:szCs w:val="16"/>
          <w:color w:val="auto"/>
        </w:rPr>
        <w:t>are mandatorily redeemable (other than solely for Qualified Equity Interests), pursuant to a sinking fund obligation or otherwise (except as a result of a change of control or asset sale so long as any rights of the holders thereof upon the occurrence of a change of control or asset</w:t>
      </w:r>
    </w:p>
    <w:p>
      <w:pPr>
        <w:ind w:left="58"/>
        <w:spacing w:after="0" w:line="235" w:lineRule="auto"/>
        <w:rPr>
          <w:sz w:val="20"/>
          <w:szCs w:val="20"/>
          <w:color w:val="auto"/>
        </w:rPr>
      </w:pPr>
      <w:r>
        <w:rPr>
          <w:rFonts w:ascii="Arial" w:cs="Arial" w:eastAsia="Arial" w:hAnsi="Arial"/>
          <w:sz w:val="18"/>
          <w:szCs w:val="18"/>
          <w:color w:val="auto"/>
        </w:rPr>
        <w:t>sale event shall be subject to the prior repayment in full of the Loans and all other Obligations that are accrued and payable and the</w:t>
      </w:r>
    </w:p>
    <w:p>
      <w:pPr>
        <w:ind w:left="58"/>
        <w:spacing w:after="0" w:line="226" w:lineRule="auto"/>
        <w:rPr>
          <w:sz w:val="20"/>
          <w:szCs w:val="20"/>
          <w:color w:val="auto"/>
        </w:rPr>
      </w:pPr>
      <w:r>
        <w:rPr>
          <w:rFonts w:ascii="Arial" w:cs="Arial" w:eastAsia="Arial" w:hAnsi="Arial"/>
          <w:sz w:val="18"/>
          <w:szCs w:val="18"/>
          <w:color w:val="auto"/>
        </w:rPr>
        <w:t>termination of the Commitments), (b) are redeemable at the option of the holder thereof (other than solely for Qualified Equity Interests) (except as a result of a change of control or asset sale so long as any rights of the holders thereof upon the occurrence of a change of</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6"/>
          <w:szCs w:val="16"/>
          <w:color w:val="auto"/>
        </w:rPr>
        <w:t>control or asset sale event shall be subject to the prior repayment in full of the Loans and all other Obligations that are accrued and payable</w:t>
      </w:r>
    </w:p>
    <w:p>
      <w:pPr>
        <w:spacing w:after="0" w:line="19" w:lineRule="exact"/>
        <w:rPr>
          <w:sz w:val="20"/>
          <w:szCs w:val="20"/>
          <w:color w:val="auto"/>
        </w:rPr>
      </w:pPr>
    </w:p>
    <w:p>
      <w:pPr>
        <w:jc w:val="both"/>
        <w:ind w:left="58" w:right="20"/>
        <w:spacing w:after="0" w:line="226" w:lineRule="auto"/>
        <w:rPr>
          <w:sz w:val="20"/>
          <w:szCs w:val="20"/>
          <w:color w:val="auto"/>
        </w:rPr>
      </w:pPr>
      <w:r>
        <w:rPr>
          <w:rFonts w:ascii="Arial" w:cs="Arial" w:eastAsia="Arial" w:hAnsi="Arial"/>
          <w:sz w:val="18"/>
          <w:szCs w:val="18"/>
          <w:color w:val="auto"/>
        </w:rPr>
        <w:t>and the termination of the Commitments), in whole or in part, (c) provide for the scheduled payment of dividends in cash or (d) are or become convertible into or exchangeable for Indebtedness or any other Equity Interests that would constitute Disqualified Equity Interests,</w:t>
      </w:r>
    </w:p>
    <w:p>
      <w:pPr>
        <w:ind w:left="58"/>
        <w:spacing w:after="0" w:line="236" w:lineRule="auto"/>
        <w:rPr>
          <w:sz w:val="20"/>
          <w:szCs w:val="20"/>
          <w:color w:val="auto"/>
        </w:rPr>
      </w:pPr>
      <w:r>
        <w:rPr>
          <w:rFonts w:ascii="Arial" w:cs="Arial" w:eastAsia="Arial" w:hAnsi="Arial"/>
          <w:sz w:val="18"/>
          <w:szCs w:val="18"/>
          <w:color w:val="auto"/>
        </w:rPr>
        <w:t>in each case, prior to the date that is 91 days after the Term Loan Maturity Date; provided that if such Equity Interests are issued pursuant</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to a plan for the benefit of the Consolidated Companies or by any such plan to such employees, such Equity Interests shall not constitute Disqualified Equity Interests solely because they may be required to be repurchased by the Consolidated Companies in order to satisfy</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applicable statutory or regulatory obligations.</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18"/>
          <w:szCs w:val="18"/>
          <w:color w:val="auto"/>
        </w:rPr>
        <w:t>“Dollar Amount” means, with respect to any sum expressed in Canadian Dollars, the amount of Dollars which is equivalent to the</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amount so expressed in Canadian Dollars at the Spot Rate determined by the Administrative Agent to be available to it at the relevant time (including on each Revaluation Date).</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20"/>
          <w:szCs w:val="20"/>
          <w:color w:val="auto"/>
        </w:rPr>
        <w:t>“Dollars” or “$” means, unless otherwise qualified, dollars in lawful currency of the United States.</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“Drum” means Drum Parent,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9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02" w:name="page103"/>
    <w:bookmarkEnd w:id="102"/>
    <w:p>
      <w:pPr>
        <w:spacing w:after="0" w:line="20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“Drum Acquisition” means the acquisition of Drum and its Subsidiaries pursuant to the Drum Merger Agreement.</w:t>
      </w:r>
    </w:p>
    <w:p>
      <w:pPr>
        <w:spacing w:after="0" w:line="21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“Drum Material Adverse Effect” means a “Material Adverse Effect”, as defined in the Drum Merger Agreement.</w:t>
      </w:r>
    </w:p>
    <w:p>
      <w:pPr>
        <w:spacing w:after="0" w:line="21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“Drum Merger Agreement” means that certain Agreement and Plan of Merger effective as of June 28, 2021, by and among Drum,</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Electric T&amp;D Holdings LLC, as buyer, Centuri, ETDH Merger Sub, Inc. and OCM Drum Investors, L.P., as representative of the stockholders and optionholders of Drum immediately prior to the Drum Acquisition, as sellers, together with all schedules and exhibits</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8"/>
          <w:szCs w:val="18"/>
          <w:color w:val="auto"/>
        </w:rPr>
        <w:t>thereto and as the same may be amended, restated, supplemented or otherwise modified from time to time prior to the Closing Date.</w:t>
      </w:r>
    </w:p>
    <w:p>
      <w:pPr>
        <w:spacing w:after="0" w:line="22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“Early Opt-in Election” means, if the then-current Benchmark is USD LIBOR, the occurrence of:</w:t>
      </w:r>
    </w:p>
    <w:p>
      <w:pPr>
        <w:spacing w:after="0" w:line="283" w:lineRule="exact"/>
        <w:rPr>
          <w:sz w:val="20"/>
          <w:szCs w:val="20"/>
          <w:color w:val="auto"/>
        </w:rPr>
      </w:pPr>
    </w:p>
    <w:p>
      <w:pPr>
        <w:jc w:val="both"/>
        <w:ind w:left="58" w:firstLine="644"/>
        <w:spacing w:after="0" w:line="246" w:lineRule="auto"/>
        <w:tabs>
          <w:tab w:leader="none" w:pos="12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Centuri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90" w:lineRule="exact"/>
        <w:rPr>
          <w:rFonts w:ascii="Arial" w:cs="Arial" w:eastAsia="Arial" w:hAnsi="Arial"/>
          <w:sz w:val="18"/>
          <w:szCs w:val="18"/>
          <w:color w:val="auto"/>
        </w:rPr>
      </w:pPr>
    </w:p>
    <w:p>
      <w:pPr>
        <w:ind w:left="58" w:firstLine="644"/>
        <w:spacing w:after="0" w:line="236" w:lineRule="auto"/>
        <w:tabs>
          <w:tab w:leader="none" w:pos="1234"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Centuri to trigger a fallback from USD LIBOR and the provision by the Administrative Agent of written notice of such election to the Lenders.</w:t>
      </w:r>
    </w:p>
    <w:p>
      <w:pPr>
        <w:spacing w:after="0" w:line="196" w:lineRule="exact"/>
        <w:rPr>
          <w:sz w:val="20"/>
          <w:szCs w:val="20"/>
          <w:color w:val="auto"/>
        </w:rPr>
      </w:pPr>
    </w:p>
    <w:p>
      <w:pPr>
        <w:jc w:val="both"/>
        <w:ind w:left="58" w:right="20" w:firstLine="648"/>
        <w:spacing w:after="0" w:line="244" w:lineRule="auto"/>
        <w:rPr>
          <w:sz w:val="20"/>
          <w:szCs w:val="20"/>
          <w:color w:val="auto"/>
        </w:rPr>
      </w:pPr>
      <w:r>
        <w:rPr>
          <w:rFonts w:ascii="Arial" w:cs="Arial" w:eastAsia="Arial" w:hAnsi="Arial"/>
          <w:sz w:val="18"/>
          <w:szCs w:val="18"/>
          <w:color w:val="auto"/>
        </w:rPr>
        <w:t>“ECF Percentage” means, with respect to any Fiscal Year, (a) 50%, if the Consolidated Net Leverage Ratio at the end of such Fiscal Year is greater than 4.00 to 1.00, (b) 25%, if the Consolidated Net Leverage Ratio at the end of such Fiscal Year is greater than to</w:t>
      </w:r>
    </w:p>
    <w:p>
      <w:pPr>
        <w:jc w:val="both"/>
        <w:ind w:left="58" w:right="20"/>
        <w:spacing w:after="0" w:line="220" w:lineRule="auto"/>
        <w:rPr>
          <w:sz w:val="20"/>
          <w:szCs w:val="20"/>
          <w:color w:val="auto"/>
        </w:rPr>
      </w:pPr>
      <w:r>
        <w:rPr>
          <w:rFonts w:ascii="Arial" w:cs="Arial" w:eastAsia="Arial" w:hAnsi="Arial"/>
          <w:sz w:val="20"/>
          <w:szCs w:val="20"/>
          <w:color w:val="auto"/>
        </w:rPr>
        <w:t>3.50 to 1.00 but less than or equal to 4.00 to 1.00 and (c) 0%, if the Consolidated Net Leverage Ratio at the end of such Fiscal Year is less than or equal to 3.50 to 1.00.</w:t>
      </w:r>
    </w:p>
    <w:p>
      <w:pPr>
        <w:spacing w:after="0" w:line="210"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w:t>
      </w:r>
    </w:p>
    <w:p>
      <w:pPr>
        <w:jc w:val="both"/>
        <w:ind w:left="58"/>
        <w:spacing w:after="0" w:line="239" w:lineRule="auto"/>
        <w:rPr>
          <w:sz w:val="20"/>
          <w:szCs w:val="20"/>
          <w:color w:val="auto"/>
        </w:rPr>
      </w:pPr>
      <w:r>
        <w:rPr>
          <w:rFonts w:ascii="Arial" w:cs="Arial" w:eastAsia="Arial" w:hAnsi="Arial"/>
          <w:sz w:val="19"/>
          <w:szCs w:val="19"/>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9"/>
          <w:szCs w:val="19"/>
          <w:color w:val="auto"/>
        </w:rPr>
        <w:t>“EEA Member Country” means any of the member states of the European Union, Iceland, Liechtenstein, and Norway.</w:t>
      </w:r>
    </w:p>
    <w:p>
      <w:pPr>
        <w:spacing w:after="0" w:line="227" w:lineRule="exact"/>
        <w:rPr>
          <w:sz w:val="20"/>
          <w:szCs w:val="20"/>
          <w:color w:val="auto"/>
        </w:rPr>
      </w:pPr>
    </w:p>
    <w:p>
      <w:pPr>
        <w:jc w:val="both"/>
        <w:ind w:left="58" w:firstLine="648"/>
        <w:spacing w:after="0" w:line="227" w:lineRule="auto"/>
        <w:rPr>
          <w:sz w:val="20"/>
          <w:szCs w:val="20"/>
          <w:color w:val="auto"/>
        </w:rPr>
      </w:pPr>
      <w:r>
        <w:rPr>
          <w:rFonts w:ascii="Arial" w:cs="Arial" w:eastAsia="Arial" w:hAnsi="Arial"/>
          <w:sz w:val="20"/>
          <w:szCs w:val="20"/>
          <w:color w:val="auto"/>
        </w:rPr>
        <w:t>“EEA Resolution Authority”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98" w:lineRule="exact"/>
        <w:rPr>
          <w:sz w:val="20"/>
          <w:szCs w:val="20"/>
          <w:color w:val="auto"/>
        </w:rPr>
      </w:pPr>
    </w:p>
    <w:p>
      <w:pPr>
        <w:ind w:left="698"/>
        <w:spacing w:after="0"/>
        <w:rPr>
          <w:sz w:val="20"/>
          <w:szCs w:val="20"/>
          <w:color w:val="auto"/>
        </w:rPr>
      </w:pPr>
      <w:r>
        <w:rPr>
          <w:rFonts w:ascii="Arial" w:cs="Arial" w:eastAsia="Arial" w:hAnsi="Arial"/>
          <w:sz w:val="19"/>
          <w:szCs w:val="19"/>
          <w:color w:val="auto"/>
        </w:rPr>
        <w:t>“Electronic Record” has the meaning assigned to that term in, and shall be interpreted in accordance with, 15 U.S.C. 7006.</w:t>
      </w:r>
    </w:p>
    <w:p>
      <w:pPr>
        <w:spacing w:after="0" w:line="22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“Electronic Signature” has the meaning assigned to that term in, and shall be interpreted in accordance with, 15 U.S.C. 7006.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9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03" w:name="page104"/>
    <w:bookmarkEnd w:id="103"/>
    <w:p>
      <w:pPr>
        <w:ind w:left="60" w:right="620" w:firstLine="648"/>
        <w:spacing w:after="0" w:line="236" w:lineRule="auto"/>
        <w:rPr>
          <w:sz w:val="20"/>
          <w:szCs w:val="20"/>
          <w:color w:val="auto"/>
        </w:rPr>
      </w:pPr>
      <w:r>
        <w:rPr>
          <w:rFonts w:ascii="Arial" w:cs="Arial" w:eastAsia="Arial" w:hAnsi="Arial"/>
          <w:sz w:val="20"/>
          <w:szCs w:val="20"/>
          <w:color w:val="auto"/>
        </w:rPr>
        <w:t>“Eligible Assignee” means any Person that meets the requirements to be an assignee under Section 12.9(b)(iii), (v) and (vi) (subject to such consents, if any, as may be required under Section 12.9(b)(iii)).</w:t>
      </w:r>
    </w:p>
    <w:p>
      <w:pPr>
        <w:spacing w:after="0" w:line="263" w:lineRule="exact"/>
        <w:rPr>
          <w:sz w:val="20"/>
          <w:szCs w:val="20"/>
          <w:color w:val="auto"/>
        </w:rPr>
      </w:pPr>
    </w:p>
    <w:p>
      <w:pPr>
        <w:ind w:left="60" w:right="20" w:firstLine="648"/>
        <w:spacing w:after="0" w:line="236" w:lineRule="auto"/>
        <w:rPr>
          <w:sz w:val="20"/>
          <w:szCs w:val="20"/>
          <w:color w:val="auto"/>
        </w:rPr>
      </w:pPr>
      <w:r>
        <w:rPr>
          <w:rFonts w:ascii="Arial" w:cs="Arial" w:eastAsia="Arial" w:hAnsi="Arial"/>
          <w:sz w:val="18"/>
          <w:szCs w:val="18"/>
          <w:color w:val="auto"/>
        </w:rPr>
        <w:t>“Employee Benefit Plan” means (a) any employee benefit plan within the meaning of Section 3(3) of ERISA that is maintained for employees of any Credit Party or any ERISA Affiliate or (b) any Pension Plan or Multiemployer Plan that has at any time within the</w:t>
      </w:r>
    </w:p>
    <w:p>
      <w:pPr>
        <w:ind w:left="60"/>
        <w:spacing w:after="0" w:line="227" w:lineRule="auto"/>
        <w:rPr>
          <w:sz w:val="20"/>
          <w:szCs w:val="20"/>
          <w:color w:val="auto"/>
        </w:rPr>
      </w:pPr>
      <w:r>
        <w:rPr>
          <w:rFonts w:ascii="Arial" w:cs="Arial" w:eastAsia="Arial" w:hAnsi="Arial"/>
          <w:sz w:val="20"/>
          <w:szCs w:val="20"/>
          <w:color w:val="auto"/>
        </w:rPr>
        <w:t>preceding seven (7) years been maintained, funded or administered for the employees of any Credit Party or any current or former ERISA Affiliate.</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“Environmental Claims” means any and all administrative, regulatory or judicial actions, suits, demands, demand letters, claims,</w:t>
      </w:r>
    </w:p>
    <w:p>
      <w:pPr>
        <w:spacing w:after="0" w:line="12" w:lineRule="exact"/>
        <w:rPr>
          <w:sz w:val="20"/>
          <w:szCs w:val="20"/>
          <w:color w:val="auto"/>
        </w:rPr>
      </w:pPr>
    </w:p>
    <w:p>
      <w:pPr>
        <w:jc w:val="right"/>
        <w:ind w:left="160"/>
        <w:spacing w:after="0" w:line="255" w:lineRule="auto"/>
        <w:rPr>
          <w:sz w:val="20"/>
          <w:szCs w:val="20"/>
          <w:color w:val="auto"/>
        </w:rPr>
      </w:pPr>
      <w:r>
        <w:rPr>
          <w:rFonts w:ascii="Arial" w:cs="Arial" w:eastAsia="Arial" w:hAnsi="Arial"/>
          <w:sz w:val="16"/>
          <w:szCs w:val="16"/>
          <w:color w:val="auto"/>
        </w:rPr>
        <w:t>liens, accusations, allegations, notices of noncompliance or violation, investigations (other than internal reports prepared by any Person in the ordinary course of business and not in response to any third party action or request of any kind) or proceedings relating in any way to</w:t>
      </w:r>
    </w:p>
    <w:p>
      <w:pPr>
        <w:ind w:left="220"/>
        <w:spacing w:after="0" w:line="235" w:lineRule="auto"/>
        <w:rPr>
          <w:sz w:val="20"/>
          <w:szCs w:val="20"/>
          <w:color w:val="auto"/>
        </w:rPr>
      </w:pPr>
      <w:r>
        <w:rPr>
          <w:rFonts w:ascii="Arial" w:cs="Arial" w:eastAsia="Arial" w:hAnsi="Arial"/>
          <w:sz w:val="18"/>
          <w:szCs w:val="18"/>
          <w:color w:val="auto"/>
        </w:rPr>
        <w:t>any actual or alleged violation of or liability under any Environmental Law or relating to any permit issued, or any approval given, under</w:t>
      </w:r>
    </w:p>
    <w:p>
      <w:pPr>
        <w:ind w:left="320" w:firstLine="87"/>
        <w:spacing w:after="0" w:line="226" w:lineRule="auto"/>
        <w:rPr>
          <w:sz w:val="20"/>
          <w:szCs w:val="20"/>
          <w:color w:val="auto"/>
        </w:rPr>
      </w:pPr>
      <w:r>
        <w:rPr>
          <w:rFonts w:ascii="Arial" w:cs="Arial" w:eastAsia="Arial" w:hAnsi="Arial"/>
          <w:sz w:val="18"/>
          <w:szCs w:val="18"/>
          <w:color w:val="auto"/>
        </w:rPr>
        <w:t>any such Environmental Law, including, without limitation, any and all claims by Governmental Authorities for enforcement, cleanup, removal, response, remedial or other actions or damages, contribution, indemnification, cost recovery, compensation or injunctive relief</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resulting from Hazardous Materials or arising from alleged injury or threat of injury to human health or the environment.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“Environmental Laws” means any and all federal, foreign, state, provincial and local laws, statutes, ordinances, codes, rules,</w:t>
      </w:r>
    </w:p>
    <w:p>
      <w:pPr>
        <w:spacing w:after="0" w:line="12" w:lineRule="exact"/>
        <w:rPr>
          <w:sz w:val="20"/>
          <w:szCs w:val="20"/>
          <w:color w:val="auto"/>
        </w:rPr>
      </w:pPr>
    </w:p>
    <w:p>
      <w:pPr>
        <w:jc w:val="both"/>
        <w:ind w:left="60"/>
        <w:spacing w:after="0" w:line="226" w:lineRule="auto"/>
        <w:rPr>
          <w:sz w:val="20"/>
          <w:szCs w:val="20"/>
          <w:color w:val="auto"/>
        </w:rPr>
      </w:pPr>
      <w:r>
        <w:rPr>
          <w:rFonts w:ascii="Arial" w:cs="Arial" w:eastAsia="Arial" w:hAnsi="Arial"/>
          <w:sz w:val="18"/>
          <w:szCs w:val="18"/>
          <w:color w:val="auto"/>
        </w:rPr>
        <w:t>standards and regulations, permits, licenses, approvals, interpretations and orders of courts or Governmental Authorities, relating to the protection of human health or the environment, including, but not limited to, requirements pertaining to the manufacture, processing,</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auto"/>
        </w:rPr>
        <w:t>distribution, use, treatment, storage, disposal, transportation, handling, reporting, licensing, permitting, investigation or remediation of Hazardous Materials.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Interests” means (a) in the case of a corporation, capital stock, (b) in the case of an association or business entity, any and</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all shares, interests, participations, rights or other equivalents (however designated) of capital stock, (c) in the case of a partnership, partnership interests (whether general or limited), (d) in the case of a limited liability company, membership interests, (e) any other interest</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auto"/>
        </w:rPr>
        <w:t>or participation that confers on a Person the right to receive a share of the profits and losses of, or distributions of assets of, the issuing Person and (f) any and all warrants, rights or options to purchase any of the foregoing.</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“ERISA” means the Employee Retirement Income Security Act of 1974, and the rules and regulations thereunder.</w:t>
      </w:r>
    </w:p>
    <w:p>
      <w:pPr>
        <w:spacing w:after="0" w:line="216" w:lineRule="exact"/>
        <w:rPr>
          <w:sz w:val="20"/>
          <w:szCs w:val="20"/>
          <w:color w:val="auto"/>
        </w:rPr>
      </w:pPr>
    </w:p>
    <w:p>
      <w:pPr>
        <w:ind w:left="60" w:firstLine="648"/>
        <w:spacing w:after="0" w:line="236" w:lineRule="auto"/>
        <w:rPr>
          <w:sz w:val="20"/>
          <w:szCs w:val="20"/>
          <w:color w:val="auto"/>
        </w:rPr>
      </w:pPr>
      <w:r>
        <w:rPr>
          <w:rFonts w:ascii="Arial" w:cs="Arial" w:eastAsia="Arial" w:hAnsi="Arial"/>
          <w:sz w:val="20"/>
          <w:szCs w:val="20"/>
          <w:color w:val="auto"/>
        </w:rPr>
        <w:t>“ERISA Affiliate” means any Person who together with any Credit Party or any of its Subsidiaries is treated as a single employer within the meaning of Section 414(b), (c), (m) or (o) of the Code or Section 4001(b) of ERISA.</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“Erroneous Payment” has the meaning assigned thereto in Section 11.11(a).</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“Erroneous Payment Deficiency Assignment” has the meaning assigned thereto in Section 11.11(d).</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“Erroneous Payment Impacted Class” has the meaning assigned thereto in Section 11.11(d).</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“Erroneous Payment Return Deficiency” has the meaning assigned thereto in Section 11.11(d).</w:t>
      </w:r>
    </w:p>
    <w:p>
      <w:pPr>
        <w:spacing w:after="0" w:line="283" w:lineRule="exact"/>
        <w:rPr>
          <w:sz w:val="20"/>
          <w:szCs w:val="20"/>
          <w:color w:val="auto"/>
        </w:rPr>
      </w:pPr>
    </w:p>
    <w:p>
      <w:pPr>
        <w:ind w:left="60" w:right="100" w:firstLine="648"/>
        <w:spacing w:after="0" w:line="236" w:lineRule="auto"/>
        <w:rPr>
          <w:sz w:val="20"/>
          <w:szCs w:val="20"/>
          <w:color w:val="auto"/>
        </w:rPr>
      </w:pPr>
      <w:r>
        <w:rPr>
          <w:rFonts w:ascii="Arial" w:cs="Arial" w:eastAsia="Arial" w:hAnsi="Arial"/>
          <w:sz w:val="20"/>
          <w:szCs w:val="20"/>
          <w:color w:val="auto"/>
        </w:rPr>
        <w:t>“EU Bail-In Legislation Schedule” means the EU Bail-In Legislation Schedule published by the Loan Market Association (or any successor thereto)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4"/>
          <w:szCs w:val="14"/>
          <w:color w:val="FF0000"/>
          <w:strike w:val="1"/>
        </w:rPr>
        <w:t>146960219_6</w:t>
      </w:r>
    </w:p>
    <w:p>
      <w:pPr>
        <w:ind w:left="340" w:hanging="338"/>
        <w:spacing w:after="0" w:line="227" w:lineRule="auto"/>
        <w:tabs>
          <w:tab w:leader="none" w:pos="340" w:val="left"/>
        </w:tabs>
        <w:numPr>
          <w:ilvl w:val="0"/>
          <w:numId w:val="9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80"/>
          </w:cols>
          <w:pgMar w:left="380" w:top="1405" w:right="439" w:bottom="1440" w:gutter="0" w:footer="0" w:header="0"/>
        </w:sectPr>
      </w:pPr>
    </w:p>
    <w:bookmarkStart w:id="104" w:name="page105"/>
    <w:bookmarkEnd w:id="104"/>
    <w:p>
      <w:pPr>
        <w:ind w:left="678"/>
        <w:spacing w:after="0"/>
        <w:rPr>
          <w:sz w:val="20"/>
          <w:szCs w:val="20"/>
          <w:color w:val="auto"/>
        </w:rPr>
      </w:pPr>
      <w:r>
        <w:rPr>
          <w:rFonts w:ascii="Arial" w:cs="Arial" w:eastAsia="Arial" w:hAnsi="Arial"/>
          <w:sz w:val="18"/>
          <w:szCs w:val="18"/>
          <w:color w:val="auto"/>
        </w:rPr>
        <w:t>“Eurodollar Reserve Percentage” means, for any day, the percentage which is in effect for such day as prescribed by the FRB for</w:t>
      </w:r>
    </w:p>
    <w:p>
      <w:pPr>
        <w:spacing w:after="0" w:line="12" w:lineRule="exact"/>
        <w:rPr>
          <w:sz w:val="20"/>
          <w:szCs w:val="20"/>
          <w:color w:val="auto"/>
        </w:rPr>
      </w:pPr>
    </w:p>
    <w:p>
      <w:pPr>
        <w:ind w:left="38"/>
        <w:spacing w:after="0" w:line="250" w:lineRule="auto"/>
        <w:rPr>
          <w:sz w:val="20"/>
          <w:szCs w:val="20"/>
          <w:color w:val="auto"/>
        </w:rPr>
      </w:pPr>
      <w:r>
        <w:rPr>
          <w:rFonts w:ascii="Arial" w:cs="Arial" w:eastAsia="Arial" w:hAnsi="Arial"/>
          <w:sz w:val="18"/>
          <w:szCs w:val="18"/>
          <w:color w:val="auto"/>
        </w:rPr>
        <w:t>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201" w:lineRule="exact"/>
        <w:rPr>
          <w:sz w:val="20"/>
          <w:szCs w:val="20"/>
          <w:color w:val="auto"/>
        </w:rPr>
      </w:pPr>
    </w:p>
    <w:p>
      <w:pPr>
        <w:ind w:left="38" w:right="20" w:firstLine="648"/>
        <w:spacing w:after="0" w:line="229" w:lineRule="auto"/>
        <w:rPr>
          <w:sz w:val="20"/>
          <w:szCs w:val="20"/>
          <w:color w:val="auto"/>
        </w:rPr>
      </w:pPr>
      <w:r>
        <w:rPr>
          <w:rFonts w:ascii="Arial" w:cs="Arial" w:eastAsia="Arial" w:hAnsi="Arial"/>
          <w:sz w:val="20"/>
          <w:szCs w:val="20"/>
          <w:color w:val="auto"/>
        </w:rPr>
        <w:t>“Event of Default” means any of the events specified in Section 10.1; provided that any requirement for passage of time, giving of notice, or any other condition, has been satisfied.</w:t>
      </w:r>
    </w:p>
    <w:p>
      <w:pPr>
        <w:spacing w:after="0" w:line="207" w:lineRule="exact"/>
        <w:rPr>
          <w:sz w:val="20"/>
          <w:szCs w:val="20"/>
          <w:color w:val="auto"/>
        </w:rPr>
      </w:pPr>
    </w:p>
    <w:p>
      <w:pPr>
        <w:ind w:left="678"/>
        <w:spacing w:after="0"/>
        <w:rPr>
          <w:sz w:val="20"/>
          <w:szCs w:val="20"/>
          <w:color w:val="auto"/>
        </w:rPr>
      </w:pPr>
      <w:r>
        <w:rPr>
          <w:rFonts w:ascii="Arial" w:cs="Arial" w:eastAsia="Arial" w:hAnsi="Arial"/>
          <w:sz w:val="18"/>
          <w:szCs w:val="18"/>
          <w:color w:val="auto"/>
        </w:rPr>
        <w:t>“Excess Cash Flow” means, for Centuri and its Subsidiaries on a Consolidated basis, in accordance with GAAP for any Fiscal</w:t>
      </w:r>
    </w:p>
    <w:p>
      <w:pPr>
        <w:ind w:left="38"/>
        <w:spacing w:after="0"/>
        <w:rPr>
          <w:sz w:val="20"/>
          <w:szCs w:val="20"/>
          <w:color w:val="auto"/>
        </w:rPr>
      </w:pPr>
      <w:r>
        <w:rPr>
          <w:rFonts w:ascii="Arial" w:cs="Arial" w:eastAsia="Arial" w:hAnsi="Arial"/>
          <w:sz w:val="20"/>
          <w:szCs w:val="20"/>
          <w:color w:val="auto"/>
        </w:rPr>
        <w:t>Year:</w:t>
      </w:r>
    </w:p>
    <w:p>
      <w:pPr>
        <w:spacing w:after="0" w:line="213" w:lineRule="exact"/>
        <w:rPr>
          <w:sz w:val="20"/>
          <w:szCs w:val="20"/>
          <w:color w:val="auto"/>
        </w:rPr>
      </w:pPr>
    </w:p>
    <w:p>
      <w:pPr>
        <w:ind w:left="1318" w:hanging="634"/>
        <w:spacing w:after="0"/>
        <w:tabs>
          <w:tab w:leader="none" w:pos="1318"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ind w:left="1898" w:hanging="566"/>
        <w:spacing w:after="0"/>
        <w:tabs>
          <w:tab w:leader="none" w:pos="1898" w:val="left"/>
        </w:tabs>
        <w:numPr>
          <w:ilvl w:val="1"/>
          <w:numId w:val="95"/>
        </w:numPr>
        <w:rPr>
          <w:rFonts w:ascii="Arial" w:cs="Arial" w:eastAsia="Arial" w:hAnsi="Arial"/>
          <w:sz w:val="20"/>
          <w:szCs w:val="20"/>
          <w:color w:val="auto"/>
        </w:rPr>
      </w:pPr>
      <w:r>
        <w:rPr>
          <w:rFonts w:ascii="Arial" w:cs="Arial" w:eastAsia="Arial" w:hAnsi="Arial"/>
          <w:sz w:val="20"/>
          <w:szCs w:val="20"/>
          <w:color w:val="auto"/>
        </w:rPr>
        <w:t>Consolidated Net Income for such Fiscal Year; plus</w:t>
      </w:r>
    </w:p>
    <w:p>
      <w:pPr>
        <w:spacing w:after="0" w:line="283" w:lineRule="exact"/>
        <w:rPr>
          <w:rFonts w:ascii="Arial" w:cs="Arial" w:eastAsia="Arial" w:hAnsi="Arial"/>
          <w:sz w:val="20"/>
          <w:szCs w:val="20"/>
          <w:color w:val="auto"/>
        </w:rPr>
      </w:pPr>
    </w:p>
    <w:p>
      <w:pPr>
        <w:jc w:val="both"/>
        <w:ind w:left="678" w:right="20" w:firstLine="654"/>
        <w:spacing w:after="0" w:line="235" w:lineRule="auto"/>
        <w:tabs>
          <w:tab w:leader="none" w:pos="1881" w:val="left"/>
        </w:tabs>
        <w:numPr>
          <w:ilvl w:val="1"/>
          <w:numId w:val="95"/>
        </w:numPr>
        <w:rPr>
          <w:rFonts w:ascii="Arial" w:cs="Arial" w:eastAsia="Arial" w:hAnsi="Arial"/>
          <w:sz w:val="19"/>
          <w:szCs w:val="19"/>
          <w:color w:val="auto"/>
        </w:rPr>
      </w:pPr>
      <w:r>
        <w:rPr>
          <w:rFonts w:ascii="Arial" w:cs="Arial" w:eastAsia="Arial" w:hAnsi="Arial"/>
          <w:sz w:val="19"/>
          <w:szCs w:val="19"/>
          <w:color w:val="auto"/>
        </w:rPr>
        <w:t>an amount equal to the amount of all non-cash charges to the extent deducted in determining Consolidated Net Income for such Fiscal Year (excluding any non-cash charges representing an accrual or reserve for a potential cash charge in any future Fiscal Year or amortization of a prepaid cash gain that was paid in a prior Fiscal Year); plus</w:t>
      </w:r>
    </w:p>
    <w:p>
      <w:pPr>
        <w:spacing w:after="0" w:line="262" w:lineRule="exact"/>
        <w:rPr>
          <w:rFonts w:ascii="Arial" w:cs="Arial" w:eastAsia="Arial" w:hAnsi="Arial"/>
          <w:sz w:val="19"/>
          <w:szCs w:val="19"/>
          <w:color w:val="auto"/>
        </w:rPr>
      </w:pPr>
    </w:p>
    <w:p>
      <w:pPr>
        <w:ind w:left="1978" w:hanging="646"/>
        <w:spacing w:after="0"/>
        <w:tabs>
          <w:tab w:leader="none" w:pos="1978" w:val="left"/>
        </w:tabs>
        <w:numPr>
          <w:ilvl w:val="1"/>
          <w:numId w:val="95"/>
        </w:numPr>
        <w:rPr>
          <w:rFonts w:ascii="Arial" w:cs="Arial" w:eastAsia="Arial" w:hAnsi="Arial"/>
          <w:sz w:val="20"/>
          <w:szCs w:val="20"/>
          <w:color w:val="auto"/>
        </w:rPr>
      </w:pPr>
      <w:r>
        <w:rPr>
          <w:rFonts w:ascii="Arial" w:cs="Arial" w:eastAsia="Arial" w:hAnsi="Arial"/>
          <w:sz w:val="20"/>
          <w:szCs w:val="20"/>
          <w:color w:val="auto"/>
        </w:rPr>
        <w:t>decreases in Working Capital for such Fiscal Year,</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minus</w:t>
      </w:r>
    </w:p>
    <w:p>
      <w:pPr>
        <w:spacing w:after="0" w:line="283" w:lineRule="exact"/>
        <w:rPr>
          <w:sz w:val="20"/>
          <w:szCs w:val="20"/>
          <w:color w:val="auto"/>
        </w:rPr>
      </w:pPr>
    </w:p>
    <w:p>
      <w:pPr>
        <w:ind w:left="1318" w:hanging="634"/>
        <w:spacing w:after="0"/>
        <w:tabs>
          <w:tab w:leader="none" w:pos="1318"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jc w:val="both"/>
        <w:ind w:left="678" w:firstLine="654"/>
        <w:spacing w:after="0" w:line="223" w:lineRule="auto"/>
        <w:tabs>
          <w:tab w:leader="none" w:pos="1884"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aggregate amount of cash actually paid by Centuri and its Subsidiaries during such Fiscal Year on account of Capital Expenditures, Permitted Acquisitions and other Investments pursuant to Section 9.3 (but excluding Investments in cash or Cash Equivalents and Investments in Centuri or any Subsidiary) (other than any amounts that were committed during a prior Fiscal Year to the extent such amounts reduced Excess Cash Flow in such prior Fiscal Year per clause (b)(ii) below),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provided that any amount of Capital Expenditures deducted under this clause (b)(i) that are financed with long-term Indebtedness, any Equity Issuance, casualty proceeds, condemnation proceeds or other proceeds that would not be included in Consolidated EBITDA in a future period, shall be added to the calculation of Excess Cash Flow in the applicable future period; plus</w:t>
      </w:r>
    </w:p>
    <w:p>
      <w:pPr>
        <w:spacing w:after="0" w:line="253" w:lineRule="exact"/>
        <w:rPr>
          <w:rFonts w:ascii="Arial" w:cs="Arial" w:eastAsia="Arial" w:hAnsi="Arial"/>
          <w:sz w:val="19"/>
          <w:szCs w:val="19"/>
          <w:color w:val="auto"/>
        </w:rPr>
      </w:pPr>
    </w:p>
    <w:p>
      <w:pPr>
        <w:ind w:left="1958" w:hanging="626"/>
        <w:spacing w:after="0"/>
        <w:tabs>
          <w:tab w:leader="none" w:pos="1958" w:val="left"/>
        </w:tabs>
        <w:numPr>
          <w:ilvl w:val="1"/>
          <w:numId w:val="96"/>
        </w:numPr>
        <w:rPr>
          <w:rFonts w:ascii="Arial" w:cs="Arial" w:eastAsia="Arial" w:hAnsi="Arial"/>
          <w:sz w:val="20"/>
          <w:szCs w:val="20"/>
          <w:color w:val="auto"/>
        </w:rPr>
      </w:pPr>
      <w:r>
        <w:rPr>
          <w:rFonts w:ascii="Arial" w:cs="Arial" w:eastAsia="Arial" w:hAnsi="Arial"/>
          <w:sz w:val="20"/>
          <w:szCs w:val="20"/>
          <w:color w:val="auto"/>
        </w:rPr>
        <w:t>without duplication of amounts deducted from Excess Cash Flow in other periods,</w:t>
      </w:r>
    </w:p>
    <w:p>
      <w:pPr>
        <w:jc w:val="both"/>
        <w:ind w:left="678" w:firstLine="5"/>
        <w:spacing w:after="0" w:line="204" w:lineRule="auto"/>
        <w:tabs>
          <w:tab w:leader="none" w:pos="105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aggregate consideration required to be paid in cash by Centuri and its Subsidiaries pursuant to binding contracts, commitments, letters of intent or purchase orders (such amount, the “Contract Consideration”) entered into prior to or during such Fiscal Year and (B) any planned cash expenditures by Centuri and its Subsidiaries (such amount, the “Planned Expenditures”), in the case of each of clauses (A) and (B), relating to Permitted Acquisitions, Capital Expenditures and other Investments pursuant to Section 9.3 (but excluding Investments in cash or Cash Equivalents and Investments in Centuri or any Subsidiary) to be consummated or made during the period of four</w:t>
      </w:r>
    </w:p>
    <w:p>
      <w:pPr>
        <w:spacing w:after="0" w:line="1" w:lineRule="exact"/>
        <w:rPr>
          <w:rFonts w:ascii="Arial" w:cs="Arial" w:eastAsia="Arial" w:hAnsi="Arial"/>
          <w:sz w:val="20"/>
          <w:szCs w:val="20"/>
          <w:color w:val="auto"/>
        </w:rPr>
      </w:pPr>
    </w:p>
    <w:p>
      <w:pPr>
        <w:jc w:val="both"/>
        <w:ind w:left="678"/>
        <w:spacing w:after="0" w:line="222" w:lineRule="auto"/>
        <w:rPr>
          <w:rFonts w:ascii="Arial" w:cs="Arial" w:eastAsia="Arial" w:hAnsi="Arial"/>
          <w:sz w:val="20"/>
          <w:szCs w:val="20"/>
          <w:color w:val="auto"/>
        </w:rPr>
      </w:pPr>
      <w:r>
        <w:rPr>
          <w:rFonts w:ascii="Arial" w:cs="Arial" w:eastAsia="Arial" w:hAnsi="Arial"/>
          <w:sz w:val="20"/>
          <w:szCs w:val="20"/>
          <w:color w:val="auto"/>
        </w:rPr>
        <w:t>(4) consecutive fiscal quarters of Centuri following the end of such Fiscal Year and identified in writing to the Administrative Agent with reasonable supporting calculations, except to the extent any such Capital Expenditure, Permitted Acquisition or other Investment is made with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9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05" w:name="page106"/>
    <w:bookmarkEnd w:id="105"/>
    <w:p>
      <w:pPr>
        <w:spacing w:after="0" w:line="209" w:lineRule="exact"/>
        <w:rPr>
          <w:sz w:val="20"/>
          <w:szCs w:val="20"/>
          <w:color w:val="auto"/>
        </w:rPr>
      </w:pPr>
    </w:p>
    <w:p>
      <w:pPr>
        <w:ind w:left="678"/>
        <w:spacing w:after="0"/>
        <w:rPr>
          <w:sz w:val="20"/>
          <w:szCs w:val="20"/>
          <w:color w:val="auto"/>
        </w:rPr>
      </w:pPr>
      <w:r>
        <w:rPr>
          <w:rFonts w:ascii="Arial" w:cs="Arial" w:eastAsia="Arial" w:hAnsi="Arial"/>
          <w:sz w:val="16"/>
          <w:szCs w:val="16"/>
          <w:color w:val="auto"/>
        </w:rPr>
        <w:t>of long-term Indebtedness (other than Revolving Credit Loans), any Equity Issuance, casualty proceeds, condemnation proceeds or</w:t>
      </w:r>
    </w:p>
    <w:p>
      <w:pPr>
        <w:spacing w:after="0" w:line="35" w:lineRule="exact"/>
        <w:rPr>
          <w:sz w:val="20"/>
          <w:szCs w:val="20"/>
          <w:color w:val="auto"/>
        </w:rPr>
      </w:pPr>
    </w:p>
    <w:p>
      <w:pPr>
        <w:ind w:left="678"/>
        <w:spacing w:after="0" w:line="226" w:lineRule="auto"/>
        <w:rPr>
          <w:sz w:val="20"/>
          <w:szCs w:val="20"/>
          <w:color w:val="auto"/>
        </w:rPr>
      </w:pPr>
      <w:r>
        <w:rPr>
          <w:rFonts w:ascii="Arial" w:cs="Arial" w:eastAsia="Arial" w:hAnsi="Arial"/>
          <w:sz w:val="18"/>
          <w:szCs w:val="18"/>
          <w:color w:val="auto"/>
        </w:rPr>
        <w:t>other proceeds that would not be included in Consolidated EBITDA; provided that to the extent that the aggregate amount of cash actually utilized to finance such Permitted Acquisitions, Capital Expenditures or other Investments during such following period of</w:t>
      </w:r>
    </w:p>
    <w:p>
      <w:pPr>
        <w:ind w:left="678"/>
        <w:spacing w:after="0" w:line="236" w:lineRule="auto"/>
        <w:rPr>
          <w:sz w:val="20"/>
          <w:szCs w:val="20"/>
          <w:color w:val="auto"/>
        </w:rPr>
      </w:pPr>
      <w:r>
        <w:rPr>
          <w:rFonts w:ascii="Arial" w:cs="Arial" w:eastAsia="Arial" w:hAnsi="Arial"/>
          <w:sz w:val="18"/>
          <w:szCs w:val="18"/>
          <w:color w:val="auto"/>
        </w:rPr>
        <w:t>four consecutive fiscal quarters is less than such Contract Consideration and Planned Expenditures, the amount of such shortfall</w:t>
      </w:r>
    </w:p>
    <w:p>
      <w:pPr>
        <w:spacing w:after="0" w:line="1" w:lineRule="exact"/>
        <w:rPr>
          <w:sz w:val="20"/>
          <w:szCs w:val="20"/>
          <w:color w:val="auto"/>
        </w:rPr>
      </w:pPr>
    </w:p>
    <w:p>
      <w:pPr>
        <w:ind w:left="678"/>
        <w:spacing w:after="0" w:line="226" w:lineRule="auto"/>
        <w:rPr>
          <w:sz w:val="20"/>
          <w:szCs w:val="20"/>
          <w:color w:val="auto"/>
        </w:rPr>
      </w:pPr>
      <w:r>
        <w:rPr>
          <w:rFonts w:ascii="Arial" w:cs="Arial" w:eastAsia="Arial" w:hAnsi="Arial"/>
          <w:sz w:val="18"/>
          <w:szCs w:val="18"/>
          <w:color w:val="auto"/>
        </w:rPr>
        <w:t>shall be added to the calculation of Excess Cash Flow, at the end of such period of four consecutive fiscal quarters; provided further that any amount of Contract Consideration and/or Planned Expenditures relating to Capital Expenditures deducted under</w:t>
      </w:r>
    </w:p>
    <w:p>
      <w:pPr>
        <w:ind w:left="678"/>
        <w:spacing w:after="0" w:line="236" w:lineRule="auto"/>
        <w:rPr>
          <w:sz w:val="20"/>
          <w:szCs w:val="20"/>
          <w:color w:val="auto"/>
        </w:rPr>
      </w:pPr>
      <w:r>
        <w:rPr>
          <w:rFonts w:ascii="Arial" w:cs="Arial" w:eastAsia="Arial" w:hAnsi="Arial"/>
          <w:sz w:val="18"/>
          <w:szCs w:val="18"/>
          <w:color w:val="auto"/>
        </w:rPr>
        <w:t>this clause (b)(ii) that are financed with long-term Indebtedness, any Equity Issuance, casualty proceeds, condemnation proceeds</w:t>
      </w:r>
    </w:p>
    <w:p>
      <w:pPr>
        <w:spacing w:after="0" w:line="1" w:lineRule="exact"/>
        <w:rPr>
          <w:sz w:val="20"/>
          <w:szCs w:val="20"/>
          <w:color w:val="auto"/>
        </w:rPr>
      </w:pPr>
    </w:p>
    <w:p>
      <w:pPr>
        <w:ind w:left="678" w:right="20"/>
        <w:spacing w:after="0" w:line="220" w:lineRule="auto"/>
        <w:rPr>
          <w:sz w:val="20"/>
          <w:szCs w:val="20"/>
          <w:color w:val="auto"/>
        </w:rPr>
      </w:pPr>
      <w:r>
        <w:rPr>
          <w:rFonts w:ascii="Arial" w:cs="Arial" w:eastAsia="Arial" w:hAnsi="Arial"/>
          <w:sz w:val="20"/>
          <w:szCs w:val="20"/>
          <w:color w:val="auto"/>
        </w:rPr>
        <w:t>or other proceeds that would not be included in Consolidated EBITDA in a future period, shall be added to the calculation of Excess Cash Flow in the applicable future period;</w:t>
      </w:r>
    </w:p>
    <w:p>
      <w:pPr>
        <w:spacing w:after="0" w:line="210" w:lineRule="exact"/>
        <w:rPr>
          <w:sz w:val="20"/>
          <w:szCs w:val="20"/>
          <w:color w:val="auto"/>
        </w:rPr>
      </w:pPr>
    </w:p>
    <w:p>
      <w:pPr>
        <w:jc w:val="both"/>
        <w:ind w:left="678" w:firstLine="654"/>
        <w:spacing w:after="0" w:line="214" w:lineRule="auto"/>
        <w:tabs>
          <w:tab w:leader="none" w:pos="1883"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aggregate amount of all scheduled principal payments or repayments of Indebtedness (other than mandatory prepayments of Loans) made by Centuri and its Subsidiaries during such Fiscal Year, but only to the extent that such payments or repayments by their terms cannot be reborrowed or redrawn and do not occur in connection with a refinancing of all or any portion of such Indebtedness, except to the extent such principal payments are financed with the proceeds of long-term Indebtedness, any Equity Issuance, casualty proceeds, condemnation proceeds or other proceeds that would not be included in Consolidated EBITDA; plus</w:t>
      </w:r>
    </w:p>
    <w:p>
      <w:pPr>
        <w:spacing w:after="0" w:line="268" w:lineRule="exact"/>
        <w:rPr>
          <w:rFonts w:ascii="Arial" w:cs="Arial" w:eastAsia="Arial" w:hAnsi="Arial"/>
          <w:sz w:val="20"/>
          <w:szCs w:val="20"/>
          <w:color w:val="auto"/>
        </w:rPr>
      </w:pPr>
    </w:p>
    <w:p>
      <w:pPr>
        <w:jc w:val="both"/>
        <w:ind w:left="678" w:firstLine="654"/>
        <w:spacing w:after="0" w:line="220" w:lineRule="auto"/>
        <w:tabs>
          <w:tab w:leader="none" w:pos="1881"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amount of Restricted Payments made by Centuri and its Subsidiaries in cash during such Excess Cash Flow Period pursuant to Section 9.6(e) and (f), in each case to the extent that such Restricted Payments are not financed with the proceeds of long-term Indebtedness, any Equity Issuance, casualty proceeds, condemnation proceeds or other proceeds that would not be included in Consolidated EBITDA; plus</w:t>
      </w:r>
    </w:p>
    <w:p>
      <w:pPr>
        <w:spacing w:after="0" w:line="263" w:lineRule="exact"/>
        <w:rPr>
          <w:rFonts w:ascii="Arial" w:cs="Arial" w:eastAsia="Arial" w:hAnsi="Arial"/>
          <w:sz w:val="20"/>
          <w:szCs w:val="20"/>
          <w:color w:val="auto"/>
        </w:rPr>
      </w:pPr>
    </w:p>
    <w:p>
      <w:pPr>
        <w:ind w:left="678" w:right="540" w:firstLine="654"/>
        <w:spacing w:after="0" w:line="229" w:lineRule="auto"/>
        <w:tabs>
          <w:tab w:leader="none" w:pos="1883"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to the extent included in determining Consolidated Net Income for such Fiscal Year; plus</w:t>
      </w:r>
    </w:p>
    <w:p>
      <w:pPr>
        <w:spacing w:after="0" w:line="263" w:lineRule="exact"/>
        <w:rPr>
          <w:rFonts w:ascii="Arial" w:cs="Arial" w:eastAsia="Arial" w:hAnsi="Arial"/>
          <w:sz w:val="20"/>
          <w:szCs w:val="20"/>
          <w:color w:val="auto"/>
        </w:rPr>
      </w:pPr>
    </w:p>
    <w:p>
      <w:pPr>
        <w:ind w:left="1978" w:hanging="646"/>
        <w:spacing w:after="0"/>
        <w:tabs>
          <w:tab w:leader="none" w:pos="1978"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increases to Working Capital for such Fiscal Year.</w:t>
      </w:r>
    </w:p>
    <w:p>
      <w:pPr>
        <w:spacing w:after="0" w:line="229" w:lineRule="exact"/>
        <w:rPr>
          <w:sz w:val="20"/>
          <w:szCs w:val="20"/>
          <w:color w:val="auto"/>
        </w:rPr>
      </w:pPr>
    </w:p>
    <w:p>
      <w:pPr>
        <w:ind w:left="678"/>
        <w:spacing w:after="0"/>
        <w:rPr>
          <w:sz w:val="20"/>
          <w:szCs w:val="20"/>
          <w:color w:val="auto"/>
        </w:rPr>
      </w:pPr>
      <w:r>
        <w:rPr>
          <w:rFonts w:ascii="Arial" w:cs="Arial" w:eastAsia="Arial" w:hAnsi="Arial"/>
          <w:sz w:val="20"/>
          <w:szCs w:val="20"/>
          <w:color w:val="auto"/>
        </w:rPr>
        <w:t>“Exchange Act” means the Securities Exchange Act of 1934 (15 U.S.C. 78a et seq.).</w:t>
      </w:r>
    </w:p>
    <w:p>
      <w:pPr>
        <w:spacing w:after="0" w:line="270" w:lineRule="exact"/>
        <w:rPr>
          <w:sz w:val="20"/>
          <w:szCs w:val="20"/>
          <w:color w:val="auto"/>
        </w:rPr>
      </w:pPr>
    </w:p>
    <w:p>
      <w:pPr>
        <w:ind w:left="38" w:right="20" w:firstLine="648"/>
        <w:spacing w:after="0" w:line="244" w:lineRule="auto"/>
        <w:rPr>
          <w:sz w:val="20"/>
          <w:szCs w:val="20"/>
          <w:color w:val="auto"/>
        </w:rPr>
      </w:pPr>
      <w:r>
        <w:rPr>
          <w:rFonts w:ascii="Arial" w:cs="Arial" w:eastAsia="Arial" w:hAnsi="Arial"/>
          <w:sz w:val="18"/>
          <w:szCs w:val="18"/>
          <w:color w:val="auto"/>
        </w:rPr>
        <w:t>“Excluded Subsidiary” means (a) each CFC, (b) each Subsidiary that is a direct or indirect Subsidiary of a CFC, (c) each CFC Holdco, (d) any Receivables Subsidiary, (e) any Subsidiary that is not a Wholly Owned Subsidiary if the organizational documents of such</w:t>
      </w:r>
    </w:p>
    <w:p>
      <w:pPr>
        <w:ind w:left="38" w:right="20"/>
        <w:spacing w:after="0" w:line="226" w:lineRule="auto"/>
        <w:rPr>
          <w:sz w:val="20"/>
          <w:szCs w:val="20"/>
          <w:color w:val="auto"/>
        </w:rPr>
      </w:pPr>
      <w:r>
        <w:rPr>
          <w:rFonts w:ascii="Arial" w:cs="Arial" w:eastAsia="Arial" w:hAnsi="Arial"/>
          <w:sz w:val="18"/>
          <w:szCs w:val="18"/>
          <w:color w:val="auto"/>
        </w:rPr>
        <w:t>Subsidiary prohibit a guaranty by such Subsidiary of the Obligations or the pledge of the Equity Interests of such Subsidiary, and (f) any other Subsidiary with respect to which the Administrative Agent and the Borrower mutually agree that the cost of providing a Guarantee</w:t>
      </w:r>
    </w:p>
    <w:p>
      <w:pPr>
        <w:spacing w:after="0" w:line="2" w:lineRule="exact"/>
        <w:rPr>
          <w:sz w:val="20"/>
          <w:szCs w:val="20"/>
          <w:color w:val="auto"/>
        </w:rPr>
      </w:pPr>
    </w:p>
    <w:p>
      <w:pPr>
        <w:ind w:left="38"/>
        <w:spacing w:after="0"/>
        <w:rPr>
          <w:sz w:val="20"/>
          <w:szCs w:val="20"/>
          <w:color w:val="auto"/>
        </w:rPr>
      </w:pPr>
      <w:r>
        <w:rPr>
          <w:rFonts w:ascii="Arial" w:cs="Arial" w:eastAsia="Arial" w:hAnsi="Arial"/>
          <w:sz w:val="20"/>
          <w:szCs w:val="20"/>
          <w:color w:val="auto"/>
        </w:rPr>
        <w:t>would be excessive in relation to the benefit to be afforded thereby.</w:t>
      </w:r>
    </w:p>
    <w:p>
      <w:pPr>
        <w:spacing w:after="0" w:line="200" w:lineRule="exact"/>
        <w:rPr>
          <w:sz w:val="20"/>
          <w:szCs w:val="20"/>
          <w:color w:val="auto"/>
        </w:rPr>
      </w:pPr>
    </w:p>
    <w:p>
      <w:pPr>
        <w:ind w:left="38" w:firstLine="648"/>
        <w:spacing w:after="0" w:line="231" w:lineRule="auto"/>
        <w:rPr>
          <w:sz w:val="20"/>
          <w:szCs w:val="20"/>
          <w:color w:val="auto"/>
        </w:rPr>
      </w:pPr>
      <w:r>
        <w:rPr>
          <w:rFonts w:ascii="Arial" w:cs="Arial" w:eastAsia="Arial" w:hAnsi="Arial"/>
          <w:sz w:val="19"/>
          <w:szCs w:val="19"/>
          <w:color w:val="auto"/>
        </w:rPr>
        <w:t>“Excluded Swap Obligation” means, with respect to any Credit Party, any Swap Obligation if, and to the extent that, all or a portion of the liability of such Credit Party for or the guarantee of such Credit Party of, or the grant by such Credit Party of a security</w:t>
      </w:r>
    </w:p>
    <w:p>
      <w:pPr>
        <w:ind w:left="38"/>
        <w:spacing w:after="0" w:line="226" w:lineRule="auto"/>
        <w:rPr>
          <w:sz w:val="20"/>
          <w:szCs w:val="20"/>
          <w:color w:val="auto"/>
        </w:rPr>
      </w:pPr>
      <w:r>
        <w:rPr>
          <w:rFonts w:ascii="Arial" w:cs="Arial" w:eastAsia="Arial" w:hAnsi="Arial"/>
          <w:sz w:val="18"/>
          <w:szCs w:val="18"/>
          <w:color w:val="auto"/>
        </w:rPr>
        <w:t>interest to secure, such Swap Obligation (or any liability or guarantee thereof) is or becomes illegal under the Commodity Exchange Act or any rule, regulation or order of the Commodity Futures Trading Commission (or the application or official interpretation of any thereof) by</w:t>
      </w:r>
    </w:p>
    <w:p>
      <w:pPr>
        <w:ind w:left="38"/>
        <w:spacing w:after="0" w:line="236" w:lineRule="auto"/>
        <w:rPr>
          <w:sz w:val="20"/>
          <w:szCs w:val="20"/>
          <w:color w:val="auto"/>
        </w:rPr>
      </w:pPr>
      <w:r>
        <w:rPr>
          <w:rFonts w:ascii="Arial" w:cs="Arial" w:eastAsia="Arial" w:hAnsi="Arial"/>
          <w:sz w:val="18"/>
          <w:szCs w:val="18"/>
          <w:color w:val="auto"/>
        </w:rPr>
        <w:t>virtue of such Credit Party’s failure for any reason to constitute an “eligible contract participant” as defined in the Commodity Exchange</w:t>
      </w:r>
    </w:p>
    <w:p>
      <w:pPr>
        <w:spacing w:after="0" w:line="1" w:lineRule="exact"/>
        <w:rPr>
          <w:sz w:val="20"/>
          <w:szCs w:val="20"/>
          <w:color w:val="auto"/>
        </w:rPr>
      </w:pPr>
    </w:p>
    <w:p>
      <w:pPr>
        <w:ind w:left="38"/>
        <w:spacing w:after="0" w:line="250" w:lineRule="auto"/>
        <w:rPr>
          <w:sz w:val="20"/>
          <w:szCs w:val="20"/>
          <w:color w:val="auto"/>
        </w:rPr>
      </w:pPr>
      <w:r>
        <w:rPr>
          <w:rFonts w:ascii="Arial" w:cs="Arial" w:eastAsia="Arial" w:hAnsi="Arial"/>
          <w:sz w:val="18"/>
          <w:szCs w:val="18"/>
          <w:color w:val="auto"/>
        </w:rPr>
        <w:t>Act and the regulations thereunder at the time the liability for or the guarantee of such Credit Party or the grant of such security interest becomes effective with respect to such Swap Obligation (such determination being made after giving effect to any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0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06" w:name="page107"/>
    <w:bookmarkEnd w:id="106"/>
    <w:p>
      <w:pPr>
        <w:ind w:left="58"/>
        <w:spacing w:after="0"/>
        <w:rPr>
          <w:sz w:val="20"/>
          <w:szCs w:val="20"/>
          <w:color w:val="auto"/>
        </w:rPr>
      </w:pPr>
      <w:r>
        <w:rPr>
          <w:rFonts w:ascii="Arial" w:cs="Arial" w:eastAsia="Arial" w:hAnsi="Arial"/>
          <w:sz w:val="18"/>
          <w:szCs w:val="18"/>
          <w:color w:val="auto"/>
        </w:rPr>
        <w:t>keepwell, support or other agreement for the benefit of the applicable Credit Party, including the keepwell provisions in each applicable</w:t>
      </w:r>
    </w:p>
    <w:p>
      <w:pPr>
        <w:spacing w:after="0" w:line="12"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Guaranty Agreement).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for the reasons identified in the immediately preceding sentence of this definition.</w:t>
      </w:r>
    </w:p>
    <w:p>
      <w:pPr>
        <w:spacing w:after="0" w:line="200"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“Excluded Taxes” means any of the following Taxes imposed on or with respect to a Recipient or required to be withheld or deducted from a payment to a Recipient, (a) Taxes imposed on or measured by net income (however denominated), franchise Taxes, and</w:t>
      </w:r>
    </w:p>
    <w:p>
      <w:pPr>
        <w:ind w:left="58"/>
        <w:spacing w:after="0" w:line="226" w:lineRule="auto"/>
        <w:rPr>
          <w:sz w:val="20"/>
          <w:szCs w:val="20"/>
          <w:color w:val="auto"/>
        </w:rPr>
      </w:pPr>
      <w:r>
        <w:rPr>
          <w:rFonts w:ascii="Arial" w:cs="Arial" w:eastAsia="Arial" w:hAnsi="Arial"/>
          <w:sz w:val="18"/>
          <w:szCs w:val="18"/>
          <w:color w:val="auto"/>
        </w:rPr>
        <w:t>branch profits Taxes, in each case, (i) imposed as a result of such Recipient being organized under the laws of, or having its principal office or, in the case of any Lender, its applicable Lending Office located in, the jurisdiction imposing such Tax (or any political</w:t>
      </w:r>
    </w:p>
    <w:p>
      <w:pPr>
        <w:ind w:left="58"/>
        <w:spacing w:after="0" w:line="236" w:lineRule="auto"/>
        <w:rPr>
          <w:sz w:val="20"/>
          <w:szCs w:val="20"/>
          <w:color w:val="auto"/>
        </w:rPr>
      </w:pPr>
      <w:r>
        <w:rPr>
          <w:rFonts w:ascii="Arial" w:cs="Arial" w:eastAsia="Arial" w:hAnsi="Arial"/>
          <w:sz w:val="18"/>
          <w:szCs w:val="18"/>
          <w:color w:val="auto"/>
        </w:rPr>
        <w:t>subdivision thereof) or (ii) that are Other Connection Taxes, (b) in the case of a Lender, United States federal withholding Taxes imposed</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on amounts payable to or for the account of such Lender with respect to an applicable interest in a Loan or Commitment pursuant to a law in effect on the date on which (i) such Lender acquires such interest in the Loan or Commitment (other than pursuant to an assignment</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6"/>
          <w:szCs w:val="16"/>
          <w:color w:val="auto"/>
        </w:rPr>
        <w:t>request by Centuri under Section 5.12(b)) or (ii) such Lender changes its Lending Office, except in each case to the extent that, pursuant to</w:t>
      </w:r>
    </w:p>
    <w:p>
      <w:pPr>
        <w:spacing w:after="0" w:line="19"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Section 5.11, amounts with respect to such Taxes were payable either to such Lender’s assignor immediately before such Lender became a party hereto or to such Lender immediately before it changed its Lending Office, (c) Taxes attributable to such Recipient’s failure to</w:t>
      </w:r>
    </w:p>
    <w:p>
      <w:pPr>
        <w:ind w:left="58"/>
        <w:spacing w:after="0" w:line="236" w:lineRule="auto"/>
        <w:rPr>
          <w:sz w:val="20"/>
          <w:szCs w:val="20"/>
          <w:color w:val="auto"/>
        </w:rPr>
      </w:pPr>
      <w:r>
        <w:rPr>
          <w:rFonts w:ascii="Arial" w:cs="Arial" w:eastAsia="Arial" w:hAnsi="Arial"/>
          <w:sz w:val="18"/>
          <w:szCs w:val="18"/>
          <w:color w:val="auto"/>
        </w:rPr>
        <w:t>comply with Section 5.11(g), (d) any United States federal withholding Taxes imposed under FATCA, and (e) any Canadian withholding</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Taxes imposed on a Lender by reason of such Lender (i) being a “specified shareholder” (as defined in subsection 18(5) of the ITA) of a Credit Party or (ii) not dealing at arm’s length (for purposes of the ITA) with a “specified shareholder” (as defined in subsection 18(5) of</w:t>
      </w:r>
    </w:p>
    <w:p>
      <w:pPr>
        <w:ind w:left="58"/>
        <w:spacing w:after="0" w:line="236" w:lineRule="auto"/>
        <w:rPr>
          <w:sz w:val="20"/>
          <w:szCs w:val="20"/>
          <w:color w:val="auto"/>
        </w:rPr>
      </w:pPr>
      <w:r>
        <w:rPr>
          <w:rFonts w:ascii="Arial" w:cs="Arial" w:eastAsia="Arial" w:hAnsi="Arial"/>
          <w:sz w:val="18"/>
          <w:szCs w:val="18"/>
          <w:color w:val="auto"/>
        </w:rPr>
        <w:t>the ITA) of the Credit Party. (except, in the case of (e)(i) or (ii), where any such non-arm’s length or specified shareholder relationship</w:t>
      </w:r>
    </w:p>
    <w:p>
      <w:pPr>
        <w:spacing w:after="0" w:line="1" w:lineRule="exact"/>
        <w:rPr>
          <w:sz w:val="20"/>
          <w:szCs w:val="20"/>
          <w:color w:val="auto"/>
        </w:rPr>
      </w:pPr>
    </w:p>
    <w:p>
      <w:pPr>
        <w:ind w:left="58"/>
        <w:spacing w:after="0" w:line="232" w:lineRule="auto"/>
        <w:rPr>
          <w:sz w:val="20"/>
          <w:szCs w:val="20"/>
          <w:color w:val="auto"/>
        </w:rPr>
      </w:pPr>
      <w:r>
        <w:rPr>
          <w:rFonts w:ascii="Arial" w:cs="Arial" w:eastAsia="Arial" w:hAnsi="Arial"/>
          <w:sz w:val="19"/>
          <w:szCs w:val="19"/>
          <w:color w:val="auto"/>
        </w:rPr>
        <w:t>arises solely in connection with or as a result of, any Lender or other Recipient hereunder having become a party to, received or perfected a security interest under, or received, exercised or enforced any rights hereunder or under any other Loan Document).</w:t>
      </w:r>
    </w:p>
    <w:p>
      <w:pPr>
        <w:spacing w:after="0" w:line="21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“Existing Credit Agreement” has the meaning assigned thereto in the Statement of Purpose hereto.</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“Existing Lenders” has the meaning assigned thereto in the Statement of Purpose hereto.</w:t>
      </w:r>
    </w:p>
    <w:p>
      <w:pPr>
        <w:spacing w:after="0" w:line="270" w:lineRule="exact"/>
        <w:rPr>
          <w:sz w:val="20"/>
          <w:szCs w:val="20"/>
          <w:color w:val="auto"/>
        </w:rPr>
      </w:pPr>
    </w:p>
    <w:p>
      <w:pPr>
        <w:ind w:left="698"/>
        <w:spacing w:after="0"/>
        <w:rPr>
          <w:sz w:val="20"/>
          <w:szCs w:val="20"/>
          <w:color w:val="auto"/>
        </w:rPr>
      </w:pPr>
      <w:r>
        <w:rPr>
          <w:rFonts w:ascii="Arial" w:cs="Arial" w:eastAsia="Arial" w:hAnsi="Arial"/>
          <w:sz w:val="19"/>
          <w:szCs w:val="19"/>
          <w:color w:val="auto"/>
        </w:rPr>
        <w:t>“Existing Letters of Credit” means those letters of credit existing on the Closing Date and identified on Schedule 1.1(b).</w:t>
      </w:r>
    </w:p>
    <w:p>
      <w:pPr>
        <w:spacing w:after="0" w:line="295" w:lineRule="exact"/>
        <w:rPr>
          <w:sz w:val="20"/>
          <w:szCs w:val="20"/>
          <w:color w:val="auto"/>
        </w:rPr>
      </w:pPr>
    </w:p>
    <w:p>
      <w:pPr>
        <w:ind w:left="58" w:right="160" w:firstLine="648"/>
        <w:spacing w:after="0" w:line="236" w:lineRule="auto"/>
        <w:rPr>
          <w:sz w:val="20"/>
          <w:szCs w:val="20"/>
          <w:color w:val="auto"/>
        </w:rPr>
      </w:pPr>
      <w:r>
        <w:rPr>
          <w:rFonts w:ascii="Arial" w:cs="Arial" w:eastAsia="Arial" w:hAnsi="Arial"/>
          <w:sz w:val="20"/>
          <w:szCs w:val="20"/>
          <w:color w:val="auto"/>
        </w:rPr>
        <w:t>“Extended Revolving Credit Commitment” means any Class of Revolving Credit Commitments the maturity of which shall have been extended pursuant to Section 5.19.</w:t>
      </w:r>
    </w:p>
    <w:p>
      <w:pPr>
        <w:spacing w:after="0" w:line="263" w:lineRule="exact"/>
        <w:rPr>
          <w:sz w:val="20"/>
          <w:szCs w:val="20"/>
          <w:color w:val="auto"/>
        </w:rPr>
      </w:pPr>
    </w:p>
    <w:p>
      <w:pPr>
        <w:ind w:left="58" w:right="740" w:firstLine="648"/>
        <w:spacing w:after="0" w:line="229" w:lineRule="auto"/>
        <w:rPr>
          <w:sz w:val="20"/>
          <w:szCs w:val="20"/>
          <w:color w:val="auto"/>
        </w:rPr>
      </w:pPr>
      <w:r>
        <w:rPr>
          <w:rFonts w:ascii="Arial" w:cs="Arial" w:eastAsia="Arial" w:hAnsi="Arial"/>
          <w:sz w:val="20"/>
          <w:szCs w:val="20"/>
          <w:color w:val="auto"/>
        </w:rPr>
        <w:t>“Extended Revolving Credit Loans” means any Revolving Credit Loans made pursuant to the Extended Revolving Credit Commitments.</w:t>
      </w:r>
    </w:p>
    <w:p>
      <w:pPr>
        <w:spacing w:after="0" w:line="209" w:lineRule="exact"/>
        <w:rPr>
          <w:sz w:val="20"/>
          <w:szCs w:val="20"/>
          <w:color w:val="auto"/>
        </w:rPr>
      </w:pPr>
    </w:p>
    <w:p>
      <w:pPr>
        <w:ind w:left="698"/>
        <w:spacing w:after="0"/>
        <w:rPr>
          <w:sz w:val="20"/>
          <w:szCs w:val="20"/>
          <w:color w:val="auto"/>
        </w:rPr>
      </w:pPr>
      <w:r>
        <w:rPr>
          <w:rFonts w:ascii="Arial" w:cs="Arial" w:eastAsia="Arial" w:hAnsi="Arial"/>
          <w:sz w:val="16"/>
          <w:szCs w:val="16"/>
          <w:color w:val="auto"/>
        </w:rPr>
        <w:t>“Extended Term Loans” means any Class of Term Loans the maturity of which shall have been extended pursuant to Section 5.19.</w:t>
      </w:r>
    </w:p>
    <w:p>
      <w:pPr>
        <w:spacing w:after="0" w:line="32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“Extension” has the meaning assigned thereto in Section 5.19(a).</w:t>
      </w:r>
    </w:p>
    <w:p>
      <w:pPr>
        <w:spacing w:after="0" w:line="283"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“Extension Amendment” means an amendment to this Agreement (which may, at the option of the Administrative Agent and the Borrowers, be in the form of an amendment and restatement of this Agreement) among the Credit Parties, the applicable extending</w:t>
      </w:r>
    </w:p>
    <w:p>
      <w:pPr>
        <w:ind w:left="58" w:right="20"/>
        <w:spacing w:after="0" w:line="220" w:lineRule="auto"/>
        <w:rPr>
          <w:sz w:val="20"/>
          <w:szCs w:val="20"/>
          <w:color w:val="auto"/>
        </w:rPr>
      </w:pPr>
      <w:r>
        <w:rPr>
          <w:rFonts w:ascii="Arial" w:cs="Arial" w:eastAsia="Arial" w:hAnsi="Arial"/>
          <w:sz w:val="20"/>
          <w:szCs w:val="20"/>
          <w:color w:val="auto"/>
        </w:rPr>
        <w:t>Lenders, the Administrative Agent and, to the extent required by Section 5.19, the Issuing Lenders and/or the Swingline Lender implementing an Extension in accordance with Section 5.19.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0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07" w:name="page108"/>
    <w:bookmarkEnd w:id="107"/>
    <w:p>
      <w:pPr>
        <w:spacing w:after="0" w:line="20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“Extension Offer” has the meaning assigned thereto in Section 5.19(a).</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“Extensions of Credit” means, as to any Lender at any time, (a) an amount equal to the sum of (i) the aggregate principal amount</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of all Revolving Credit Loans made by such Lender then outstanding, (ii) such Lender’s Revolving Credit Commitment Percentage of the L/C Obligations then outstanding, (iii) such Lender’s Revolving Credit Commitment Percentage of the Swingline Loans then outstanding</w:t>
      </w:r>
    </w:p>
    <w:p>
      <w:pPr>
        <w:spacing w:after="0" w:line="2"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auto"/>
        </w:rPr>
        <w:t>and (iv) the aggregate principal amount of the Term Loans made by such Lender then outstanding, or (b) the making of any Loan or participation in any Letter of Credit by such Lender,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0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08" w:name="page109"/>
    <w:bookmarkEnd w:id="108"/>
    <w:p>
      <w:pPr>
        <w:ind w:left="5618"/>
        <w:spacing w:after="0"/>
        <w:rPr>
          <w:sz w:val="20"/>
          <w:szCs w:val="20"/>
          <w:color w:val="auto"/>
        </w:rPr>
      </w:pPr>
      <w:r>
        <w:rPr>
          <w:rFonts w:ascii="Arial" w:cs="Arial" w:eastAsia="Arial" w:hAnsi="Arial"/>
          <w:sz w:val="18"/>
          <w:szCs w:val="18"/>
          <w:color w:val="auto"/>
        </w:rPr>
        <w:t>“FASB ASC” means the Accounting Standards Codification of the</w:t>
      </w:r>
    </w:p>
    <w:p>
      <w:pPr>
        <w:ind w:left="58"/>
        <w:spacing w:after="0" w:line="183" w:lineRule="auto"/>
        <w:tabs>
          <w:tab w:leader="none" w:pos="5598" w:val="left"/>
        </w:tabs>
        <w:rPr>
          <w:sz w:val="20"/>
          <w:szCs w:val="20"/>
          <w:color w:val="auto"/>
        </w:rPr>
      </w:pPr>
      <w:r>
        <w:rPr>
          <w:rFonts w:ascii="Arial" w:cs="Arial" w:eastAsia="Arial" w:hAnsi="Arial"/>
          <w:sz w:val="28"/>
          <w:szCs w:val="28"/>
          <w:color w:val="auto"/>
          <w:vertAlign w:val="subscript"/>
        </w:rPr>
        <w:t>Board.</w:t>
      </w:r>
      <w:r>
        <w:rPr>
          <w:sz w:val="20"/>
          <w:szCs w:val="20"/>
          <w:color w:val="auto"/>
        </w:rPr>
        <w:tab/>
      </w:r>
      <w:r>
        <w:rPr>
          <w:rFonts w:ascii="Arial" w:cs="Arial" w:eastAsia="Arial" w:hAnsi="Arial"/>
          <w:sz w:val="16"/>
          <w:szCs w:val="16"/>
          <w:color w:val="auto"/>
        </w:rPr>
        <w:t>Financial Accounting Standards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98"/>
        <w:spacing w:after="0"/>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w:t>
      </w:r>
    </w:p>
    <w:p>
      <w:pPr>
        <w:spacing w:after="0" w:line="12"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that is substantively comparable and not materially more onerous to comply with), any current or future regulations or official interpretations thereof, any agreements entered into pursuant to Section 1471(b)(1) of the Code, and any intergovernmental agreements</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and related legislation or official administrative rules or regulations with respect thereto.</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“FCA” has the meaning assigned thereto in Section 1.11.</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“FDIC” means the Federal Deposit Insurance Corporation.</w:t>
      </w:r>
    </w:p>
    <w:p>
      <w:pPr>
        <w:spacing w:after="0" w:line="283"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“Federal Funds Rate” means, for any day, the rate per annum equal to the weighted average of the rates on overnight federal funds transactions with members of the Federal Reserve System on such day (or, if such day is not a Business Day, for the immediately</w:t>
      </w:r>
    </w:p>
    <w:p>
      <w:pPr>
        <w:ind w:left="58" w:right="20"/>
        <w:spacing w:after="0" w:line="255" w:lineRule="auto"/>
        <w:rPr>
          <w:sz w:val="20"/>
          <w:szCs w:val="20"/>
          <w:color w:val="auto"/>
        </w:rPr>
      </w:pPr>
      <w:r>
        <w:rPr>
          <w:rFonts w:ascii="Arial" w:cs="Arial" w:eastAsia="Arial" w:hAnsi="Arial"/>
          <w:sz w:val="16"/>
          <w:szCs w:val="16"/>
          <w:color w:val="auto"/>
        </w:rPr>
        <w:t>preceding Business Day), as published by the Federal Reserve Bank of New York on the Business Day next succeeding such day, provided that if such rate is not so published for any day which is a Business Day, the Federal Funds Rate for such day shall be the average of the</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quotation for such day on such transactions received by the Administrative Agent from three federal funds brokers of recognized standing selected by the Administrative Agent.</w:t>
      </w:r>
    </w:p>
    <w:p>
      <w:pPr>
        <w:spacing w:after="0" w:line="210" w:lineRule="exact"/>
        <w:rPr>
          <w:sz w:val="20"/>
          <w:szCs w:val="20"/>
          <w:color w:val="auto"/>
        </w:rPr>
      </w:pPr>
    </w:p>
    <w:p>
      <w:pPr>
        <w:ind w:left="58" w:right="20" w:firstLine="648"/>
        <w:spacing w:after="0" w:line="229" w:lineRule="auto"/>
        <w:rPr>
          <w:sz w:val="20"/>
          <w:szCs w:val="20"/>
          <w:color w:val="auto"/>
        </w:rPr>
      </w:pPr>
      <w:r>
        <w:rPr>
          <w:rFonts w:ascii="Arial" w:cs="Arial" w:eastAsia="Arial" w:hAnsi="Arial"/>
          <w:sz w:val="20"/>
          <w:szCs w:val="20"/>
          <w:color w:val="auto"/>
        </w:rPr>
        <w:t>Notwithstanding the foregoing, if the Federal Funds Rate shall be less than zero, such rate shall be deemed to be zero for the purposes of this Agreement.</w:t>
      </w:r>
    </w:p>
    <w:p>
      <w:pPr>
        <w:spacing w:after="0" w:line="209"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“Fee Letters” means (a) that certain Wells Fargo Fee Letter dated as of July 13, 2021, amongst Centuri, Wells Fargo Securities, LLC and Wells Fargo, (b) that certain Joint Fee Letter dated as of July 13, 2021 amongst the Borrowers, the Arrangers, Wells Fargo, Bank</w:t>
      </w:r>
    </w:p>
    <w:p>
      <w:pPr>
        <w:ind w:left="58"/>
        <w:spacing w:after="0" w:line="235" w:lineRule="auto"/>
        <w:rPr>
          <w:sz w:val="20"/>
          <w:szCs w:val="20"/>
          <w:color w:val="auto"/>
        </w:rPr>
      </w:pPr>
      <w:r>
        <w:rPr>
          <w:rFonts w:ascii="Arial" w:cs="Arial" w:eastAsia="Arial" w:hAnsi="Arial"/>
          <w:sz w:val="18"/>
          <w:szCs w:val="18"/>
          <w:color w:val="auto"/>
        </w:rPr>
        <w:t>of America, N.A., Canadian Imperial Bank of Commerce, PNC Bank, National Association, Truist Bank, U.S. Bank National Association</w:t>
      </w:r>
    </w:p>
    <w:p>
      <w:pPr>
        <w:ind w:left="58" w:right="20"/>
        <w:spacing w:after="0" w:line="255" w:lineRule="auto"/>
        <w:rPr>
          <w:sz w:val="20"/>
          <w:szCs w:val="20"/>
          <w:color w:val="auto"/>
        </w:rPr>
      </w:pPr>
      <w:r>
        <w:rPr>
          <w:rFonts w:ascii="Arial" w:cs="Arial" w:eastAsia="Arial" w:hAnsi="Arial"/>
          <w:sz w:val="16"/>
          <w:szCs w:val="16"/>
          <w:color w:val="auto"/>
        </w:rPr>
        <w:t>and Bank of Montreal (c) any letter between one or more of the Borrowers and any Issuing Lender (other than Wells Fargo) relating to certain fees payable to such Issuing Lender in its capacity as such, in each case, as amended, restated, supplemented or otherwise modified</w:t>
      </w:r>
    </w:p>
    <w:p>
      <w:pPr>
        <w:spacing w:after="0" w:line="1" w:lineRule="exact"/>
        <w:rPr>
          <w:sz w:val="20"/>
          <w:szCs w:val="20"/>
          <w:color w:val="auto"/>
        </w:rPr>
      </w:pPr>
    </w:p>
    <w:p>
      <w:pPr>
        <w:ind w:left="58"/>
        <w:spacing w:after="0"/>
        <w:rPr>
          <w:sz w:val="20"/>
          <w:szCs w:val="20"/>
          <w:color w:val="auto"/>
        </w:rPr>
      </w:pPr>
      <w:r>
        <w:rPr>
          <w:rFonts w:ascii="Arial" w:cs="Arial" w:eastAsia="Arial" w:hAnsi="Arial"/>
          <w:sz w:val="20"/>
          <w:szCs w:val="20"/>
          <w:color w:val="auto"/>
        </w:rPr>
        <w:t>from time to time.</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0000FF"/>
        </w:rPr>
        <w:t>“First Amendment Effective Date” means November 4, 2022.</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“First Tier Foreign Subsidiary” means any CFC or CFC Holdco the Equity Interests of which are owned directly by any US Credit</w:t>
      </w:r>
    </w:p>
    <w:p>
      <w:pPr>
        <w:spacing w:after="0" w:line="12" w:lineRule="exact"/>
        <w:rPr>
          <w:sz w:val="20"/>
          <w:szCs w:val="20"/>
          <w:color w:val="auto"/>
        </w:rPr>
      </w:pPr>
    </w:p>
    <w:p>
      <w:pPr>
        <w:ind w:left="58"/>
        <w:spacing w:after="0"/>
        <w:rPr>
          <w:sz w:val="20"/>
          <w:szCs w:val="20"/>
          <w:color w:val="auto"/>
        </w:rPr>
      </w:pPr>
      <w:r>
        <w:rPr>
          <w:rFonts w:ascii="Arial" w:cs="Arial" w:eastAsia="Arial" w:hAnsi="Arial"/>
          <w:sz w:val="20"/>
          <w:szCs w:val="20"/>
          <w:color w:val="auto"/>
        </w:rPr>
        <w:t>Party.</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“Fiscal Year” means the fiscal year of the Consolidated Companies ending on December 31.</w:t>
      </w:r>
    </w:p>
    <w:p>
      <w:pPr>
        <w:spacing w:after="0" w:line="283" w:lineRule="exact"/>
        <w:rPr>
          <w:sz w:val="20"/>
          <w:szCs w:val="20"/>
          <w:color w:val="auto"/>
        </w:rPr>
      </w:pPr>
    </w:p>
    <w:p>
      <w:pPr>
        <w:ind w:left="58" w:right="880" w:firstLine="648"/>
        <w:spacing w:after="0" w:line="236" w:lineRule="auto"/>
        <w:rPr>
          <w:sz w:val="20"/>
          <w:szCs w:val="20"/>
          <w:color w:val="auto"/>
        </w:rPr>
      </w:pPr>
      <w:r>
        <w:rPr>
          <w:rFonts w:ascii="Arial" w:cs="Arial" w:eastAsia="Arial" w:hAnsi="Arial"/>
          <w:sz w:val="20"/>
          <w:szCs w:val="20"/>
          <w:color w:val="auto"/>
        </w:rPr>
        <w:t>“Floor” means, (i) with respect to the Initial Term Loan Facility, 0.50%, (ii) with respect to any Incremental Term Loan, Refinancing Term Loan or Extended Term Loan, the applicable floor determined</w:t>
      </w:r>
    </w:p>
    <w:p>
      <w:pPr>
        <w:spacing w:after="0" w:line="200" w:lineRule="exact"/>
        <w:rPr>
          <w:sz w:val="20"/>
          <w:szCs w:val="20"/>
          <w:color w:val="auto"/>
        </w:rPr>
      </w:pPr>
    </w:p>
    <w:p>
      <w:pPr>
        <w:spacing w:after="0" w:line="29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0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57" w:right="439" w:bottom="1440" w:gutter="0" w:footer="0" w:header="0"/>
        </w:sectPr>
      </w:pPr>
    </w:p>
    <w:bookmarkStart w:id="109" w:name="page110"/>
    <w:bookmarkEnd w:id="109"/>
    <w:p>
      <w:pPr>
        <w:ind w:left="60"/>
        <w:spacing w:after="0"/>
        <w:rPr>
          <w:sz w:val="20"/>
          <w:szCs w:val="20"/>
          <w:color w:val="auto"/>
        </w:rPr>
      </w:pPr>
      <w:r>
        <w:rPr>
          <w:rFonts w:ascii="Arial" w:cs="Arial" w:eastAsia="Arial" w:hAnsi="Arial"/>
          <w:sz w:val="20"/>
          <w:szCs w:val="20"/>
          <w:color w:val="auto"/>
        </w:rPr>
        <w:t>pursuant to Section 5.13, 5.18 or 5.19, as applicable, and (iii) for any purpose other than as specified in clause (i), 0%.</w:t>
      </w:r>
    </w:p>
    <w:p>
      <w:pPr>
        <w:spacing w:after="0" w:line="216" w:lineRule="exact"/>
        <w:rPr>
          <w:sz w:val="20"/>
          <w:szCs w:val="20"/>
          <w:color w:val="auto"/>
        </w:rPr>
      </w:pPr>
    </w:p>
    <w:p>
      <w:pPr>
        <w:jc w:val="both"/>
        <w:ind w:left="60" w:firstLine="648"/>
        <w:spacing w:after="0" w:line="227" w:lineRule="auto"/>
        <w:rPr>
          <w:sz w:val="20"/>
          <w:szCs w:val="20"/>
          <w:color w:val="auto"/>
        </w:rPr>
      </w:pPr>
      <w:r>
        <w:rPr>
          <w:rFonts w:ascii="Arial" w:cs="Arial" w:eastAsia="Arial" w:hAnsi="Arial"/>
          <w:sz w:val="20"/>
          <w:szCs w:val="20"/>
          <w:color w:val="auto"/>
        </w:rPr>
        <w:t>“Foreign Lender” means (a) with respect to the US Borrowers, a Lender that is not a U.S. Person, and (b) with respect to the Canadian Borrowers, a Lender that is resident or organized under the laws of a jurisdiction other than that in which the Canadian Borrowers are resident for tax purposes.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“Foreign Subsidiary” means any Subsidiary that is not a US Subsidiary.</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“FRB” means the Board of Governors of the Federal Reserve System of the United States.</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“Fronting Exposure” means, at any time there is a Defaulting Lender, (a) with respect to any Issuing Lender, such Defaulting</w:t>
      </w:r>
    </w:p>
    <w:p>
      <w:pPr>
        <w:spacing w:after="0" w:line="12" w:lineRule="exact"/>
        <w:rPr>
          <w:sz w:val="20"/>
          <w:szCs w:val="20"/>
          <w:color w:val="auto"/>
        </w:rPr>
      </w:pPr>
    </w:p>
    <w:p>
      <w:pPr>
        <w:jc w:val="both"/>
        <w:ind w:left="60" w:right="20"/>
        <w:spacing w:after="0" w:line="226" w:lineRule="auto"/>
        <w:rPr>
          <w:sz w:val="20"/>
          <w:szCs w:val="20"/>
          <w:color w:val="auto"/>
        </w:rPr>
      </w:pPr>
      <w:r>
        <w:rPr>
          <w:rFonts w:ascii="Arial" w:cs="Arial" w:eastAsia="Arial" w:hAnsi="Arial"/>
          <w:sz w:val="18"/>
          <w:szCs w:val="18"/>
          <w:color w:val="auto"/>
        </w:rPr>
        <w:t>Lender’s Revolving Credit Commitment Percentage of the outstanding L/C Obligations with respect to Letters of Credit issued by such Issuing Lender, other than such L/C Obligations as to which such Defaulting Lender’s participation obligation has been reallocated to</w:t>
      </w:r>
    </w:p>
    <w:p>
      <w:pPr>
        <w:spacing w:after="0" w:line="2" w:lineRule="exact"/>
        <w:rPr>
          <w:sz w:val="20"/>
          <w:szCs w:val="20"/>
          <w:color w:val="auto"/>
        </w:rPr>
      </w:pPr>
    </w:p>
    <w:p>
      <w:pPr>
        <w:jc w:val="both"/>
        <w:ind w:left="60" w:right="20"/>
        <w:spacing w:after="0" w:line="226" w:lineRule="auto"/>
        <w:rPr>
          <w:sz w:val="20"/>
          <w:szCs w:val="20"/>
          <w:color w:val="auto"/>
        </w:rPr>
      </w:pPr>
      <w:r>
        <w:rPr>
          <w:rFonts w:ascii="Arial" w:cs="Arial" w:eastAsia="Arial" w:hAnsi="Arial"/>
          <w:sz w:val="18"/>
          <w:szCs w:val="18"/>
          <w:color w:val="auto"/>
        </w:rPr>
        <w:t>other Lenders or Cash Collateralized in accordance with the terms hereof and (b) with respect to any Swingline Lender, such Defaulting Lender’s Revolving Credit Commitment Percentage of outstanding Swingline Loans other than Swingline Loans as to which such</w:t>
      </w:r>
    </w:p>
    <w:p>
      <w:pPr>
        <w:spacing w:after="0" w:line="2" w:lineRule="exact"/>
        <w:rPr>
          <w:sz w:val="20"/>
          <w:szCs w:val="20"/>
          <w:color w:val="auto"/>
        </w:rPr>
      </w:pPr>
    </w:p>
    <w:p>
      <w:pPr>
        <w:jc w:val="both"/>
        <w:ind w:left="60"/>
        <w:spacing w:after="0" w:line="227" w:lineRule="auto"/>
        <w:rPr>
          <w:sz w:val="20"/>
          <w:szCs w:val="20"/>
          <w:color w:val="auto"/>
        </w:rPr>
      </w:pPr>
      <w:r>
        <w:rPr>
          <w:rFonts w:ascii="Arial" w:cs="Arial" w:eastAsia="Arial" w:hAnsi="Arial"/>
          <w:sz w:val="20"/>
          <w:szCs w:val="20"/>
          <w:color w:val="auto"/>
        </w:rPr>
        <w:t>Defaulting Lender’s participation obligation has been reallocated to other Lenders or Cash Collateralized in accordance with the terms hereof.</w:t>
      </w:r>
    </w:p>
    <w:p>
      <w:pPr>
        <w:spacing w:after="0" w:line="197" w:lineRule="exact"/>
        <w:rPr>
          <w:sz w:val="20"/>
          <w:szCs w:val="20"/>
          <w:color w:val="auto"/>
        </w:rPr>
      </w:pPr>
    </w:p>
    <w:p>
      <w:pPr>
        <w:jc w:val="both"/>
        <w:ind w:left="60" w:right="20" w:firstLine="648"/>
        <w:spacing w:after="0" w:line="236" w:lineRule="auto"/>
        <w:rPr>
          <w:sz w:val="20"/>
          <w:szCs w:val="20"/>
          <w:color w:val="auto"/>
        </w:rPr>
      </w:pPr>
      <w:r>
        <w:rPr>
          <w:rFonts w:ascii="Arial" w:cs="Arial" w:eastAsia="Arial" w:hAnsi="Arial"/>
          <w:sz w:val="20"/>
          <w:szCs w:val="20"/>
          <w:color w:val="auto"/>
        </w:rPr>
        <w:t>“Fund” means any Person (other than a natural Person) that is (or will be) engaged in making, purchasing, holding or otherwise investing in commercial loans, bonds and similar extensions of credit in the ordinary course of its activities.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w:t>
      </w:r>
    </w:p>
    <w:p>
      <w:pPr>
        <w:spacing w:after="0" w:line="12" w:lineRule="exact"/>
        <w:rPr>
          <w:sz w:val="20"/>
          <w:szCs w:val="20"/>
          <w:color w:val="auto"/>
        </w:rPr>
      </w:pPr>
    </w:p>
    <w:p>
      <w:pPr>
        <w:ind w:left="200" w:firstLine="456"/>
        <w:spacing w:after="0" w:line="255" w:lineRule="auto"/>
        <w:rPr>
          <w:sz w:val="20"/>
          <w:szCs w:val="20"/>
          <w:color w:val="auto"/>
        </w:rPr>
      </w:pPr>
      <w:r>
        <w:rPr>
          <w:rFonts w:ascii="Arial" w:cs="Arial" w:eastAsia="Arial" w:hAnsi="Arial"/>
          <w:sz w:val="16"/>
          <w:szCs w:val="16"/>
          <w:color w:val="auto"/>
        </w:rPr>
        <w:t>Accounting Principles Board and the American Institute of Certified Public Accountants and statements and pronouncements of the Financial Accounting Standards Board or such other principles as may be approved by a significant segment of the accounting profession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 the United States, that are applicable to the circumstances as of the date of determination, consistently applied.</w:t>
      </w:r>
    </w:p>
    <w:p>
      <w:pPr>
        <w:spacing w:after="0" w:line="200" w:lineRule="exact"/>
        <w:rPr>
          <w:sz w:val="20"/>
          <w:szCs w:val="20"/>
          <w:color w:val="auto"/>
        </w:rPr>
      </w:pPr>
    </w:p>
    <w:p>
      <w:pPr>
        <w:ind w:left="60" w:right="20" w:firstLine="648"/>
        <w:spacing w:after="0" w:line="236" w:lineRule="auto"/>
        <w:rPr>
          <w:sz w:val="20"/>
          <w:szCs w:val="20"/>
          <w:color w:val="auto"/>
        </w:rPr>
      </w:pPr>
      <w:r>
        <w:rPr>
          <w:rFonts w:ascii="Arial" w:cs="Arial" w:eastAsia="Arial" w:hAnsi="Arial"/>
          <w:sz w:val="20"/>
          <w:szCs w:val="20"/>
          <w:color w:val="auto"/>
        </w:rPr>
        <w:t>“Governmental Approvals” means all authorizations, consents, approvals, permits, licenses and exemptions of, and all registrations and filings with or issued by, any Governmental Authorities.</w:t>
      </w:r>
    </w:p>
    <w:p>
      <w:pPr>
        <w:spacing w:after="0" w:line="196" w:lineRule="exact"/>
        <w:rPr>
          <w:sz w:val="20"/>
          <w:szCs w:val="20"/>
          <w:color w:val="auto"/>
        </w:rPr>
      </w:pPr>
    </w:p>
    <w:p>
      <w:pPr>
        <w:ind w:left="60" w:right="20" w:firstLine="648"/>
        <w:spacing w:after="0" w:line="244" w:lineRule="auto"/>
        <w:rPr>
          <w:sz w:val="20"/>
          <w:szCs w:val="20"/>
          <w:color w:val="auto"/>
        </w:rPr>
      </w:pPr>
      <w:r>
        <w:rPr>
          <w:rFonts w:ascii="Arial" w:cs="Arial" w:eastAsia="Arial" w:hAnsi="Arial"/>
          <w:sz w:val="18"/>
          <w:szCs w:val="18"/>
          <w:color w:val="auto"/>
        </w:rPr>
        <w:t>“Governmental Authority” means the government of the United States or Canada or any other nation, or of any political subdivision thereof, whether state, provincial or local, and any agency, authority, instrumentality, regulatory body, court, central bank or</w:t>
      </w:r>
    </w:p>
    <w:p>
      <w:pPr>
        <w:ind w:left="60" w:right="20"/>
        <w:spacing w:after="0" w:line="220" w:lineRule="auto"/>
        <w:rPr>
          <w:sz w:val="20"/>
          <w:szCs w:val="20"/>
          <w:color w:val="auto"/>
        </w:rPr>
      </w:pPr>
      <w:r>
        <w:rPr>
          <w:rFonts w:ascii="Arial" w:cs="Arial" w:eastAsia="Arial" w:hAnsi="Arial"/>
          <w:sz w:val="20"/>
          <w:szCs w:val="20"/>
          <w:color w:val="auto"/>
        </w:rPr>
        <w:t>other entity exercising executive, legislative, judicial, taxing, regulatory or administrative powers or functions of or pertaining to government (including any supra-national bodies such as the European Union or the European Central Bank).</w:t>
      </w:r>
    </w:p>
    <w:p>
      <w:pPr>
        <w:spacing w:after="0" w:line="197" w:lineRule="exact"/>
        <w:rPr>
          <w:sz w:val="20"/>
          <w:szCs w:val="20"/>
          <w:color w:val="auto"/>
        </w:rPr>
      </w:pPr>
    </w:p>
    <w:p>
      <w:pPr>
        <w:ind w:left="60" w:firstLine="648"/>
        <w:spacing w:after="0" w:line="244" w:lineRule="auto"/>
        <w:rPr>
          <w:sz w:val="20"/>
          <w:szCs w:val="20"/>
          <w:color w:val="auto"/>
        </w:rPr>
      </w:pPr>
      <w:r>
        <w:rPr>
          <w:rFonts w:ascii="Arial" w:cs="Arial" w:eastAsia="Arial" w:hAnsi="Arial"/>
          <w:sz w:val="18"/>
          <w:szCs w:val="18"/>
          <w:color w:val="auto"/>
        </w:rPr>
        <w:t>“Guarantee” of or by any Person (the “guarantor”) means any obligation, contingent or otherwise, of the guarantor guaranteeing or having the economic effect of guaranteeing any Indebtedness or other obligation of any other Person (the “primary obligor”) in any</w:t>
      </w:r>
    </w:p>
    <w:p>
      <w:pPr>
        <w:ind w:left="60" w:right="20"/>
        <w:spacing w:after="0" w:line="255" w:lineRule="auto"/>
        <w:rPr>
          <w:sz w:val="20"/>
          <w:szCs w:val="20"/>
          <w:color w:val="auto"/>
        </w:rPr>
      </w:pPr>
      <w:r>
        <w:rPr>
          <w:rFonts w:ascii="Arial" w:cs="Arial" w:eastAsia="Arial" w:hAnsi="Arial"/>
          <w:sz w:val="16"/>
          <w:szCs w:val="16"/>
          <w:color w:val="auto"/>
        </w:rPr>
        <w:t>manner, whether directly or indirectly, and including any obligation of the guarantor, direct or indirect, (a) to purchase or pay (or advance or supply funds for the purchase or payment of) such Indebtedness or other obligation or to purchase (or to advance or supply funds for the</w:t>
      </w:r>
    </w:p>
    <w:p>
      <w:pPr>
        <w:ind w:left="60"/>
        <w:spacing w:after="0" w:line="235" w:lineRule="auto"/>
        <w:rPr>
          <w:sz w:val="20"/>
          <w:szCs w:val="20"/>
          <w:color w:val="auto"/>
        </w:rPr>
      </w:pPr>
      <w:r>
        <w:rPr>
          <w:rFonts w:ascii="Arial" w:cs="Arial" w:eastAsia="Arial" w:hAnsi="Arial"/>
          <w:sz w:val="18"/>
          <w:szCs w:val="18"/>
          <w:color w:val="auto"/>
        </w:rPr>
        <w:t>purchase of) any security for the payment thereof, (b) to purchase or lease property, securities or services for the purpose of assuring the</w:t>
      </w:r>
    </w:p>
    <w:p>
      <w:pPr>
        <w:ind w:left="60"/>
        <w:spacing w:after="0" w:line="226" w:lineRule="auto"/>
        <w:rPr>
          <w:sz w:val="20"/>
          <w:szCs w:val="20"/>
          <w:color w:val="auto"/>
        </w:rPr>
      </w:pPr>
      <w:r>
        <w:rPr>
          <w:rFonts w:ascii="Arial" w:cs="Arial" w:eastAsia="Arial" w:hAnsi="Arial"/>
          <w:sz w:val="18"/>
          <w:szCs w:val="18"/>
          <w:color w:val="auto"/>
        </w:rPr>
        <w:t>owner of such Indebtedness or other obligation of the payment thereof, (c) to maintain working capital, equity capital or any other financial statement condition or liquidity of the primary obligor so as to enable the primary obligor to pay such Indebtedness or other</w:t>
      </w:r>
    </w:p>
    <w:p>
      <w:pPr>
        <w:spacing w:after="0" w:line="2" w:lineRule="exact"/>
        <w:rPr>
          <w:sz w:val="20"/>
          <w:szCs w:val="20"/>
          <w:color w:val="auto"/>
        </w:rPr>
      </w:pPr>
    </w:p>
    <w:p>
      <w:pPr>
        <w:ind w:left="60"/>
        <w:spacing w:after="0" w:line="227" w:lineRule="auto"/>
        <w:rPr>
          <w:sz w:val="20"/>
          <w:szCs w:val="20"/>
          <w:color w:val="auto"/>
        </w:rPr>
      </w:pPr>
      <w:r>
        <w:rPr>
          <w:rFonts w:ascii="Arial" w:cs="Arial" w:eastAsia="Arial" w:hAnsi="Arial"/>
          <w:sz w:val="20"/>
          <w:szCs w:val="20"/>
          <w:color w:val="auto"/>
        </w:rPr>
        <w:t>obligation, (d) as an account party in respect of any letter of credit or letter of guaranty issued to support such Indebtedness or obligation or (e) for the purpose of assuming in any other manner the obligee in respect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4"/>
          <w:szCs w:val="14"/>
          <w:color w:val="FF0000"/>
          <w:strike w:val="1"/>
        </w:rPr>
        <w:t>146960219_6</w:t>
      </w:r>
    </w:p>
    <w:p>
      <w:pPr>
        <w:ind w:left="340" w:hanging="338"/>
        <w:spacing w:after="0" w:line="227" w:lineRule="auto"/>
        <w:tabs>
          <w:tab w:leader="none" w:pos="340" w:val="left"/>
        </w:tabs>
        <w:numPr>
          <w:ilvl w:val="0"/>
          <w:numId w:val="10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80"/>
          </w:cols>
          <w:pgMar w:left="380" w:top="1405" w:right="439" w:bottom="1440" w:gutter="0" w:footer="0" w:header="0"/>
        </w:sectPr>
      </w:pPr>
    </w:p>
    <w:bookmarkStart w:id="110" w:name="page111"/>
    <w:bookmarkEnd w:id="110"/>
    <w:p>
      <w:pPr>
        <w:ind w:left="38" w:right="300"/>
        <w:spacing w:after="0" w:line="236" w:lineRule="auto"/>
        <w:rPr>
          <w:sz w:val="20"/>
          <w:szCs w:val="20"/>
          <w:color w:val="auto"/>
        </w:rPr>
      </w:pPr>
      <w:r>
        <w:rPr>
          <w:rFonts w:ascii="Arial" w:cs="Arial" w:eastAsia="Arial" w:hAnsi="Arial"/>
          <w:sz w:val="20"/>
          <w:szCs w:val="20"/>
          <w:color w:val="auto"/>
        </w:rPr>
        <w:t>of such Indebtedness or other obligation of the payment or performance thereof or to protect such obligee against loss in respect thereof (whether in whole or in part).</w:t>
      </w:r>
    </w:p>
    <w:p>
      <w:pPr>
        <w:spacing w:after="0" w:line="196" w:lineRule="exact"/>
        <w:rPr>
          <w:sz w:val="20"/>
          <w:szCs w:val="20"/>
          <w:color w:val="auto"/>
        </w:rPr>
      </w:pPr>
    </w:p>
    <w:p>
      <w:pPr>
        <w:ind w:left="38" w:firstLine="648"/>
        <w:spacing w:after="0" w:line="236" w:lineRule="auto"/>
        <w:rPr>
          <w:sz w:val="20"/>
          <w:szCs w:val="20"/>
          <w:color w:val="auto"/>
        </w:rPr>
      </w:pPr>
      <w:r>
        <w:rPr>
          <w:rFonts w:ascii="Arial" w:cs="Arial" w:eastAsia="Arial" w:hAnsi="Arial"/>
          <w:sz w:val="20"/>
          <w:szCs w:val="20"/>
          <w:color w:val="auto"/>
        </w:rPr>
        <w:t>“Guaranty Agreements” means, collectively, the US Credit Party Guaranty Agreement and the Canadian Credit Party Guarantee Agreement.</w:t>
      </w:r>
    </w:p>
    <w:p>
      <w:pPr>
        <w:spacing w:after="0" w:line="196" w:lineRule="exact"/>
        <w:rPr>
          <w:sz w:val="20"/>
          <w:szCs w:val="20"/>
          <w:color w:val="auto"/>
        </w:rPr>
      </w:pPr>
    </w:p>
    <w:p>
      <w:pPr>
        <w:ind w:left="1318"/>
        <w:spacing w:after="0"/>
        <w:rPr>
          <w:sz w:val="20"/>
          <w:szCs w:val="20"/>
          <w:color w:val="auto"/>
        </w:rPr>
      </w:pPr>
      <w:r>
        <w:rPr>
          <w:rFonts w:ascii="Arial" w:cs="Arial" w:eastAsia="Arial" w:hAnsi="Arial"/>
          <w:sz w:val="16"/>
          <w:szCs w:val="16"/>
          <w:color w:val="auto"/>
        </w:rPr>
        <w:t>“Hazardous Materials” means any substances or materials (a) which are or become defined as hazardous wastes, hazardous</w:t>
      </w:r>
    </w:p>
    <w:p>
      <w:pPr>
        <w:spacing w:after="0" w:line="35" w:lineRule="exact"/>
        <w:rPr>
          <w:sz w:val="20"/>
          <w:szCs w:val="20"/>
          <w:color w:val="auto"/>
        </w:rPr>
      </w:pPr>
    </w:p>
    <w:p>
      <w:pPr>
        <w:jc w:val="right"/>
        <w:ind w:left="378"/>
        <w:spacing w:after="0" w:line="226" w:lineRule="auto"/>
        <w:rPr>
          <w:sz w:val="20"/>
          <w:szCs w:val="20"/>
          <w:color w:val="auto"/>
        </w:rPr>
      </w:pPr>
      <w:r>
        <w:rPr>
          <w:rFonts w:ascii="Arial" w:cs="Arial" w:eastAsia="Arial" w:hAnsi="Arial"/>
          <w:sz w:val="18"/>
          <w:szCs w:val="18"/>
          <w:color w:val="auto"/>
        </w:rPr>
        <w:t>substances, pollutants, contaminants, chemical substances or mixtures or toxic substances under any Environmental Law, (b) which are toxic, explosive, corrosive, flammable, infectious, radioactive, carcinogenic, mutagenic or otherwise harmful to human health or the</w:t>
      </w:r>
    </w:p>
    <w:p>
      <w:pPr>
        <w:ind w:left="218"/>
        <w:spacing w:after="0" w:line="236" w:lineRule="auto"/>
        <w:rPr>
          <w:sz w:val="20"/>
          <w:szCs w:val="20"/>
          <w:color w:val="auto"/>
        </w:rPr>
      </w:pPr>
      <w:r>
        <w:rPr>
          <w:rFonts w:ascii="Arial" w:cs="Arial" w:eastAsia="Arial" w:hAnsi="Arial"/>
          <w:sz w:val="18"/>
          <w:szCs w:val="18"/>
          <w:color w:val="auto"/>
        </w:rPr>
        <w:t>environment and are or become regulated by any Governmental Authority, (c) the presence of which require investigation or remediation</w:t>
      </w:r>
    </w:p>
    <w:p>
      <w:pPr>
        <w:spacing w:after="0" w:line="1" w:lineRule="exact"/>
        <w:rPr>
          <w:sz w:val="20"/>
          <w:szCs w:val="20"/>
          <w:color w:val="auto"/>
        </w:rPr>
      </w:pPr>
    </w:p>
    <w:p>
      <w:pPr>
        <w:ind w:left="398" w:hanging="10"/>
        <w:spacing w:after="0" w:line="255" w:lineRule="auto"/>
        <w:rPr>
          <w:sz w:val="20"/>
          <w:szCs w:val="20"/>
          <w:color w:val="auto"/>
        </w:rPr>
      </w:pPr>
      <w:r>
        <w:rPr>
          <w:rFonts w:ascii="Arial" w:cs="Arial" w:eastAsia="Arial" w:hAnsi="Arial"/>
          <w:sz w:val="16"/>
          <w:szCs w:val="16"/>
          <w:color w:val="auto"/>
        </w:rPr>
        <w:t>under any Environmental Law or common law, (d) the discharge or emission or release of which requires a permit or license under any Environmental Law or other Governmental Approval, (e) which are deemed by a Governmental Authority to constitute a nuisance or a</w:t>
      </w:r>
    </w:p>
    <w:p>
      <w:pPr>
        <w:spacing w:after="0" w:line="1" w:lineRule="exact"/>
        <w:rPr>
          <w:sz w:val="20"/>
          <w:szCs w:val="20"/>
          <w:color w:val="auto"/>
        </w:rPr>
      </w:pPr>
    </w:p>
    <w:p>
      <w:pPr>
        <w:ind w:left="598"/>
        <w:spacing w:after="0"/>
        <w:rPr>
          <w:sz w:val="20"/>
          <w:szCs w:val="20"/>
          <w:color w:val="auto"/>
        </w:rPr>
      </w:pPr>
      <w:r>
        <w:rPr>
          <w:rFonts w:ascii="Arial" w:cs="Arial" w:eastAsia="Arial" w:hAnsi="Arial"/>
          <w:sz w:val="16"/>
          <w:szCs w:val="16"/>
          <w:color w:val="auto"/>
        </w:rPr>
        <w:t>trespass which pose a health or safety hazard to Persons or neighboring properties, (f) which consist of underground or aboveground</w:t>
      </w:r>
    </w:p>
    <w:p>
      <w:pPr>
        <w:spacing w:after="0" w:line="19" w:lineRule="exact"/>
        <w:rPr>
          <w:sz w:val="20"/>
          <w:szCs w:val="20"/>
          <w:color w:val="auto"/>
        </w:rPr>
      </w:pPr>
    </w:p>
    <w:p>
      <w:pPr>
        <w:jc w:val="both"/>
        <w:ind w:left="118" w:firstLine="1204"/>
        <w:spacing w:after="0" w:line="255" w:lineRule="auto"/>
        <w:rPr>
          <w:sz w:val="20"/>
          <w:szCs w:val="20"/>
          <w:color w:val="auto"/>
        </w:rPr>
      </w:pPr>
      <w:r>
        <w:rPr>
          <w:rFonts w:ascii="Arial" w:cs="Arial" w:eastAsia="Arial" w:hAnsi="Arial"/>
          <w:sz w:val="16"/>
          <w:szCs w:val="16"/>
          <w:color w:val="auto"/>
        </w:rPr>
        <w:t>storage tanks, whether empty, filled or partially filled with any substance or (g) which contain, without limitation, asbestos, polychlorinated biphenyls, urea formaldehyde foam insulation, petroleum hydrocarbons, petroleum derived substances or waste, crude oil,</w:t>
      </w:r>
    </w:p>
    <w:p>
      <w:pPr>
        <w:spacing w:after="0" w:line="1" w:lineRule="exact"/>
        <w:rPr>
          <w:sz w:val="20"/>
          <w:szCs w:val="20"/>
          <w:color w:val="auto"/>
        </w:rPr>
      </w:pPr>
    </w:p>
    <w:p>
      <w:pPr>
        <w:ind w:left="7838"/>
        <w:spacing w:after="0"/>
        <w:rPr>
          <w:sz w:val="20"/>
          <w:szCs w:val="20"/>
          <w:color w:val="auto"/>
        </w:rPr>
      </w:pPr>
      <w:r>
        <w:rPr>
          <w:rFonts w:ascii="Arial" w:cs="Arial" w:eastAsia="Arial" w:hAnsi="Arial"/>
          <w:sz w:val="16"/>
          <w:szCs w:val="16"/>
          <w:color w:val="auto"/>
        </w:rPr>
        <w:t>nuclear fuel, natural gas or synthetic gas.</w:t>
      </w:r>
    </w:p>
    <w:p>
      <w:pPr>
        <w:spacing w:after="0" w:line="246" w:lineRule="exact"/>
        <w:rPr>
          <w:sz w:val="20"/>
          <w:szCs w:val="20"/>
          <w:color w:val="auto"/>
        </w:rPr>
      </w:pPr>
    </w:p>
    <w:p>
      <w:pPr>
        <w:ind w:left="38" w:firstLine="648"/>
        <w:spacing w:after="0" w:line="244" w:lineRule="auto"/>
        <w:rPr>
          <w:sz w:val="20"/>
          <w:szCs w:val="20"/>
          <w:color w:val="auto"/>
        </w:rPr>
      </w:pPr>
      <w:r>
        <w:rPr>
          <w:rFonts w:ascii="Arial" w:cs="Arial" w:eastAsia="Arial" w:hAnsi="Arial"/>
          <w:sz w:val="18"/>
          <w:szCs w:val="18"/>
          <w:color w:val="auto"/>
        </w:rPr>
        <w:t>“Hedge Agreement” means (a) any and all rate swap transactions, basis swaps, credit derivative transactions, forward rate transactions, commodity swaps, commodity options, forward commodity contracts, equity or equity index swaps or options, bond or bond</w:t>
      </w:r>
    </w:p>
    <w:p>
      <w:pPr>
        <w:ind w:left="38"/>
        <w:spacing w:after="0" w:line="255" w:lineRule="auto"/>
        <w:rPr>
          <w:sz w:val="20"/>
          <w:szCs w:val="20"/>
          <w:color w:val="auto"/>
        </w:rPr>
      </w:pPr>
      <w:r>
        <w:rPr>
          <w:rFonts w:ascii="Arial" w:cs="Arial" w:eastAsia="Arial" w:hAnsi="Arial"/>
          <w:sz w:val="16"/>
          <w:szCs w:val="16"/>
          <w:color w:val="auto"/>
        </w:rPr>
        <w:t>price or bond index swaps or options or forward bond or forward bond price or forward bond index transactions, interest rate options, forward foreign exchange transactions, cap transactions, floor transactions, collar transactions, currency swap transactions, cross-currency</w:t>
      </w:r>
    </w:p>
    <w:p>
      <w:pPr>
        <w:ind w:left="38"/>
        <w:spacing w:after="0" w:line="235" w:lineRule="auto"/>
        <w:rPr>
          <w:sz w:val="20"/>
          <w:szCs w:val="20"/>
          <w:color w:val="auto"/>
        </w:rPr>
      </w:pPr>
      <w:r>
        <w:rPr>
          <w:rFonts w:ascii="Arial" w:cs="Arial" w:eastAsia="Arial" w:hAnsi="Arial"/>
          <w:sz w:val="18"/>
          <w:szCs w:val="18"/>
          <w:color w:val="auto"/>
        </w:rPr>
        <w:t>rate swap transactions, currency options, spot contracts, or any other similar transactions or any combination of any of the foregoing</w:t>
      </w:r>
    </w:p>
    <w:p>
      <w:pPr>
        <w:ind w:left="38"/>
        <w:spacing w:after="0" w:line="226" w:lineRule="auto"/>
        <w:rPr>
          <w:sz w:val="20"/>
          <w:szCs w:val="20"/>
          <w:color w:val="auto"/>
        </w:rPr>
      </w:pPr>
      <w:r>
        <w:rPr>
          <w:rFonts w:ascii="Arial" w:cs="Arial" w:eastAsia="Arial" w:hAnsi="Arial"/>
          <w:sz w:val="18"/>
          <w:szCs w:val="18"/>
          <w:color w:val="auto"/>
        </w:rPr>
        <w:t>(including any options to enter into any of the foregoing), whether or not any such transaction is governed by or subject to any master agreement, and (b) any and all transactions of any kind, and the related confirmations, which are subject to the terms and conditions of, or</w:t>
      </w:r>
    </w:p>
    <w:p>
      <w:pPr>
        <w:spacing w:after="0" w:line="2" w:lineRule="exact"/>
        <w:rPr>
          <w:sz w:val="20"/>
          <w:szCs w:val="20"/>
          <w:color w:val="auto"/>
        </w:rPr>
      </w:pPr>
    </w:p>
    <w:p>
      <w:pPr>
        <w:ind w:left="38"/>
        <w:spacing w:after="0" w:line="227" w:lineRule="auto"/>
        <w:rPr>
          <w:sz w:val="20"/>
          <w:szCs w:val="20"/>
          <w:color w:val="auto"/>
        </w:rPr>
      </w:pPr>
      <w:r>
        <w:rPr>
          <w:rFonts w:ascii="Arial" w:cs="Arial" w:eastAsia="Arial" w:hAnsi="Arial"/>
          <w:sz w:val="20"/>
          <w:szCs w:val="20"/>
          <w:color w:val="auto"/>
        </w:rPr>
        <w:t>governed by, any form of master agreement published by the International Swaps and Derivatives Association, Inc., any International Foreign Exchange Master Agreement, or any other master agreement.</w:t>
      </w:r>
    </w:p>
    <w:p>
      <w:pPr>
        <w:spacing w:after="0" w:line="197" w:lineRule="exact"/>
        <w:rPr>
          <w:sz w:val="20"/>
          <w:szCs w:val="20"/>
          <w:color w:val="auto"/>
        </w:rPr>
      </w:pPr>
    </w:p>
    <w:p>
      <w:pPr>
        <w:ind w:left="678"/>
        <w:spacing w:after="0"/>
        <w:rPr>
          <w:sz w:val="20"/>
          <w:szCs w:val="20"/>
          <w:color w:val="auto"/>
        </w:rPr>
      </w:pPr>
      <w:r>
        <w:rPr>
          <w:rFonts w:ascii="Arial" w:cs="Arial" w:eastAsia="Arial" w:hAnsi="Arial"/>
          <w:sz w:val="20"/>
          <w:szCs w:val="20"/>
          <w:color w:val="auto"/>
        </w:rPr>
        <w:t>“Hedge Bank” means any US Hedge Bank or Canadian Hedge Bank.</w:t>
      </w:r>
    </w:p>
    <w:p>
      <w:pPr>
        <w:spacing w:after="0" w:line="283" w:lineRule="exact"/>
        <w:rPr>
          <w:sz w:val="20"/>
          <w:szCs w:val="20"/>
          <w:color w:val="auto"/>
        </w:rPr>
      </w:pPr>
    </w:p>
    <w:p>
      <w:pPr>
        <w:ind w:left="38" w:right="20" w:firstLine="648"/>
        <w:spacing w:after="0" w:line="236" w:lineRule="auto"/>
        <w:rPr>
          <w:sz w:val="20"/>
          <w:szCs w:val="20"/>
          <w:color w:val="auto"/>
        </w:rPr>
      </w:pPr>
      <w:r>
        <w:rPr>
          <w:rFonts w:ascii="Arial" w:cs="Arial" w:eastAsia="Arial" w:hAnsi="Arial"/>
          <w:sz w:val="18"/>
          <w:szCs w:val="18"/>
          <w:color w:val="auto"/>
        </w:rPr>
        <w:t>“Hedge Termination Value” means, in respect of any one or more Hedge Agreements, after taking into account the effect of any legally enforceable netting agreement relating to such Hedge Agreements, (a) for any date on or after the date such Hedge Agreements</w:t>
      </w:r>
    </w:p>
    <w:p>
      <w:pPr>
        <w:ind w:left="38"/>
        <w:spacing w:after="0" w:line="235" w:lineRule="auto"/>
        <w:rPr>
          <w:sz w:val="20"/>
          <w:szCs w:val="20"/>
          <w:color w:val="auto"/>
        </w:rPr>
      </w:pPr>
      <w:r>
        <w:rPr>
          <w:rFonts w:ascii="Arial" w:cs="Arial" w:eastAsia="Arial" w:hAnsi="Arial"/>
          <w:sz w:val="18"/>
          <w:szCs w:val="18"/>
          <w:color w:val="auto"/>
        </w:rPr>
        <w:t>have been closed out and termination value(s) determined in accordance therewith, such termination value(s), and (b) for any date prior to</w:t>
      </w:r>
    </w:p>
    <w:p>
      <w:pPr>
        <w:ind w:left="38"/>
        <w:spacing w:after="0" w:line="226" w:lineRule="auto"/>
        <w:rPr>
          <w:sz w:val="20"/>
          <w:szCs w:val="20"/>
          <w:color w:val="auto"/>
        </w:rPr>
      </w:pPr>
      <w:r>
        <w:rPr>
          <w:rFonts w:ascii="Arial" w:cs="Arial" w:eastAsia="Arial" w:hAnsi="Arial"/>
          <w:sz w:val="18"/>
          <w:szCs w:val="18"/>
          <w:color w:val="auto"/>
        </w:rPr>
        <w:t>the date referenced in clause (a), the amount(s) determined as the mark-to-market value(s) for such Hedge Agreements, as determined based upon one or more mid-market or other readily available quotations provided by any recognized dealer in such Hedge Agreements</w:t>
      </w:r>
    </w:p>
    <w:p>
      <w:pPr>
        <w:spacing w:after="0" w:line="2" w:lineRule="exact"/>
        <w:rPr>
          <w:sz w:val="20"/>
          <w:szCs w:val="20"/>
          <w:color w:val="auto"/>
        </w:rPr>
      </w:pPr>
    </w:p>
    <w:p>
      <w:pPr>
        <w:ind w:left="38"/>
        <w:spacing w:after="0"/>
        <w:rPr>
          <w:sz w:val="20"/>
          <w:szCs w:val="20"/>
          <w:color w:val="auto"/>
        </w:rPr>
      </w:pPr>
      <w:r>
        <w:rPr>
          <w:rFonts w:ascii="Arial" w:cs="Arial" w:eastAsia="Arial" w:hAnsi="Arial"/>
          <w:sz w:val="20"/>
          <w:szCs w:val="20"/>
          <w:color w:val="auto"/>
        </w:rPr>
        <w:t>(which may include a Lender or any Affiliate of a Lender).</w:t>
      </w:r>
    </w:p>
    <w:p>
      <w:pPr>
        <w:spacing w:after="0" w:line="20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“IBA” has the meaning assigned thereto in Section 1.11.</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19"/>
          <w:szCs w:val="19"/>
          <w:color w:val="auto"/>
        </w:rPr>
        <w:t>“Immaterial Subsidiary” means any Subsidiary designated in writing by Centuri to the Administrative Agent as an Immaterial</w:t>
      </w:r>
    </w:p>
    <w:p>
      <w:pPr>
        <w:ind w:left="38"/>
        <w:spacing w:after="0" w:line="215" w:lineRule="auto"/>
        <w:rPr>
          <w:sz w:val="20"/>
          <w:szCs w:val="20"/>
          <w:color w:val="auto"/>
        </w:rPr>
      </w:pPr>
      <w:r>
        <w:rPr>
          <w:rFonts w:ascii="Arial" w:cs="Arial" w:eastAsia="Arial" w:hAnsi="Arial"/>
          <w:sz w:val="19"/>
          <w:szCs w:val="19"/>
          <w:color w:val="auto"/>
        </w:rPr>
        <w:t>Subsidiary that is not already a Credit Party and that does not, as of the last day of the most recently completed period of four (4) consecutive fiscal quarters for which Centuri has delivered financial statements pursuant to Section 6.1(e)(i), 8.1(a) or 8.1(b), as</w:t>
      </w:r>
    </w:p>
    <w:p>
      <w:pPr>
        <w:ind w:left="38"/>
        <w:spacing w:after="0"/>
        <w:rPr>
          <w:sz w:val="20"/>
          <w:szCs w:val="20"/>
          <w:color w:val="auto"/>
        </w:rPr>
      </w:pPr>
      <w:r>
        <w:rPr>
          <w:rFonts w:ascii="Arial" w:cs="Arial" w:eastAsia="Arial" w:hAnsi="Arial"/>
          <w:sz w:val="19"/>
          <w:szCs w:val="19"/>
          <w:color w:val="auto"/>
        </w:rPr>
        <w:t>applicable, have assets with a value in excess of 2.0% of the Consolidated Total Assets of the Consolidated Companies and did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0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11" w:name="page112"/>
    <w:bookmarkEnd w:id="111"/>
    <w:p>
      <w:pPr>
        <w:spacing w:after="0" w:line="209" w:lineRule="exact"/>
        <w:rPr>
          <w:sz w:val="20"/>
          <w:szCs w:val="20"/>
          <w:color w:val="auto"/>
        </w:rPr>
      </w:pPr>
    </w:p>
    <w:p>
      <w:pPr>
        <w:ind w:left="38"/>
        <w:spacing w:after="0"/>
        <w:rPr>
          <w:sz w:val="20"/>
          <w:szCs w:val="20"/>
          <w:color w:val="auto"/>
        </w:rPr>
      </w:pPr>
      <w:r>
        <w:rPr>
          <w:rFonts w:ascii="Arial" w:cs="Arial" w:eastAsia="Arial" w:hAnsi="Arial"/>
          <w:sz w:val="18"/>
          <w:szCs w:val="18"/>
          <w:color w:val="auto"/>
        </w:rPr>
        <w:t>not, as of such period, have revenues exceeding 2.0% of the Consolidated revenues of the Consolidated Companies; provided that if (a)</w:t>
      </w:r>
    </w:p>
    <w:p>
      <w:pPr>
        <w:spacing w:after="0" w:line="12"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such Subsidiary shall have been designated in writing by Centuri to the Administrative Agent as an Immaterial Subsidiary, and (b) if (i) the aggregate total assets then owned by all Subsidiaries of Centuri that would otherwise constitute Immaterial Subsidiaries shall have an</w:t>
      </w:r>
    </w:p>
    <w:p>
      <w:pPr>
        <w:spacing w:after="0" w:line="2" w:lineRule="exact"/>
        <w:rPr>
          <w:sz w:val="20"/>
          <w:szCs w:val="20"/>
          <w:color w:val="auto"/>
        </w:rPr>
      </w:pPr>
    </w:p>
    <w:p>
      <w:pPr>
        <w:ind w:left="38"/>
        <w:spacing w:after="0"/>
        <w:rPr>
          <w:sz w:val="20"/>
          <w:szCs w:val="20"/>
          <w:color w:val="auto"/>
        </w:rPr>
      </w:pPr>
      <w:r>
        <w:rPr>
          <w:rFonts w:ascii="Arial" w:cs="Arial" w:eastAsia="Arial" w:hAnsi="Arial"/>
          <w:sz w:val="16"/>
          <w:szCs w:val="16"/>
          <w:color w:val="auto"/>
        </w:rPr>
        <w:t>aggregate value in excess of 5.0% of the Consolidated Total Assets of the Consolidated Companies as of the last day of such fiscal quarter</w:t>
      </w:r>
    </w:p>
    <w:p>
      <w:pPr>
        <w:spacing w:after="0" w:line="19" w:lineRule="exact"/>
        <w:rPr>
          <w:sz w:val="20"/>
          <w:szCs w:val="20"/>
          <w:color w:val="auto"/>
        </w:rPr>
      </w:pPr>
    </w:p>
    <w:p>
      <w:pPr>
        <w:ind w:left="38" w:right="20"/>
        <w:spacing w:after="0" w:line="226" w:lineRule="auto"/>
        <w:rPr>
          <w:sz w:val="20"/>
          <w:szCs w:val="20"/>
          <w:color w:val="auto"/>
        </w:rPr>
      </w:pPr>
      <w:r>
        <w:rPr>
          <w:rFonts w:ascii="Arial" w:cs="Arial" w:eastAsia="Arial" w:hAnsi="Arial"/>
          <w:sz w:val="18"/>
          <w:szCs w:val="18"/>
          <w:color w:val="auto"/>
        </w:rPr>
        <w:t>or (ii) the combined revenues of all Subsidiaries of Centuri that would otherwise constitute Immaterial Subsidiaries shall exceed 5.0% of the Consolidated revenues of the Consolidated Companies for such four-quarter period, Centuri shall re-designate one or more of such</w:t>
      </w:r>
    </w:p>
    <w:p>
      <w:pPr>
        <w:ind w:left="38"/>
        <w:spacing w:after="0" w:line="236" w:lineRule="auto"/>
        <w:rPr>
          <w:sz w:val="20"/>
          <w:szCs w:val="20"/>
          <w:color w:val="auto"/>
        </w:rPr>
      </w:pPr>
      <w:r>
        <w:rPr>
          <w:rFonts w:ascii="Arial" w:cs="Arial" w:eastAsia="Arial" w:hAnsi="Arial"/>
          <w:sz w:val="18"/>
          <w:szCs w:val="18"/>
          <w:color w:val="auto"/>
        </w:rPr>
        <w:t>Subsidiaries to not be Immaterial Subsidiaries within ten (10) Business Days after delivery of the Officer’s Compliance Certificate for such</w:t>
      </w:r>
    </w:p>
    <w:p>
      <w:pPr>
        <w:spacing w:after="0" w:line="1" w:lineRule="exact"/>
        <w:rPr>
          <w:sz w:val="20"/>
          <w:szCs w:val="20"/>
          <w:color w:val="auto"/>
        </w:rPr>
      </w:pPr>
    </w:p>
    <w:p>
      <w:pPr>
        <w:ind w:left="38"/>
        <w:spacing w:after="0" w:line="255" w:lineRule="auto"/>
        <w:rPr>
          <w:sz w:val="20"/>
          <w:szCs w:val="20"/>
          <w:color w:val="auto"/>
        </w:rPr>
      </w:pPr>
      <w:r>
        <w:rPr>
          <w:rFonts w:ascii="Arial" w:cs="Arial" w:eastAsia="Arial" w:hAnsi="Arial"/>
          <w:sz w:val="16"/>
          <w:szCs w:val="16"/>
          <w:color w:val="auto"/>
        </w:rPr>
        <w:t>fiscal quarter such that only those such Subsidiaries as shall then have aggregate assets of less than 5.0% of the Consolidated Total Assets of the Consolidated Companies and combined revenues of less than 5.0% of the Consolidated revenues of the Consolidated Companies</w:t>
      </w:r>
    </w:p>
    <w:p>
      <w:pPr>
        <w:ind w:left="38"/>
        <w:spacing w:after="0" w:line="235" w:lineRule="auto"/>
        <w:rPr>
          <w:sz w:val="20"/>
          <w:szCs w:val="20"/>
          <w:color w:val="auto"/>
        </w:rPr>
      </w:pPr>
      <w:r>
        <w:rPr>
          <w:rFonts w:ascii="Arial" w:cs="Arial" w:eastAsia="Arial" w:hAnsi="Arial"/>
          <w:sz w:val="18"/>
          <w:szCs w:val="18"/>
          <w:color w:val="auto"/>
        </w:rPr>
        <w:t>shall constitute Immaterial Subsidiaries. Notwithstanding the foregoing, in no event shall (A) any Subsidiary that owns a majority of the</w:t>
      </w:r>
    </w:p>
    <w:p>
      <w:pPr>
        <w:ind w:left="38" w:right="20"/>
        <w:spacing w:after="0" w:line="226" w:lineRule="auto"/>
        <w:rPr>
          <w:sz w:val="20"/>
          <w:szCs w:val="20"/>
          <w:color w:val="auto"/>
        </w:rPr>
      </w:pPr>
      <w:r>
        <w:rPr>
          <w:rFonts w:ascii="Arial" w:cs="Arial" w:eastAsia="Arial" w:hAnsi="Arial"/>
          <w:sz w:val="18"/>
          <w:szCs w:val="18"/>
          <w:color w:val="auto"/>
        </w:rPr>
        <w:t>Equity Interests of a Material Subsidiary, (B) any Wholly-Owned US Subsidiary that owns, or otherwise licenses or has the right to use, trademarks and other intellectual property material to the operation of the Consolidated Companies or (C) any Subsidiary that is an obligor</w:t>
      </w:r>
    </w:p>
    <w:p>
      <w:pPr>
        <w:ind w:left="38"/>
        <w:spacing w:after="0" w:line="236" w:lineRule="auto"/>
        <w:rPr>
          <w:sz w:val="20"/>
          <w:szCs w:val="20"/>
          <w:color w:val="auto"/>
        </w:rPr>
      </w:pPr>
      <w:r>
        <w:rPr>
          <w:rFonts w:ascii="Arial" w:cs="Arial" w:eastAsia="Arial" w:hAnsi="Arial"/>
          <w:sz w:val="18"/>
          <w:szCs w:val="18"/>
          <w:color w:val="auto"/>
        </w:rPr>
        <w:t>or guarantor of any Indebtedness of any Credit Party or any Subsidiary thereof in excess of the Threshold Amount, in any such case be</w:t>
      </w:r>
    </w:p>
    <w:p>
      <w:pPr>
        <w:spacing w:after="0" w:line="1"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designated as an Immaterial Subsidiary. Notwithstanding the foregoing, in no event shall any Subsidiary that is an obligor or guarantor of any Refinancing Debt, Junior Indebtedness or Incremental Equivalent Indebtedness be permitted to be designated as an “Immaterial</w:t>
      </w:r>
    </w:p>
    <w:p>
      <w:pPr>
        <w:spacing w:after="0" w:line="2" w:lineRule="exact"/>
        <w:rPr>
          <w:sz w:val="20"/>
          <w:szCs w:val="20"/>
          <w:color w:val="auto"/>
        </w:rPr>
      </w:pPr>
    </w:p>
    <w:p>
      <w:pPr>
        <w:ind w:left="38"/>
        <w:spacing w:after="0"/>
        <w:rPr>
          <w:sz w:val="20"/>
          <w:szCs w:val="20"/>
          <w:color w:val="auto"/>
        </w:rPr>
      </w:pPr>
      <w:r>
        <w:rPr>
          <w:rFonts w:ascii="Arial" w:cs="Arial" w:eastAsia="Arial" w:hAnsi="Arial"/>
          <w:sz w:val="20"/>
          <w:szCs w:val="20"/>
          <w:color w:val="auto"/>
        </w:rPr>
        <w:t>Subsidiary” hereunder.</w:t>
      </w:r>
    </w:p>
    <w:p>
      <w:pPr>
        <w:spacing w:after="0" w:line="20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“Increase Effective Date” has the meaning assigned thereto in Section 5.13(c).</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“Incremental Equivalent Indebtedness” has the meaning assigned thereto in Section 9.1(m).</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“Incremental Amendment” has the meaning assigned thereto in Section 5.13(d).</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“Incremental Increases” has the meaning assigned thereto in Section 5.13(a)(ii).</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“Incremental Lender” has the meaning assigned thereto in Section 5.13(b).</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“Incremental Revolving Credit Facility Increase” has the meaning assigned thereto in Section 5.13(a)(ii).</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“Incremental Term Loan” has the meaning assigned thereto in Section 5.13(a)(i).</w:t>
      </w:r>
    </w:p>
    <w:p>
      <w:pPr>
        <w:spacing w:after="0" w:line="283" w:lineRule="exact"/>
        <w:rPr>
          <w:sz w:val="20"/>
          <w:szCs w:val="20"/>
          <w:color w:val="auto"/>
        </w:rPr>
      </w:pPr>
    </w:p>
    <w:p>
      <w:pPr>
        <w:ind w:left="38" w:right="20" w:firstLine="648"/>
        <w:spacing w:after="0" w:line="229" w:lineRule="auto"/>
        <w:rPr>
          <w:sz w:val="20"/>
          <w:szCs w:val="20"/>
          <w:color w:val="auto"/>
        </w:rPr>
      </w:pPr>
      <w:r>
        <w:rPr>
          <w:rFonts w:ascii="Arial" w:cs="Arial" w:eastAsia="Arial" w:hAnsi="Arial"/>
          <w:sz w:val="20"/>
          <w:szCs w:val="20"/>
          <w:color w:val="auto"/>
        </w:rPr>
        <w:t>“Incremental Term Loan Commitment” means the commitment of any Lender to make an Incremental Term Loan to a Borrower in accordance with Section 5.13.</w:t>
      </w:r>
    </w:p>
    <w:p>
      <w:pPr>
        <w:spacing w:after="0" w:line="26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“Indebtedness” means, with respect to any Person at any date and without duplication, the sum of the following:</w:t>
      </w:r>
    </w:p>
    <w:p>
      <w:pPr>
        <w:spacing w:after="0" w:line="216" w:lineRule="exact"/>
        <w:rPr>
          <w:sz w:val="20"/>
          <w:szCs w:val="20"/>
          <w:color w:val="auto"/>
        </w:rPr>
      </w:pPr>
    </w:p>
    <w:p>
      <w:pPr>
        <w:ind w:left="678" w:hanging="156"/>
        <w:spacing w:after="0" w:line="236" w:lineRule="auto"/>
        <w:tabs>
          <w:tab w:leader="none" w:pos="123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all liabilities, obligations and indebtedness for borrowed money including, but not limited to, obligations evidenced by bonds, debentures, notes or other similar instruments of any such Person;</w:t>
      </w:r>
    </w:p>
    <w:p>
      <w:pPr>
        <w:spacing w:after="0" w:line="195" w:lineRule="exact"/>
        <w:rPr>
          <w:rFonts w:ascii="Arial" w:cs="Arial" w:eastAsia="Arial" w:hAnsi="Arial"/>
          <w:sz w:val="20"/>
          <w:szCs w:val="20"/>
          <w:color w:val="auto"/>
        </w:rPr>
      </w:pPr>
    </w:p>
    <w:p>
      <w:pPr>
        <w:jc w:val="both"/>
        <w:ind w:left="678" w:right="20" w:firstLine="654"/>
        <w:spacing w:after="0" w:line="259" w:lineRule="auto"/>
        <w:tabs>
          <w:tab w:leader="none" w:pos="188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0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12" w:name="page113"/>
    <w:bookmarkEnd w:id="112"/>
    <w:p>
      <w:pPr>
        <w:spacing w:after="0" w:line="209" w:lineRule="exact"/>
        <w:rPr>
          <w:sz w:val="20"/>
          <w:szCs w:val="20"/>
          <w:color w:val="auto"/>
        </w:rPr>
      </w:pPr>
    </w:p>
    <w:p>
      <w:pPr>
        <w:ind w:left="678"/>
        <w:spacing w:after="0"/>
        <w:rPr>
          <w:sz w:val="20"/>
          <w:szCs w:val="20"/>
          <w:color w:val="auto"/>
        </w:rPr>
      </w:pPr>
      <w:r>
        <w:rPr>
          <w:rFonts w:ascii="Arial" w:cs="Arial" w:eastAsia="Arial" w:hAnsi="Arial"/>
          <w:sz w:val="18"/>
          <w:szCs w:val="18"/>
          <w:color w:val="auto"/>
        </w:rPr>
        <w:t>proceedings and with respect to which reserves in conformity with GAAP have been provided for on the books of such Person;</w:t>
      </w:r>
    </w:p>
    <w:p>
      <w:pPr>
        <w:spacing w:after="0" w:line="239" w:lineRule="exact"/>
        <w:rPr>
          <w:sz w:val="20"/>
          <w:szCs w:val="20"/>
          <w:color w:val="auto"/>
        </w:rPr>
      </w:pPr>
    </w:p>
    <w:p>
      <w:pPr>
        <w:ind w:left="678" w:right="20" w:firstLine="654"/>
        <w:spacing w:after="0" w:line="236" w:lineRule="auto"/>
        <w:tabs>
          <w:tab w:leader="none" w:pos="188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Attributable Indebtedness of such Person with respect to such Person’s Capital Lease Obligations and Synthetic Leases (regardless of whether accounted for as indebtedness under GAAP);</w:t>
      </w:r>
    </w:p>
    <w:p>
      <w:pPr>
        <w:spacing w:after="0" w:line="195" w:lineRule="exact"/>
        <w:rPr>
          <w:rFonts w:ascii="Arial" w:cs="Arial" w:eastAsia="Arial" w:hAnsi="Arial"/>
          <w:sz w:val="20"/>
          <w:szCs w:val="20"/>
          <w:color w:val="auto"/>
        </w:rPr>
      </w:pPr>
    </w:p>
    <w:p>
      <w:pPr>
        <w:jc w:val="both"/>
        <w:ind w:left="678" w:right="20" w:firstLine="654"/>
        <w:spacing w:after="0" w:line="227" w:lineRule="auto"/>
        <w:tabs>
          <w:tab w:leader="none" w:pos="188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97" w:lineRule="exact"/>
        <w:rPr>
          <w:rFonts w:ascii="Arial" w:cs="Arial" w:eastAsia="Arial" w:hAnsi="Arial"/>
          <w:sz w:val="20"/>
          <w:szCs w:val="20"/>
          <w:color w:val="auto"/>
        </w:rPr>
      </w:pPr>
    </w:p>
    <w:p>
      <w:pPr>
        <w:jc w:val="both"/>
        <w:ind w:left="678" w:firstLine="654"/>
        <w:spacing w:after="0" w:line="252" w:lineRule="auto"/>
        <w:tabs>
          <w:tab w:leader="none" w:pos="18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198" w:lineRule="exact"/>
        <w:rPr>
          <w:rFonts w:ascii="Arial" w:cs="Arial" w:eastAsia="Arial" w:hAnsi="Arial"/>
          <w:sz w:val="18"/>
          <w:szCs w:val="18"/>
          <w:color w:val="auto"/>
        </w:rPr>
      </w:pPr>
    </w:p>
    <w:p>
      <w:pPr>
        <w:jc w:val="both"/>
        <w:ind w:left="678" w:firstLine="654"/>
        <w:spacing w:after="0" w:line="223" w:lineRule="auto"/>
        <w:tabs>
          <w:tab w:leader="none" w:pos="188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95" w:lineRule="exact"/>
        <w:rPr>
          <w:rFonts w:ascii="Arial" w:cs="Arial" w:eastAsia="Arial" w:hAnsi="Arial"/>
          <w:sz w:val="20"/>
          <w:szCs w:val="20"/>
          <w:color w:val="auto"/>
        </w:rPr>
      </w:pPr>
    </w:p>
    <w:p>
      <w:pPr>
        <w:ind w:left="1958" w:hanging="626"/>
        <w:spacing w:after="0"/>
        <w:tabs>
          <w:tab w:leader="none" w:pos="195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obligations of any such Person in respect of Disqualified Equity Interests;</w:t>
      </w:r>
    </w:p>
    <w:p>
      <w:pPr>
        <w:spacing w:after="0" w:line="215" w:lineRule="exact"/>
        <w:rPr>
          <w:rFonts w:ascii="Arial" w:cs="Arial" w:eastAsia="Arial" w:hAnsi="Arial"/>
          <w:sz w:val="20"/>
          <w:szCs w:val="20"/>
          <w:color w:val="auto"/>
        </w:rPr>
      </w:pPr>
    </w:p>
    <w:p>
      <w:pPr>
        <w:ind w:left="1958" w:hanging="626"/>
        <w:spacing w:after="0"/>
        <w:tabs>
          <w:tab w:leader="none" w:pos="195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net obligations of such Person under any Hedge Agreements; and</w:t>
      </w:r>
    </w:p>
    <w:p>
      <w:pPr>
        <w:spacing w:after="0" w:line="229" w:lineRule="exact"/>
        <w:rPr>
          <w:rFonts w:ascii="Arial" w:cs="Arial" w:eastAsia="Arial" w:hAnsi="Arial"/>
          <w:sz w:val="20"/>
          <w:szCs w:val="20"/>
          <w:color w:val="auto"/>
        </w:rPr>
      </w:pPr>
    </w:p>
    <w:p>
      <w:pPr>
        <w:ind w:left="1958" w:hanging="626"/>
        <w:spacing w:after="0"/>
        <w:tabs>
          <w:tab w:leader="none" w:pos="195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Guarantees of any such Person with respect to any of the foregoing.</w:t>
      </w:r>
    </w:p>
    <w:p>
      <w:pPr>
        <w:spacing w:after="0" w:line="216" w:lineRule="exact"/>
        <w:rPr>
          <w:sz w:val="20"/>
          <w:szCs w:val="20"/>
          <w:color w:val="auto"/>
        </w:rPr>
      </w:pPr>
    </w:p>
    <w:p>
      <w:pPr>
        <w:ind w:left="678"/>
        <w:spacing w:after="0"/>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w:t>
      </w:r>
    </w:p>
    <w:p>
      <w:pPr>
        <w:spacing w:after="0" w:line="12" w:lineRule="exact"/>
        <w:rPr>
          <w:sz w:val="20"/>
          <w:szCs w:val="20"/>
          <w:color w:val="auto"/>
        </w:rPr>
      </w:pPr>
    </w:p>
    <w:p>
      <w:pPr>
        <w:ind w:left="38" w:right="20"/>
        <w:spacing w:after="0" w:line="226" w:lineRule="auto"/>
        <w:rPr>
          <w:sz w:val="20"/>
          <w:szCs w:val="20"/>
          <w:color w:val="auto"/>
        </w:rPr>
      </w:pPr>
      <w:r>
        <w:rPr>
          <w:rFonts w:ascii="Arial" w:cs="Arial" w:eastAsia="Arial" w:hAnsi="Arial"/>
          <w:sz w:val="18"/>
          <w:szCs w:val="18"/>
          <w:color w:val="auto"/>
        </w:rPr>
        <w:t>than a joint venture that is itself a corporation or limited liability company) in which such Person is a general partner or a joint venturer, unless such Indebtedness is expressly made non-recourse to such Person. The amount of any net obligation under any Hedge Agreement</w:t>
      </w:r>
    </w:p>
    <w:p>
      <w:pPr>
        <w:ind w:left="38"/>
        <w:spacing w:after="0" w:line="236" w:lineRule="auto"/>
        <w:rPr>
          <w:sz w:val="20"/>
          <w:szCs w:val="20"/>
          <w:color w:val="auto"/>
        </w:rPr>
      </w:pPr>
      <w:r>
        <w:rPr>
          <w:rFonts w:ascii="Arial" w:cs="Arial" w:eastAsia="Arial" w:hAnsi="Arial"/>
          <w:sz w:val="18"/>
          <w:szCs w:val="18"/>
          <w:color w:val="auto"/>
        </w:rPr>
        <w:t>on any date shall be deemed to be the Hedge Termination Value thereof as of such date. In respect of Indebtedness of another Person</w:t>
      </w:r>
    </w:p>
    <w:p>
      <w:pPr>
        <w:spacing w:after="0" w:line="1" w:lineRule="exact"/>
        <w:rPr>
          <w:sz w:val="20"/>
          <w:szCs w:val="20"/>
          <w:color w:val="auto"/>
        </w:rPr>
      </w:pPr>
    </w:p>
    <w:p>
      <w:pPr>
        <w:ind w:left="38" w:right="20"/>
        <w:spacing w:after="0" w:line="232" w:lineRule="auto"/>
        <w:rPr>
          <w:sz w:val="20"/>
          <w:szCs w:val="20"/>
          <w:color w:val="auto"/>
        </w:rPr>
      </w:pPr>
      <w:r>
        <w:rPr>
          <w:rFonts w:ascii="Arial" w:cs="Arial" w:eastAsia="Arial" w:hAnsi="Arial"/>
          <w:sz w:val="19"/>
          <w:szCs w:val="19"/>
          <w:color w:val="auto"/>
        </w:rPr>
        <w:t>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210" w:lineRule="exact"/>
        <w:rPr>
          <w:sz w:val="20"/>
          <w:szCs w:val="20"/>
          <w:color w:val="auto"/>
        </w:rPr>
      </w:pPr>
    </w:p>
    <w:p>
      <w:pPr>
        <w:ind w:left="38" w:right="20" w:firstLine="648"/>
        <w:spacing w:after="0" w:line="229" w:lineRule="auto"/>
        <w:rPr>
          <w:sz w:val="20"/>
          <w:szCs w:val="20"/>
          <w:color w:val="auto"/>
        </w:rPr>
      </w:pPr>
      <w:r>
        <w:rPr>
          <w:rFonts w:ascii="Arial" w:cs="Arial" w:eastAsia="Arial" w:hAnsi="Arial"/>
          <w:sz w:val="20"/>
          <w:szCs w:val="20"/>
          <w:color w:val="auto"/>
        </w:rPr>
        <w:t>“Indemnified Taxes” means (a) Taxes, other than Excluded Taxes, imposed on or with respect to any payment made by or on account of any obligation of any Credit Party under any Loan Document and</w:t>
      </w:r>
    </w:p>
    <w:p>
      <w:pPr>
        <w:spacing w:after="0" w:line="74" w:lineRule="exact"/>
        <w:rPr>
          <w:sz w:val="20"/>
          <w:szCs w:val="20"/>
          <w:color w:val="auto"/>
        </w:rPr>
      </w:pPr>
    </w:p>
    <w:p>
      <w:pPr>
        <w:ind w:left="678" w:hanging="642"/>
        <w:spacing w:after="0"/>
        <w:tabs>
          <w:tab w:leader="none" w:pos="67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to the extent not otherwise described in clause (a), Other Taxes. “Indemnitee” has the meaning</w:t>
      </w:r>
    </w:p>
    <w:p>
      <w:pPr>
        <w:spacing w:after="0" w:line="215" w:lineRule="exact"/>
        <w:rPr>
          <w:rFonts w:ascii="Arial" w:cs="Arial" w:eastAsia="Arial" w:hAnsi="Arial"/>
          <w:sz w:val="20"/>
          <w:szCs w:val="20"/>
          <w:color w:val="auto"/>
        </w:rPr>
      </w:pPr>
    </w:p>
    <w:p>
      <w:pPr>
        <w:ind w:left="678"/>
        <w:spacing w:after="0"/>
        <w:rPr>
          <w:rFonts w:ascii="Arial" w:cs="Arial" w:eastAsia="Arial" w:hAnsi="Arial"/>
          <w:sz w:val="20"/>
          <w:szCs w:val="20"/>
          <w:color w:val="auto"/>
        </w:rPr>
      </w:pPr>
      <w:r>
        <w:rPr>
          <w:rFonts w:ascii="Arial" w:cs="Arial" w:eastAsia="Arial" w:hAnsi="Arial"/>
          <w:sz w:val="20"/>
          <w:szCs w:val="20"/>
          <w:color w:val="auto"/>
        </w:rPr>
        <w:t>assigned thereto in Section 12.3(b).</w:t>
      </w:r>
    </w:p>
    <w:p>
      <w:pPr>
        <w:spacing w:after="0" w:line="107" w:lineRule="exact"/>
        <w:rPr>
          <w:rFonts w:ascii="Arial" w:cs="Arial" w:eastAsia="Arial" w:hAnsi="Arial"/>
          <w:sz w:val="20"/>
          <w:szCs w:val="20"/>
          <w:color w:val="auto"/>
        </w:rPr>
      </w:pPr>
    </w:p>
    <w:p>
      <w:pPr>
        <w:ind w:left="678"/>
        <w:spacing w:after="0"/>
        <w:rPr>
          <w:rFonts w:ascii="Arial" w:cs="Arial" w:eastAsia="Arial" w:hAnsi="Arial"/>
          <w:sz w:val="20"/>
          <w:szCs w:val="20"/>
          <w:color w:val="auto"/>
        </w:rPr>
      </w:pPr>
      <w:r>
        <w:rPr>
          <w:rFonts w:ascii="Arial" w:cs="Arial" w:eastAsia="Arial" w:hAnsi="Arial"/>
          <w:sz w:val="20"/>
          <w:szCs w:val="20"/>
          <w:color w:val="auto"/>
        </w:rPr>
        <w:t>“Information” has the meaning assigned thereto in Section 12.10.</w:t>
      </w:r>
    </w:p>
    <w:p>
      <w:pPr>
        <w:spacing w:after="0" w:line="270" w:lineRule="exact"/>
        <w:rPr>
          <w:sz w:val="20"/>
          <w:szCs w:val="20"/>
          <w:color w:val="auto"/>
        </w:rPr>
      </w:pPr>
    </w:p>
    <w:p>
      <w:pPr>
        <w:ind w:left="678"/>
        <w:spacing w:after="0"/>
        <w:rPr>
          <w:sz w:val="20"/>
          <w:szCs w:val="20"/>
          <w:color w:val="auto"/>
        </w:rPr>
      </w:pPr>
      <w:r>
        <w:rPr>
          <w:rFonts w:ascii="Arial" w:cs="Arial" w:eastAsia="Arial" w:hAnsi="Arial"/>
          <w:sz w:val="18"/>
          <w:szCs w:val="18"/>
          <w:color w:val="auto"/>
        </w:rPr>
        <w:t>“Initial Term Loan” means the term loan denominated in Dollars made to Centuri, by the Term Loan Lenders pursuant to Section</w:t>
      </w:r>
    </w:p>
    <w:p>
      <w:pPr>
        <w:spacing w:after="0" w:line="12" w:lineRule="exact"/>
        <w:rPr>
          <w:sz w:val="20"/>
          <w:szCs w:val="20"/>
          <w:color w:val="auto"/>
        </w:rPr>
      </w:pPr>
    </w:p>
    <w:p>
      <w:pPr>
        <w:ind w:left="38"/>
        <w:spacing w:after="0"/>
        <w:rPr>
          <w:sz w:val="20"/>
          <w:szCs w:val="20"/>
          <w:color w:val="auto"/>
        </w:rPr>
      </w:pPr>
      <w:r>
        <w:rPr>
          <w:rFonts w:ascii="Arial" w:cs="Arial" w:eastAsia="Arial" w:hAnsi="Arial"/>
          <w:sz w:val="20"/>
          <w:szCs w:val="20"/>
          <w:color w:val="auto"/>
        </w:rPr>
        <w:t>4.1.</w:t>
      </w:r>
    </w:p>
    <w:p>
      <w:pPr>
        <w:spacing w:after="0" w:line="267" w:lineRule="exact"/>
        <w:rPr>
          <w:sz w:val="20"/>
          <w:szCs w:val="20"/>
          <w:color w:val="auto"/>
        </w:rPr>
      </w:pPr>
    </w:p>
    <w:p>
      <w:pPr>
        <w:ind w:left="678"/>
        <w:spacing w:after="0"/>
        <w:rPr>
          <w:sz w:val="20"/>
          <w:szCs w:val="20"/>
          <w:color w:val="auto"/>
        </w:rPr>
      </w:pPr>
      <w:r>
        <w:rPr>
          <w:rFonts w:ascii="Arial" w:cs="Arial" w:eastAsia="Arial" w:hAnsi="Arial"/>
          <w:sz w:val="18"/>
          <w:szCs w:val="18"/>
          <w:color w:val="auto"/>
        </w:rPr>
        <w:t>“Insurance and Condemnation Event” means the receipt by any Credit Party or any of its Subsidiaries of any cash insurance</w:t>
      </w:r>
    </w:p>
    <w:p>
      <w:pPr>
        <w:spacing w:after="0" w:line="12" w:lineRule="exact"/>
        <w:rPr>
          <w:sz w:val="20"/>
          <w:szCs w:val="20"/>
          <w:color w:val="auto"/>
        </w:rPr>
      </w:pPr>
    </w:p>
    <w:p>
      <w:pPr>
        <w:ind w:left="38" w:right="20"/>
        <w:spacing w:after="0" w:line="220" w:lineRule="auto"/>
        <w:rPr>
          <w:sz w:val="20"/>
          <w:szCs w:val="20"/>
          <w:color w:val="auto"/>
        </w:rPr>
      </w:pPr>
      <w:r>
        <w:rPr>
          <w:rFonts w:ascii="Arial" w:cs="Arial" w:eastAsia="Arial" w:hAnsi="Arial"/>
          <w:sz w:val="20"/>
          <w:szCs w:val="20"/>
          <w:color w:val="auto"/>
        </w:rPr>
        <w:t>proceeds or condemnation award payable by reason of theft, loss, physical destruction or damage, taking or similar event with respect to any of their respective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1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13" w:name="page114"/>
    <w:bookmarkEnd w:id="113"/>
    <w:p>
      <w:pPr>
        <w:spacing w:after="0" w:line="209" w:lineRule="exact"/>
        <w:rPr>
          <w:sz w:val="20"/>
          <w:szCs w:val="20"/>
          <w:color w:val="auto"/>
        </w:rPr>
      </w:pPr>
    </w:p>
    <w:p>
      <w:pPr>
        <w:ind w:left="678"/>
        <w:spacing w:after="0"/>
        <w:rPr>
          <w:sz w:val="20"/>
          <w:szCs w:val="20"/>
          <w:color w:val="auto"/>
        </w:rPr>
      </w:pPr>
      <w:r>
        <w:rPr>
          <w:rFonts w:ascii="Arial" w:cs="Arial" w:eastAsia="Arial" w:hAnsi="Arial"/>
          <w:sz w:val="18"/>
          <w:szCs w:val="18"/>
          <w:color w:val="auto"/>
        </w:rPr>
        <w:t xml:space="preserve">“Interest Period” means, as to each LIBOR Rate </w:t>
      </w:r>
      <w:r>
        <w:rPr>
          <w:rFonts w:ascii="Arial" w:cs="Arial" w:eastAsia="Arial" w:hAnsi="Arial"/>
          <w:sz w:val="18"/>
          <w:szCs w:val="18"/>
          <w:color w:val="0000FF"/>
        </w:rPr>
        <w:t>Loan, SOFR</w:t>
      </w:r>
      <w:r>
        <w:rPr>
          <w:rFonts w:ascii="Arial" w:cs="Arial" w:eastAsia="Arial" w:hAnsi="Arial"/>
          <w:sz w:val="18"/>
          <w:szCs w:val="18"/>
          <w:color w:val="auto"/>
        </w:rPr>
        <w:t xml:space="preserve"> Loan or CDOR Rate Loan, the period commencing on the date such</w:t>
      </w:r>
    </w:p>
    <w:p>
      <w:pPr>
        <w:spacing w:after="0" w:line="12" w:lineRule="exact"/>
        <w:rPr>
          <w:sz w:val="20"/>
          <w:szCs w:val="20"/>
          <w:color w:val="auto"/>
        </w:rPr>
      </w:pPr>
    </w:p>
    <w:p>
      <w:pPr>
        <w:jc w:val="both"/>
        <w:ind w:left="38"/>
        <w:spacing w:after="0" w:line="226" w:lineRule="auto"/>
        <w:rPr>
          <w:sz w:val="20"/>
          <w:szCs w:val="20"/>
          <w:color w:val="auto"/>
        </w:rPr>
      </w:pPr>
      <w:r>
        <w:rPr>
          <w:rFonts w:ascii="Arial" w:cs="Arial" w:eastAsia="Arial" w:hAnsi="Arial"/>
          <w:sz w:val="18"/>
          <w:szCs w:val="18"/>
          <w:color w:val="auto"/>
        </w:rPr>
        <w:t>LIBOR Rate Loan</w:t>
      </w:r>
      <w:r>
        <w:rPr>
          <w:rFonts w:ascii="Arial" w:cs="Arial" w:eastAsia="Arial" w:hAnsi="Arial"/>
          <w:sz w:val="18"/>
          <w:szCs w:val="18"/>
          <w:color w:val="0000FF"/>
        </w:rPr>
        <w:t>, SOFR Loan</w:t>
      </w:r>
      <w:r>
        <w:rPr>
          <w:rFonts w:ascii="Arial" w:cs="Arial" w:eastAsia="Arial" w:hAnsi="Arial"/>
          <w:sz w:val="18"/>
          <w:szCs w:val="18"/>
          <w:color w:val="auto"/>
        </w:rPr>
        <w:t xml:space="preserve"> and CDOR Rate Loan is disbursed or converted to or continued as a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 and ending on the date that is (x) with respect to LIBOR Rate Loans </w:t>
      </w:r>
      <w:r>
        <w:rPr>
          <w:rFonts w:ascii="Arial" w:cs="Arial" w:eastAsia="Arial" w:hAnsi="Arial"/>
          <w:sz w:val="18"/>
          <w:szCs w:val="18"/>
          <w:color w:val="0000FF"/>
        </w:rPr>
        <w:t>and SOFR Loans</w:t>
      </w:r>
      <w:r>
        <w:rPr>
          <w:rFonts w:ascii="Arial" w:cs="Arial" w:eastAsia="Arial" w:hAnsi="Arial"/>
          <w:sz w:val="18"/>
          <w:szCs w:val="18"/>
          <w:color w:val="auto"/>
        </w:rPr>
        <w:t>, one (1), three (3) or six (6)</w:t>
      </w:r>
    </w:p>
    <w:p>
      <w:pPr>
        <w:spacing w:after="0" w:line="2" w:lineRule="exact"/>
        <w:rPr>
          <w:sz w:val="20"/>
          <w:szCs w:val="20"/>
          <w:color w:val="auto"/>
        </w:rPr>
      </w:pPr>
    </w:p>
    <w:p>
      <w:pPr>
        <w:ind w:left="38"/>
        <w:spacing w:after="0" w:line="266" w:lineRule="auto"/>
        <w:rPr>
          <w:sz w:val="20"/>
          <w:szCs w:val="20"/>
          <w:color w:val="auto"/>
        </w:rPr>
      </w:pPr>
      <w:r>
        <w:rPr>
          <w:rFonts w:ascii="Arial" w:cs="Arial" w:eastAsia="Arial" w:hAnsi="Arial"/>
          <w:sz w:val="18"/>
          <w:szCs w:val="18"/>
          <w:color w:val="auto"/>
        </w:rPr>
        <w:t>months thereafter and (y) with respect to CDOR Rate Loans, one (1), two (2) or three (3) months thereafter, in each case as selected by the applicable Borrower in its Notice of Borrowing or Notice of Conversion/Continuation and subject to availability; provided that:</w:t>
      </w:r>
    </w:p>
    <w:p>
      <w:pPr>
        <w:spacing w:after="0" w:line="241" w:lineRule="exact"/>
        <w:rPr>
          <w:sz w:val="20"/>
          <w:szCs w:val="20"/>
          <w:color w:val="auto"/>
        </w:rPr>
      </w:pPr>
    </w:p>
    <w:p>
      <w:pPr>
        <w:jc w:val="both"/>
        <w:ind w:left="678" w:firstLine="654"/>
        <w:spacing w:after="0" w:line="223" w:lineRule="auto"/>
        <w:tabs>
          <w:tab w:leader="none" w:pos="188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the Interest Period shall commence on the date of advance of or conversion to any LIBOR Rate </w:t>
      </w:r>
      <w:r>
        <w:rPr>
          <w:rFonts w:ascii="Arial" w:cs="Arial" w:eastAsia="Arial" w:hAnsi="Arial"/>
          <w:sz w:val="20"/>
          <w:szCs w:val="20"/>
          <w:color w:val="0000FF"/>
        </w:rPr>
        <w:t>Loan, SOFR</w:t>
      </w:r>
      <w:r>
        <w:rPr>
          <w:rFonts w:ascii="Arial" w:cs="Arial" w:eastAsia="Arial" w:hAnsi="Arial"/>
          <w:sz w:val="20"/>
          <w:szCs w:val="20"/>
          <w:color w:val="auto"/>
        </w:rPr>
        <w:t xml:space="preserve"> Loan or CDOR Rate Loan and, in the case of immediately successive Interest Periods, each successive Interest Period shall commence on the date on which the immediately preceding Interest Period expires;</w:t>
      </w:r>
    </w:p>
    <w:p>
      <w:pPr>
        <w:spacing w:after="0" w:line="195" w:lineRule="exact"/>
        <w:rPr>
          <w:rFonts w:ascii="Arial" w:cs="Arial" w:eastAsia="Arial" w:hAnsi="Arial"/>
          <w:sz w:val="20"/>
          <w:szCs w:val="20"/>
          <w:color w:val="auto"/>
        </w:rPr>
      </w:pPr>
    </w:p>
    <w:p>
      <w:pPr>
        <w:jc w:val="both"/>
        <w:ind w:left="678" w:firstLine="654"/>
        <w:spacing w:after="0" w:line="231" w:lineRule="auto"/>
        <w:tabs>
          <w:tab w:leader="none" w:pos="188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if any Interest Period would otherwise expire on a day that is not a Business Day, such Interest Period shall expire on the next succeeding Business Day; provided that if any Interest Period </w:t>
      </w:r>
      <w:r>
        <w:rPr>
          <w:rFonts w:ascii="Arial" w:cs="Arial" w:eastAsia="Arial" w:hAnsi="Arial"/>
          <w:sz w:val="19"/>
          <w:szCs w:val="19"/>
          <w:color w:val="FF0000"/>
          <w:strike w:val="1"/>
        </w:rPr>
        <w:t>with respect to a LIBOR Rate Loan or CDOR Rate Loan</w:t>
      </w:r>
      <w:r>
        <w:rPr>
          <w:rFonts w:ascii="Arial" w:cs="Arial" w:eastAsia="Arial" w:hAnsi="Arial"/>
          <w:sz w:val="19"/>
          <w:szCs w:val="19"/>
          <w:color w:val="auto"/>
        </w:rPr>
        <w:t xml:space="preserve"> would otherwise expire on a day that is not a Business Day but is a day of the month after which no further Business Day occurs in such month, such Interest Period shall expire on the immediately preceding Business Day;</w:t>
      </w:r>
    </w:p>
    <w:p>
      <w:pPr>
        <w:spacing w:after="0" w:line="211" w:lineRule="exact"/>
        <w:rPr>
          <w:rFonts w:ascii="Arial" w:cs="Arial" w:eastAsia="Arial" w:hAnsi="Arial"/>
          <w:sz w:val="19"/>
          <w:szCs w:val="19"/>
          <w:color w:val="auto"/>
        </w:rPr>
      </w:pPr>
    </w:p>
    <w:p>
      <w:pPr>
        <w:jc w:val="both"/>
        <w:ind w:left="678" w:right="20" w:firstLine="654"/>
        <w:spacing w:after="0" w:line="252" w:lineRule="auto"/>
        <w:tabs>
          <w:tab w:leader="none" w:pos="188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Interest Period </w:t>
      </w:r>
      <w:r>
        <w:rPr>
          <w:rFonts w:ascii="Arial" w:cs="Arial" w:eastAsia="Arial" w:hAnsi="Arial"/>
          <w:sz w:val="18"/>
          <w:szCs w:val="18"/>
          <w:color w:val="FF0000"/>
          <w:strike w:val="1"/>
        </w:rPr>
        <w:t>with respect to a LIBOR Rate Loan or CDOR Rate Loan</w:t>
      </w:r>
      <w:r>
        <w:rPr>
          <w:rFonts w:ascii="Arial" w:cs="Arial" w:eastAsia="Arial" w:hAnsi="Arial"/>
          <w:sz w:val="18"/>
          <w:szCs w:val="18"/>
          <w:color w:val="auto"/>
        </w:rPr>
        <w:t xml:space="preserve">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5" w:lineRule="exact"/>
        <w:rPr>
          <w:rFonts w:ascii="Arial" w:cs="Arial" w:eastAsia="Arial" w:hAnsi="Arial"/>
          <w:sz w:val="18"/>
          <w:szCs w:val="18"/>
          <w:color w:val="auto"/>
        </w:rPr>
      </w:pPr>
    </w:p>
    <w:p>
      <w:pPr>
        <w:jc w:val="both"/>
        <w:ind w:left="678" w:firstLine="654"/>
        <w:spacing w:after="0" w:line="259" w:lineRule="auto"/>
        <w:tabs>
          <w:tab w:leader="none" w:pos="18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Section 4.3 without payment of any amounts pursuant to Section 5.9; and</w:t>
      </w:r>
    </w:p>
    <w:p>
      <w:pPr>
        <w:spacing w:after="0" w:line="234" w:lineRule="exact"/>
        <w:rPr>
          <w:rFonts w:ascii="Arial" w:cs="Arial" w:eastAsia="Arial" w:hAnsi="Arial"/>
          <w:sz w:val="18"/>
          <w:szCs w:val="18"/>
          <w:color w:val="auto"/>
        </w:rPr>
      </w:pPr>
    </w:p>
    <w:p>
      <w:pPr>
        <w:ind w:left="1978" w:hanging="646"/>
        <w:spacing w:after="0"/>
        <w:tabs>
          <w:tab w:leader="none" w:pos="197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there shall be no more than sixteen (16) Interest Periods in effect at any time.</w:t>
      </w:r>
    </w:p>
    <w:p>
      <w:pPr>
        <w:spacing w:after="0" w:line="229" w:lineRule="exact"/>
        <w:rPr>
          <w:sz w:val="20"/>
          <w:szCs w:val="20"/>
          <w:color w:val="auto"/>
        </w:rPr>
      </w:pPr>
    </w:p>
    <w:p>
      <w:pPr>
        <w:ind w:left="678"/>
        <w:spacing w:after="0"/>
        <w:rPr>
          <w:sz w:val="20"/>
          <w:szCs w:val="20"/>
          <w:color w:val="auto"/>
        </w:rPr>
      </w:pPr>
      <w:r>
        <w:rPr>
          <w:rFonts w:ascii="Arial" w:cs="Arial" w:eastAsia="Arial" w:hAnsi="Arial"/>
          <w:sz w:val="18"/>
          <w:szCs w:val="18"/>
          <w:color w:val="auto"/>
        </w:rPr>
        <w:t>“Interstate Commerce Act” means the body of law commonly known as the Interstate Commerce Act (49 U.S.C §§ 1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1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14" w:name="page115"/>
    <w:bookmarkEnd w:id="114"/>
    <w:p>
      <w:pPr>
        <w:ind w:left="5618"/>
        <w:spacing w:after="0"/>
        <w:rPr>
          <w:sz w:val="20"/>
          <w:szCs w:val="20"/>
          <w:color w:val="auto"/>
        </w:rPr>
      </w:pPr>
      <w:r>
        <w:rPr>
          <w:rFonts w:ascii="Arial" w:cs="Arial" w:eastAsia="Arial" w:hAnsi="Arial"/>
          <w:sz w:val="18"/>
          <w:szCs w:val="18"/>
          <w:color w:val="auto"/>
        </w:rPr>
        <w:t>“Investment Company Act” means the Investment Company Act of</w:t>
      </w:r>
    </w:p>
    <w:p>
      <w:pPr>
        <w:ind w:left="38"/>
        <w:spacing w:after="0"/>
        <w:tabs>
          <w:tab w:leader="none" w:pos="5598" w:val="left"/>
        </w:tabs>
        <w:rPr>
          <w:sz w:val="20"/>
          <w:szCs w:val="20"/>
          <w:color w:val="auto"/>
        </w:rPr>
      </w:pPr>
      <w:r>
        <w:rPr>
          <w:rFonts w:ascii="Arial" w:cs="Arial" w:eastAsia="Arial" w:hAnsi="Arial"/>
          <w:sz w:val="33"/>
          <w:szCs w:val="33"/>
          <w:color w:val="auto"/>
          <w:vertAlign w:val="subscript"/>
        </w:rPr>
        <w:t>seq.).</w:t>
      </w:r>
      <w:r>
        <w:rPr>
          <w:sz w:val="20"/>
          <w:szCs w:val="20"/>
          <w:color w:val="auto"/>
        </w:rPr>
        <w:tab/>
      </w:r>
      <w:r>
        <w:rPr>
          <w:rFonts w:ascii="Arial" w:cs="Arial" w:eastAsia="Arial" w:hAnsi="Arial"/>
          <w:sz w:val="16"/>
          <w:szCs w:val="16"/>
          <w:color w:val="auto"/>
        </w:rPr>
        <w:t>1940 (15 U.S.C. § 80(a)(1), et</w:t>
      </w:r>
    </w:p>
    <w:p>
      <w:pPr>
        <w:spacing w:after="0" w:line="200" w:lineRule="exact"/>
        <w:rPr>
          <w:sz w:val="20"/>
          <w:szCs w:val="20"/>
          <w:color w:val="auto"/>
        </w:rPr>
      </w:pPr>
    </w:p>
    <w:p>
      <w:pPr>
        <w:spacing w:after="0" w:line="37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“IRS” means the United States Internal Revenue Service.</w:t>
      </w:r>
    </w:p>
    <w:p>
      <w:pPr>
        <w:spacing w:after="0" w:line="283" w:lineRule="exact"/>
        <w:rPr>
          <w:sz w:val="20"/>
          <w:szCs w:val="20"/>
          <w:color w:val="auto"/>
        </w:rPr>
      </w:pPr>
    </w:p>
    <w:p>
      <w:pPr>
        <w:ind w:left="38" w:right="840" w:firstLine="648"/>
        <w:spacing w:after="0" w:line="236" w:lineRule="auto"/>
        <w:rPr>
          <w:sz w:val="20"/>
          <w:szCs w:val="20"/>
          <w:color w:val="auto"/>
        </w:rPr>
      </w:pPr>
      <w:r>
        <w:rPr>
          <w:rFonts w:ascii="Arial" w:cs="Arial" w:eastAsia="Arial" w:hAnsi="Arial"/>
          <w:sz w:val="20"/>
          <w:szCs w:val="20"/>
          <w:color w:val="auto"/>
        </w:rPr>
        <w:t>“ISP98” means the International Standby Practices (1998 Revision, effective January 1, 1999), International Chamber of Commerce Publication No. 590.</w:t>
      </w:r>
    </w:p>
    <w:p>
      <w:pPr>
        <w:spacing w:after="0" w:line="184"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“Issuing Lenders” means (a) Wells Fargo, solely in its capacity as issuer of US Letters of Credit,</w:t>
      </w:r>
    </w:p>
    <w:p>
      <w:pPr>
        <w:jc w:val="both"/>
        <w:ind w:left="38" w:hanging="2"/>
        <w:spacing w:after="0" w:line="212" w:lineRule="auto"/>
        <w:tabs>
          <w:tab w:leader="none" w:pos="59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CIBC, solely in its capacity as issuer of Canadian Letters of Credit, (c) solely with respect to Existing Letters of Credit, the applicable issuer thereof listed on Schedule 1.1(b)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21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“ITA” means the Income Tax Act (Canada), as amended from time to time.</w:t>
      </w:r>
    </w:p>
    <w:p>
      <w:pPr>
        <w:spacing w:after="0" w:line="200" w:lineRule="exact"/>
        <w:rPr>
          <w:sz w:val="20"/>
          <w:szCs w:val="20"/>
          <w:color w:val="auto"/>
        </w:rPr>
      </w:pPr>
    </w:p>
    <w:p>
      <w:pPr>
        <w:spacing w:after="0" w:line="31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1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57" w:right="439" w:bottom="1440" w:gutter="0" w:footer="0" w:header="0"/>
        </w:sectPr>
      </w:pPr>
    </w:p>
    <w:bookmarkStart w:id="115" w:name="page116"/>
    <w:bookmarkEnd w:id="115"/>
    <w:p>
      <w:pPr>
        <w:ind w:left="698"/>
        <w:spacing w:after="0"/>
        <w:rPr>
          <w:sz w:val="20"/>
          <w:szCs w:val="20"/>
          <w:color w:val="auto"/>
        </w:rPr>
      </w:pPr>
      <w:r>
        <w:rPr>
          <w:rFonts w:ascii="Arial" w:cs="Arial" w:eastAsia="Arial" w:hAnsi="Arial"/>
          <w:sz w:val="18"/>
          <w:szCs w:val="18"/>
          <w:color w:val="auto"/>
        </w:rPr>
        <w:t>“Junior Indebtedness” means, with respect to Centuri and its Subsidiaries, any (a) Subordinated Indebtedness, (b) Indebtedness</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secured by Liens that are junior to the Liens securing the Secured Obligations and (c) unsecured Indebtedness (excluding intercompany Indebtedness) with an aggregate outstanding principal amount in excess of the Threshold Amount.</w:t>
      </w:r>
    </w:p>
    <w:p>
      <w:pPr>
        <w:spacing w:after="0" w:line="210" w:lineRule="exact"/>
        <w:rPr>
          <w:sz w:val="20"/>
          <w:szCs w:val="20"/>
          <w:color w:val="auto"/>
        </w:rPr>
      </w:pPr>
    </w:p>
    <w:p>
      <w:pPr>
        <w:ind w:left="58" w:right="20" w:firstLine="648"/>
        <w:spacing w:after="0" w:line="265" w:lineRule="auto"/>
        <w:rPr>
          <w:sz w:val="20"/>
          <w:szCs w:val="20"/>
          <w:color w:val="auto"/>
        </w:rPr>
      </w:pPr>
      <w:r>
        <w:rPr>
          <w:rFonts w:ascii="Arial" w:cs="Arial" w:eastAsia="Arial" w:hAnsi="Arial"/>
          <w:sz w:val="16"/>
          <w:szCs w:val="16"/>
          <w:color w:val="auto"/>
        </w:rPr>
        <w:t>“L/C Commitment” means, as to any Issuing Lender, the obligation of such Issuing Lender to issue Letters of Credit for the account of the Borrowers or one or more of their respective Subsidiaries from time to time in an aggregate amount equal to such amount as</w:t>
      </w:r>
    </w:p>
    <w:p>
      <w:pPr>
        <w:ind w:left="58"/>
        <w:spacing w:after="0" w:line="236" w:lineRule="auto"/>
        <w:rPr>
          <w:sz w:val="20"/>
          <w:szCs w:val="20"/>
          <w:color w:val="auto"/>
        </w:rPr>
      </w:pPr>
      <w:r>
        <w:rPr>
          <w:rFonts w:ascii="Arial" w:cs="Arial" w:eastAsia="Arial" w:hAnsi="Arial"/>
          <w:sz w:val="18"/>
          <w:szCs w:val="18"/>
          <w:color w:val="auto"/>
        </w:rPr>
        <w:t>set forth on Schedule 1.1(d) or as separately agreed to in a written agreement between Centuri and such Issuing Lender (which such</w:t>
      </w:r>
    </w:p>
    <w:p>
      <w:pPr>
        <w:ind w:left="58"/>
        <w:spacing w:after="0" w:line="226" w:lineRule="auto"/>
        <w:rPr>
          <w:sz w:val="20"/>
          <w:szCs w:val="20"/>
          <w:color w:val="auto"/>
        </w:rPr>
      </w:pPr>
      <w:r>
        <w:rPr>
          <w:rFonts w:ascii="Arial" w:cs="Arial" w:eastAsia="Arial" w:hAnsi="Arial"/>
          <w:sz w:val="18"/>
          <w:szCs w:val="18"/>
          <w:color w:val="auto"/>
        </w:rPr>
        <w:t>agreement shall be promptly delivered to the Administrative Agent upon execution), in each case any such amount may be changed after the Closing Date in a written agreement between Centuri and such Issuing Lender (which such agreement shall be promptly delivered to</w:t>
      </w:r>
    </w:p>
    <w:p>
      <w:pPr>
        <w:ind w:left="58"/>
        <w:spacing w:after="0" w:line="236" w:lineRule="auto"/>
        <w:rPr>
          <w:sz w:val="20"/>
          <w:szCs w:val="20"/>
          <w:color w:val="auto"/>
        </w:rPr>
      </w:pPr>
      <w:r>
        <w:rPr>
          <w:rFonts w:ascii="Arial" w:cs="Arial" w:eastAsia="Arial" w:hAnsi="Arial"/>
          <w:sz w:val="18"/>
          <w:szCs w:val="18"/>
          <w:color w:val="auto"/>
        </w:rPr>
        <w:t>the Administrative Agent upon execution); provided that the L/C Commitment with respect to any Person that ceases to be an Issuing</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Lender for any reason pursuant to the terms hereof shall be $0 (subject to the Letters of Credit of such Person remaining outstanding in accordance with the provisions hereof).</w:t>
      </w:r>
    </w:p>
    <w:p>
      <w:pPr>
        <w:spacing w:after="0" w:line="21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“L/C Facility” means the letter of credit facility established pursuant to Article III.</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“L/C Obligations” means, collectively, the Canadian L/C Obligations and the US L/C Obligations.</w:t>
      </w:r>
    </w:p>
    <w:p>
      <w:pPr>
        <w:spacing w:after="0" w:line="270" w:lineRule="exact"/>
        <w:rPr>
          <w:sz w:val="20"/>
          <w:szCs w:val="20"/>
          <w:color w:val="auto"/>
        </w:rPr>
      </w:pPr>
    </w:p>
    <w:p>
      <w:pPr>
        <w:ind w:left="58" w:right="220" w:firstLine="648"/>
        <w:spacing w:after="0" w:line="236" w:lineRule="auto"/>
        <w:rPr>
          <w:sz w:val="20"/>
          <w:szCs w:val="20"/>
          <w:color w:val="auto"/>
        </w:rPr>
      </w:pPr>
      <w:r>
        <w:rPr>
          <w:rFonts w:ascii="Arial" w:cs="Arial" w:eastAsia="Arial" w:hAnsi="Arial"/>
          <w:sz w:val="20"/>
          <w:szCs w:val="20"/>
          <w:color w:val="auto"/>
        </w:rPr>
        <w:t>“L/C Participants” means, with respect to any Letter of Credit, the collective reference to all the Revolving Credit Lenders other than the applicable Issuing Lender.</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“L/C Sublimit” means the lesser of (a) $</w:t>
      </w:r>
      <w:r>
        <w:rPr>
          <w:rFonts w:ascii="Arial" w:cs="Arial" w:eastAsia="Arial" w:hAnsi="Arial"/>
          <w:sz w:val="20"/>
          <w:szCs w:val="20"/>
          <w:color w:val="FF0000"/>
          <w:strike w:val="1"/>
        </w:rPr>
        <w:t>100,000,000</w:t>
      </w:r>
      <w:r>
        <w:rPr>
          <w:rFonts w:ascii="Arial" w:cs="Arial" w:eastAsia="Arial" w:hAnsi="Arial"/>
          <w:sz w:val="20"/>
          <w:szCs w:val="20"/>
          <w:color w:val="0000FF"/>
        </w:rPr>
        <w:t>125,000,000</w:t>
      </w:r>
      <w:r>
        <w:rPr>
          <w:rFonts w:ascii="Arial" w:cs="Arial" w:eastAsia="Arial" w:hAnsi="Arial"/>
          <w:sz w:val="20"/>
          <w:szCs w:val="20"/>
          <w:color w:val="auto"/>
        </w:rPr>
        <w:t xml:space="preserve"> and (b) the Revolving Credit Commitment.</w:t>
      </w:r>
    </w:p>
    <w:p>
      <w:pPr>
        <w:spacing w:after="0" w:line="22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“LCA Test Date” has the meaning assigned thereto in Section 1.12(a).</w:t>
      </w:r>
    </w:p>
    <w:p>
      <w:pPr>
        <w:spacing w:after="0" w:line="283"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“Lender” means each Person executing this Agreement as a Lender on the Closing Date and any other Person that shall have become a party to this Agreement as a Lender pursuant to an Assignment and Assumption or pursuant to Section 5.13, other than any</w:t>
      </w:r>
    </w:p>
    <w:p>
      <w:pPr>
        <w:ind w:left="58" w:right="20"/>
        <w:spacing w:after="0" w:line="227" w:lineRule="auto"/>
        <w:rPr>
          <w:sz w:val="20"/>
          <w:szCs w:val="20"/>
          <w:color w:val="auto"/>
        </w:rPr>
      </w:pPr>
      <w:r>
        <w:rPr>
          <w:rFonts w:ascii="Arial" w:cs="Arial" w:eastAsia="Arial" w:hAnsi="Arial"/>
          <w:sz w:val="20"/>
          <w:szCs w:val="20"/>
          <w:color w:val="auto"/>
        </w:rPr>
        <w:t>Person that ceases to be a party hereto as a Lender pursuant to an Assignment and Assumption. Unless the context otherwise requires, the term “Lenders” includes the Swingline Lenders.</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“Lending Office” means, with respect to any Lender, the office of such Lender maintaining such Lender’s Extensions of Credit.</w:t>
      </w:r>
    </w:p>
    <w:p>
      <w:pPr>
        <w:spacing w:after="0" w:line="239"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“Letter of Credit Application” means an application and a reimbursement agreement, in the form specified by the applicable Issuing Lender from time to time, requesting such Issuing Lender to issue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1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16" w:name="page117"/>
    <w:bookmarkEnd w:id="116"/>
    <w:p>
      <w:pPr>
        <w:spacing w:after="0" w:line="243" w:lineRule="exact"/>
        <w:rPr>
          <w:sz w:val="20"/>
          <w:szCs w:val="20"/>
          <w:color w:val="auto"/>
        </w:rPr>
      </w:pPr>
    </w:p>
    <w:p>
      <w:pPr>
        <w:ind w:left="58"/>
        <w:spacing w:after="0"/>
        <w:rPr>
          <w:sz w:val="20"/>
          <w:szCs w:val="20"/>
          <w:color w:val="auto"/>
        </w:rPr>
      </w:pPr>
      <w:r>
        <w:rPr>
          <w:rFonts w:ascii="Arial" w:cs="Arial" w:eastAsia="Arial" w:hAnsi="Arial"/>
          <w:sz w:val="18"/>
          <w:szCs w:val="18"/>
          <w:color w:val="auto"/>
        </w:rPr>
        <w:t>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“Letters of Credit” means the collective reference to Canadian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Letters of Credit and US Letters of</w:t>
      </w:r>
    </w:p>
    <w:p>
      <w:pPr>
        <w:spacing w:after="0" w:line="201" w:lineRule="exact"/>
        <w:rPr>
          <w:sz w:val="20"/>
          <w:szCs w:val="20"/>
          <w:color w:val="auto"/>
        </w:rPr>
      </w:pPr>
    </w:p>
    <w:p>
      <w:pPr>
        <w:sectPr>
          <w:pgSz w:w="11900" w:h="16838" w:orient="portrait"/>
          <w:cols w:equalWidth="0" w:num="2">
            <w:col w:w="4878" w:space="720"/>
            <w:col w:w="5300"/>
          </w:cols>
          <w:pgMar w:left="382" w:top="757" w:right="6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698"/>
        <w:spacing w:after="0"/>
        <w:rPr>
          <w:sz w:val="20"/>
          <w:szCs w:val="20"/>
          <w:color w:val="auto"/>
        </w:rPr>
      </w:pPr>
      <w:r>
        <w:rPr>
          <w:rFonts w:ascii="Arial" w:cs="Arial" w:eastAsia="Arial" w:hAnsi="Arial"/>
          <w:sz w:val="20"/>
          <w:szCs w:val="20"/>
          <w:color w:val="auto"/>
        </w:rPr>
        <w:t>“Leverage Ratio Increase” has the meaning assigned thereto in Section 9.13(b).</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“LIBOR” means, subject to the implementation of a Benchmark Replacement in accordance with Section 5.8(c),</w:t>
      </w:r>
    </w:p>
    <w:p>
      <w:pPr>
        <w:spacing w:after="0" w:line="283" w:lineRule="exact"/>
        <w:rPr>
          <w:sz w:val="20"/>
          <w:szCs w:val="20"/>
          <w:color w:val="auto"/>
        </w:rPr>
      </w:pPr>
    </w:p>
    <w:p>
      <w:pPr>
        <w:ind w:left="58" w:firstLine="644"/>
        <w:spacing w:after="0" w:line="236" w:lineRule="auto"/>
        <w:tabs>
          <w:tab w:leader="none" w:pos="123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for any interest rate calculation with respect to a LIBOR Rate Loan, the rate of interest per annum determined on the basis of the rate for deposits in Dollars for a period equal to the applicable Interest</w:t>
      </w:r>
    </w:p>
    <w:p>
      <w:pPr>
        <w:spacing w:after="0" w:line="200" w:lineRule="exact"/>
        <w:rPr>
          <w:sz w:val="20"/>
          <w:szCs w:val="20"/>
          <w:color w:val="auto"/>
        </w:rPr>
      </w:pPr>
    </w:p>
    <w:p>
      <w:pPr>
        <w:spacing w:after="0" w:line="29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1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0898"/>
          </w:cols>
          <w:pgMar w:left="382" w:top="757" w:right="619" w:bottom="1440" w:gutter="0" w:footer="0" w:header="0"/>
          <w:type w:val="continuous"/>
        </w:sectPr>
      </w:pPr>
    </w:p>
    <w:bookmarkStart w:id="117" w:name="page118"/>
    <w:bookmarkEnd w:id="117"/>
    <w:p>
      <w:pPr>
        <w:ind w:left="60" w:right="20"/>
        <w:spacing w:after="0" w:line="212" w:lineRule="auto"/>
        <w:rPr>
          <w:sz w:val="20"/>
          <w:szCs w:val="20"/>
          <w:color w:val="auto"/>
        </w:rPr>
      </w:pPr>
      <w:r>
        <w:rPr>
          <w:rFonts w:ascii="Arial" w:cs="Arial" w:eastAsia="Arial" w:hAnsi="Arial"/>
          <w:sz w:val="20"/>
          <w:szCs w:val="20"/>
          <w:color w:val="auto"/>
        </w:rPr>
        <w:t>Period as published by the ICE Benchmark Administration Limited, a United Kingdom company, or a comparable or successor quoting service approved by the Administrative Agent, at approximately 11:00</w:t>
      </w:r>
    </w:p>
    <w:p>
      <w:pPr>
        <w:spacing w:after="0" w:line="1" w:lineRule="exact"/>
        <w:rPr>
          <w:sz w:val="20"/>
          <w:szCs w:val="20"/>
          <w:color w:val="auto"/>
        </w:rPr>
      </w:pPr>
    </w:p>
    <w:p>
      <w:pPr>
        <w:ind w:left="60"/>
        <w:spacing w:after="0" w:line="234" w:lineRule="auto"/>
        <w:rPr>
          <w:sz w:val="20"/>
          <w:szCs w:val="20"/>
          <w:color w:val="auto"/>
        </w:rPr>
      </w:pPr>
      <w:r>
        <w:rPr>
          <w:rFonts w:ascii="Arial" w:cs="Arial" w:eastAsia="Arial" w:hAnsi="Arial"/>
          <w:sz w:val="18"/>
          <w:szCs w:val="18"/>
          <w:color w:val="auto"/>
        </w:rPr>
        <w:t>a.m. (London time) two (2) London Banking Days prior to the first day of the applicable Interest Period. If, for any reason, such rate is not so published then “LIBOR” shall be determined by the Administrative Agent to be the arithmetic average of the rate per annum at which</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deposits in Dollars would be offered by first class banks in the London interbank market to the Administrative Agent at approximately 11:00 a.m. (London time) two (2) London Banking Days prior to the first day of the applicable Interest Period for a period equal to such</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Interest Period, and</w:t>
      </w:r>
    </w:p>
    <w:p>
      <w:pPr>
        <w:spacing w:after="0" w:line="200" w:lineRule="exact"/>
        <w:rPr>
          <w:sz w:val="20"/>
          <w:szCs w:val="20"/>
          <w:color w:val="auto"/>
        </w:rPr>
      </w:pPr>
    </w:p>
    <w:p>
      <w:pPr>
        <w:jc w:val="both"/>
        <w:ind w:left="60" w:right="20" w:firstLine="644"/>
        <w:spacing w:after="0" w:line="237" w:lineRule="auto"/>
        <w:tabs>
          <w:tab w:leader="none" w:pos="123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calculation by the Administrative Agent of LIBOR shall be conclusive and binding for all purposes, absent manifest error.</w:t>
      </w:r>
    </w:p>
    <w:p>
      <w:pPr>
        <w:spacing w:after="0" w:line="252" w:lineRule="exact"/>
        <w:rPr>
          <w:sz w:val="20"/>
          <w:szCs w:val="20"/>
          <w:color w:val="auto"/>
        </w:rPr>
      </w:pPr>
    </w:p>
    <w:p>
      <w:pPr>
        <w:ind w:left="60" w:right="20" w:firstLine="648"/>
        <w:spacing w:after="0" w:line="236" w:lineRule="auto"/>
        <w:rPr>
          <w:sz w:val="20"/>
          <w:szCs w:val="20"/>
          <w:color w:val="auto"/>
        </w:rPr>
      </w:pPr>
      <w:r>
        <w:rPr>
          <w:rFonts w:ascii="Arial" w:cs="Arial" w:eastAsia="Arial" w:hAnsi="Arial"/>
          <w:sz w:val="18"/>
          <w:szCs w:val="18"/>
          <w:color w:val="auto"/>
        </w:rPr>
        <w:t>Notwithstanding the foregoing, (x) in no event shall LIBOR (including, without limitation, any Benchmark Replacement with respect thereto) be less than the Floor and (y) unless otherwise specified in any amendment to this Agreement entered into in accordance</w:t>
      </w:r>
    </w:p>
    <w:p>
      <w:pPr>
        <w:ind w:left="60" w:right="20"/>
        <w:spacing w:after="0" w:line="220" w:lineRule="auto"/>
        <w:rPr>
          <w:sz w:val="20"/>
          <w:szCs w:val="20"/>
          <w:color w:val="auto"/>
        </w:rPr>
      </w:pPr>
      <w:r>
        <w:rPr>
          <w:rFonts w:ascii="Arial" w:cs="Arial" w:eastAsia="Arial" w:hAnsi="Arial"/>
          <w:sz w:val="20"/>
          <w:szCs w:val="20"/>
          <w:color w:val="auto"/>
        </w:rPr>
        <w:t>with Section 5.8(c), in the event that a Benchmark Replacement with respect to LIBOR is implemented then all references herein to LIBOR shall be deemed references to such Benchmark Replacement.</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“LIBOR Rate” means a rate per annum determined by the Administrative Agent pursuant to the following formula:</w:t>
      </w:r>
    </w:p>
    <w:p>
      <w:pPr>
        <w:spacing w:after="0" w:line="216" w:lineRule="exact"/>
        <w:rPr>
          <w:sz w:val="20"/>
          <w:szCs w:val="20"/>
          <w:color w:val="auto"/>
        </w:rPr>
      </w:pPr>
    </w:p>
    <w:p>
      <w:pPr>
        <w:ind w:left="1800"/>
        <w:spacing w:after="0"/>
        <w:tabs>
          <w:tab w:leader="none" w:pos="3160" w:val="left"/>
        </w:tabs>
        <w:rPr>
          <w:sz w:val="20"/>
          <w:szCs w:val="20"/>
          <w:color w:val="auto"/>
        </w:rPr>
      </w:pPr>
      <w:r>
        <w:rPr>
          <w:rFonts w:ascii="Arial" w:cs="Arial" w:eastAsia="Arial" w:hAnsi="Arial"/>
          <w:sz w:val="20"/>
          <w:szCs w:val="20"/>
          <w:color w:val="auto"/>
        </w:rPr>
        <w:t>LIBOR Rate =</w:t>
      </w:r>
      <w:r>
        <w:rPr>
          <w:sz w:val="20"/>
          <w:szCs w:val="20"/>
          <w:color w:val="auto"/>
        </w:rPr>
        <w:tab/>
      </w:r>
      <w:r>
        <w:rPr>
          <w:rFonts w:ascii="Arial" w:cs="Arial" w:eastAsia="Arial" w:hAnsi="Arial"/>
          <w:sz w:val="19"/>
          <w:szCs w:val="19"/>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156210</wp:posOffset>
            </wp:positionV>
            <wp:extent cx="2674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0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1.00-Eurodollar Reserve Percentage</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“LIBOR Rate Loan” means any Loan bearing interest at a rate based upon the LIBOR Rate as provided in Section 5.1(a).</w:t>
      </w:r>
    </w:p>
    <w:p>
      <w:pPr>
        <w:spacing w:after="0" w:line="295" w:lineRule="exact"/>
        <w:rPr>
          <w:sz w:val="20"/>
          <w:szCs w:val="20"/>
          <w:color w:val="auto"/>
        </w:rPr>
      </w:pPr>
    </w:p>
    <w:p>
      <w:pPr>
        <w:ind w:left="60" w:right="20" w:firstLine="648"/>
        <w:spacing w:after="0" w:line="236" w:lineRule="auto"/>
        <w:rPr>
          <w:sz w:val="20"/>
          <w:szCs w:val="20"/>
          <w:color w:val="auto"/>
        </w:rPr>
      </w:pPr>
      <w:r>
        <w:rPr>
          <w:rFonts w:ascii="Arial" w:cs="Arial" w:eastAsia="Arial" w:hAnsi="Arial"/>
          <w:sz w:val="18"/>
          <w:szCs w:val="18"/>
          <w:color w:val="auto"/>
        </w:rPr>
        <w:t>“Lien” means, with respect to any asset, any mortgage, leasehold mortgage, lien, pledge, charge, security interest, hypothecation or encumbrance of any kind in respect of such asset whether statutory, based on common law, contract, or otherwise. For the purposes of</w:t>
      </w:r>
    </w:p>
    <w:p>
      <w:pPr>
        <w:ind w:left="60"/>
        <w:spacing w:after="0" w:line="266" w:lineRule="auto"/>
        <w:rPr>
          <w:sz w:val="20"/>
          <w:szCs w:val="20"/>
          <w:color w:val="auto"/>
        </w:rPr>
      </w:pPr>
      <w:r>
        <w:rPr>
          <w:rFonts w:ascii="Arial" w:cs="Arial" w:eastAsia="Arial" w:hAnsi="Arial"/>
          <w:sz w:val="18"/>
          <w:szCs w:val="18"/>
          <w:color w:val="auto"/>
        </w:rPr>
        <w:t>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“Limited Condition Acquisition” means any Acquisition that (a) is not prohibited hereunder and</w:t>
      </w:r>
    </w:p>
    <w:p>
      <w:pPr>
        <w:spacing w:after="0" w:line="94" w:lineRule="exact"/>
        <w:rPr>
          <w:sz w:val="20"/>
          <w:szCs w:val="20"/>
          <w:color w:val="auto"/>
        </w:rPr>
      </w:pPr>
    </w:p>
    <w:p>
      <w:pPr>
        <w:ind w:left="700" w:right="2160" w:hanging="644"/>
        <w:spacing w:after="0" w:line="486" w:lineRule="auto"/>
        <w:tabs>
          <w:tab w:leader="none" w:pos="68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is not conditioned on the availability of, or on obtaining, third-party financing. “Linetec” means Linetec Services,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4"/>
          <w:szCs w:val="14"/>
          <w:color w:val="FF0000"/>
          <w:strike w:val="1"/>
        </w:rPr>
        <w:t>146960219_6</w:t>
      </w:r>
    </w:p>
    <w:p>
      <w:pPr>
        <w:ind w:left="340" w:hanging="338"/>
        <w:spacing w:after="0" w:line="227" w:lineRule="auto"/>
        <w:tabs>
          <w:tab w:leader="none" w:pos="340" w:val="left"/>
        </w:tabs>
        <w:numPr>
          <w:ilvl w:val="0"/>
          <w:numId w:val="12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80"/>
          </w:cols>
          <w:pgMar w:left="380" w:top="1405" w:right="439" w:bottom="1440" w:gutter="0" w:footer="0" w:header="0"/>
        </w:sectPr>
      </w:pPr>
    </w:p>
    <w:bookmarkStart w:id="118" w:name="page119"/>
    <w:bookmarkEnd w:id="118"/>
    <w:p>
      <w:pPr>
        <w:spacing w:after="0" w:line="209" w:lineRule="exact"/>
        <w:rPr>
          <w:sz w:val="20"/>
          <w:szCs w:val="20"/>
          <w:color w:val="auto"/>
        </w:rPr>
      </w:pPr>
    </w:p>
    <w:p>
      <w:pPr>
        <w:ind w:left="698"/>
        <w:spacing w:after="0"/>
        <w:rPr>
          <w:sz w:val="20"/>
          <w:szCs w:val="20"/>
          <w:color w:val="auto"/>
        </w:rPr>
      </w:pPr>
      <w:r>
        <w:rPr>
          <w:rFonts w:ascii="Arial" w:cs="Arial" w:eastAsia="Arial" w:hAnsi="Arial"/>
          <w:sz w:val="18"/>
          <w:szCs w:val="18"/>
          <w:color w:val="auto"/>
        </w:rPr>
        <w:t>“Linetec Purchase Agreement” means that certain Membership Interest Purchase Agreement dated November 26, 2018 by and</w:t>
      </w:r>
    </w:p>
    <w:p>
      <w:pPr>
        <w:spacing w:after="0" w:line="12" w:lineRule="exact"/>
        <w:rPr>
          <w:sz w:val="20"/>
          <w:szCs w:val="20"/>
          <w:color w:val="auto"/>
        </w:rPr>
      </w:pPr>
    </w:p>
    <w:p>
      <w:pPr>
        <w:ind w:left="58"/>
        <w:spacing w:after="0" w:line="220" w:lineRule="auto"/>
        <w:rPr>
          <w:sz w:val="20"/>
          <w:szCs w:val="20"/>
          <w:color w:val="auto"/>
        </w:rPr>
      </w:pPr>
      <w:r>
        <w:rPr>
          <w:rFonts w:ascii="Arial" w:cs="Arial" w:eastAsia="Arial" w:hAnsi="Arial"/>
          <w:sz w:val="20"/>
          <w:szCs w:val="20"/>
          <w:color w:val="auto"/>
        </w:rPr>
        <w:t>among, inter alia, Centuri U.S. Division, Linetec and the existing sole equity holders of Linetec, including all exhibits, schedules and annexes thereto.</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“Loan Documents” means, collectively, this Agreement, each Note, the Letter of Credit Applications, the Security Documents, the Guaranty Agreements, the Fee Letters, each Acceptable Intercreditor Agreement, each Refinancing Amendment, each Incremental</w:t>
      </w:r>
    </w:p>
    <w:p>
      <w:pPr>
        <w:ind w:left="58"/>
        <w:spacing w:after="0" w:line="235" w:lineRule="auto"/>
        <w:rPr>
          <w:sz w:val="20"/>
          <w:szCs w:val="20"/>
          <w:color w:val="auto"/>
        </w:rPr>
      </w:pPr>
      <w:r>
        <w:rPr>
          <w:rFonts w:ascii="Arial" w:cs="Arial" w:eastAsia="Arial" w:hAnsi="Arial"/>
          <w:sz w:val="18"/>
          <w:szCs w:val="18"/>
          <w:color w:val="auto"/>
        </w:rPr>
        <w:t>Amendment, each Extension Amendment and each other document, instrument, certificate and agreement executed and delivered by the</w:t>
      </w:r>
    </w:p>
    <w:p>
      <w:pPr>
        <w:ind w:left="58"/>
        <w:spacing w:after="0" w:line="226" w:lineRule="auto"/>
        <w:rPr>
          <w:sz w:val="20"/>
          <w:szCs w:val="20"/>
          <w:color w:val="auto"/>
        </w:rPr>
      </w:pPr>
      <w:r>
        <w:rPr>
          <w:rFonts w:ascii="Arial" w:cs="Arial" w:eastAsia="Arial" w:hAnsi="Arial"/>
          <w:sz w:val="18"/>
          <w:szCs w:val="18"/>
          <w:color w:val="auto"/>
        </w:rPr>
        <w:t>Credit Parties or any of their respective Subsidiaries in favor of or provided to the Administrative Agent or any Secured Party in connection with this Agreement or otherwise referred to herein or contemplated hereby (excluding any Secured Hedge Agreement and any</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Secured Cash Management Agreement).</w:t>
      </w:r>
    </w:p>
    <w:p>
      <w:pPr>
        <w:spacing w:after="0" w:line="200"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“Loans” means the collective reference to the Revolving Credit Loans, the Term Loans and the Swingline Loans, and “Loan” means any of such Loans.</w:t>
      </w:r>
    </w:p>
    <w:p>
      <w:pPr>
        <w:spacing w:after="0" w:line="196"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“London Banking Day” means any day on which dealings in Dollar deposits are conducted by and between banks in the London interbank Eurodollar market.</w:t>
      </w:r>
    </w:p>
    <w:p>
      <w:pPr>
        <w:spacing w:after="0" w:line="196" w:lineRule="exact"/>
        <w:rPr>
          <w:sz w:val="20"/>
          <w:szCs w:val="20"/>
          <w:color w:val="auto"/>
        </w:rPr>
      </w:pPr>
    </w:p>
    <w:p>
      <w:pPr>
        <w:ind w:left="58" w:firstLine="648"/>
        <w:spacing w:after="0" w:line="274" w:lineRule="auto"/>
        <w:rPr>
          <w:sz w:val="20"/>
          <w:szCs w:val="20"/>
          <w:color w:val="auto"/>
        </w:rPr>
      </w:pPr>
      <w:r>
        <w:rPr>
          <w:rFonts w:ascii="Arial" w:cs="Arial" w:eastAsia="Arial" w:hAnsi="Arial"/>
          <w:sz w:val="16"/>
          <w:szCs w:val="16"/>
          <w:color w:val="auto"/>
        </w:rPr>
        <w:t>“Material Adverse Effect” means, with respect to the Consolidated Companies, (a) a material adverse effect on the properties, business, operations or financial condition of such Persons, taken as a whole, (b) a material impairment of the ability of any such Person to</w:t>
      </w:r>
    </w:p>
    <w:p>
      <w:pPr>
        <w:spacing w:after="0" w:line="1" w:lineRule="exact"/>
        <w:rPr>
          <w:sz w:val="20"/>
          <w:szCs w:val="20"/>
          <w:color w:val="auto"/>
        </w:rPr>
      </w:pPr>
    </w:p>
    <w:p>
      <w:pPr>
        <w:ind w:left="58"/>
        <w:spacing w:after="0" w:line="215" w:lineRule="auto"/>
        <w:rPr>
          <w:sz w:val="20"/>
          <w:szCs w:val="20"/>
          <w:color w:val="auto"/>
        </w:rPr>
      </w:pPr>
      <w:r>
        <w:rPr>
          <w:rFonts w:ascii="Arial" w:cs="Arial" w:eastAsia="Arial" w:hAnsi="Arial"/>
          <w:sz w:val="19"/>
          <w:szCs w:val="19"/>
          <w:color w:val="auto"/>
        </w:rPr>
        <w:t>perform its obligations under the Loan Documents to which it is a party, (c) a material impairment of the rights and remedies of the Administrative Agent or any Lender under any Loan Document or (d) an impairment of the legality, validity, binding effect or</w:t>
      </w:r>
    </w:p>
    <w:p>
      <w:pPr>
        <w:ind w:left="58"/>
        <w:spacing w:after="0"/>
        <w:rPr>
          <w:sz w:val="20"/>
          <w:szCs w:val="20"/>
          <w:color w:val="auto"/>
        </w:rPr>
      </w:pPr>
      <w:r>
        <w:rPr>
          <w:rFonts w:ascii="Arial" w:cs="Arial" w:eastAsia="Arial" w:hAnsi="Arial"/>
          <w:sz w:val="20"/>
          <w:szCs w:val="20"/>
          <w:color w:val="auto"/>
        </w:rPr>
        <w:t>enforceability against any Credit Party of any Loan Document to which it is a party.</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“Material Subsidiary” means, as of any date, any Subsidiary that is not an Immaterial Subsidiary.</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9"/>
          <w:szCs w:val="19"/>
          <w:color w:val="auto"/>
        </w:rPr>
        <w:t>“Minimum Collateral Amount” means, at any time, (a) with respect to Cash Collateral consisting of cash or deposit account</w:t>
      </w:r>
    </w:p>
    <w:p>
      <w:pPr>
        <w:ind w:left="58"/>
        <w:spacing w:after="0" w:line="226" w:lineRule="auto"/>
        <w:rPr>
          <w:sz w:val="20"/>
          <w:szCs w:val="20"/>
          <w:color w:val="auto"/>
        </w:rPr>
      </w:pPr>
      <w:r>
        <w:rPr>
          <w:rFonts w:ascii="Arial" w:cs="Arial" w:eastAsia="Arial" w:hAnsi="Arial"/>
          <w:sz w:val="18"/>
          <w:szCs w:val="18"/>
          <w:color w:val="auto"/>
        </w:rPr>
        <w:t>balances, an amount equal to 100% of the sum of (i) the Fronting Exposure of the Issuing Lenders with respect to Letters of Credit issued and outstanding at such time and (ii) the Fronting Exposure of the Swingline Lenders with respect to all Swingline Loans outstanding at</w:t>
      </w:r>
    </w:p>
    <w:p>
      <w:pPr>
        <w:spacing w:after="0" w:line="2"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such time and (b) otherwise, an amount determined by the Administrative Agent and each of the applicable Issuing Lenders that is entitled to Cash Collateral hereunder at such time in their sole discretion.</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20"/>
          <w:szCs w:val="20"/>
          <w:color w:val="auto"/>
        </w:rPr>
        <w:t>“Moody’s” means Moody’s Investors Service, Inc.</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“Multiemployer Plan” means a “multiemployer plan” as defined in Section 4001(a)(3) of ERISA to which any Credit Party or any</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ERISA Affiliate is making, or is accruing an obligation to make, or has accrued an obligation to make contributions within the preceding seven (7) years.</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“Net Cash Proceeds” means, as applicable, (a) with respect to any Asset Disposition or Insurance and Condemnation Event, the gross proceeds received by any Credit Party or any of its Subsidiaries therefrom (including any cash, Cash Equivalents, deferred payment</w:t>
      </w:r>
    </w:p>
    <w:p>
      <w:pPr>
        <w:ind w:left="58"/>
        <w:spacing w:after="0" w:line="226" w:lineRule="auto"/>
        <w:rPr>
          <w:sz w:val="20"/>
          <w:szCs w:val="20"/>
          <w:color w:val="auto"/>
        </w:rPr>
      </w:pPr>
      <w:r>
        <w:rPr>
          <w:rFonts w:ascii="Arial" w:cs="Arial" w:eastAsia="Arial" w:hAnsi="Arial"/>
          <w:sz w:val="18"/>
          <w:szCs w:val="18"/>
          <w:color w:val="auto"/>
        </w:rPr>
        <w:t>pursuant to, or by monetization of, a note receivable or otherwise, as and when received) less the sum of (i) in the case of an Asset Disposition, all income taxes and other taxes assessed by, or reasonably estimated to be payable to, a Governmental Authority as a result</w:t>
      </w:r>
    </w:p>
    <w:p>
      <w:pPr>
        <w:ind w:left="58"/>
        <w:spacing w:after="0" w:line="236" w:lineRule="auto"/>
        <w:rPr>
          <w:sz w:val="20"/>
          <w:szCs w:val="20"/>
          <w:color w:val="auto"/>
        </w:rPr>
      </w:pPr>
      <w:r>
        <w:rPr>
          <w:rFonts w:ascii="Arial" w:cs="Arial" w:eastAsia="Arial" w:hAnsi="Arial"/>
          <w:sz w:val="18"/>
          <w:szCs w:val="18"/>
          <w:color w:val="auto"/>
        </w:rPr>
        <w:t>of such transaction (provided that if such estimated taxes exceed the amount of actual taxes required to be paid in cash in respect of such</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Asset Disposition, the amount of such excess shall constitute Net Cash Proceeds), (ii) all customary out-of-pocket fees and expenses incurred in connection with such transaction or event and (iii) the principal amount of, premium, if any, and interest on any Indebtedness</w:t>
      </w:r>
    </w:p>
    <w:p>
      <w:pPr>
        <w:spacing w:after="0" w:line="2"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secured on a pari passu on senior ranking to the Liens created under the Loan Documents by a Lien on the asset (or a portion thereof) disposed of, which Indebtedness is required to be repaid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2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19" w:name="page120"/>
    <w:bookmarkEnd w:id="119"/>
    <w:p>
      <w:pPr>
        <w:spacing w:after="0" w:line="209" w:lineRule="exact"/>
        <w:rPr>
          <w:sz w:val="20"/>
          <w:szCs w:val="20"/>
          <w:color w:val="auto"/>
        </w:rPr>
      </w:pPr>
    </w:p>
    <w:p>
      <w:pPr>
        <w:ind w:left="58"/>
        <w:spacing w:after="0"/>
        <w:rPr>
          <w:sz w:val="20"/>
          <w:szCs w:val="20"/>
          <w:color w:val="auto"/>
        </w:rPr>
      </w:pPr>
      <w:r>
        <w:rPr>
          <w:rFonts w:ascii="Arial" w:cs="Arial" w:eastAsia="Arial" w:hAnsi="Arial"/>
          <w:sz w:val="16"/>
          <w:szCs w:val="16"/>
          <w:color w:val="auto"/>
        </w:rPr>
        <w:t>connection with such transaction or event, and (b) with respect to any Debt Issuance, the gross cash proceeds received by any Credit Party</w:t>
      </w:r>
    </w:p>
    <w:p>
      <w:pPr>
        <w:spacing w:after="0" w:line="35"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or any of its Subsidiaries therefrom less all customary out-of-pocket legal, underwriting and other fees and expenses (whether similar or dissimilar to the foregoing) incurred in connection therewith.</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“Non-Consenting Lender” means any Lender that does not approve any consent, waiver, amendment, modification or termination of any Loan Document that (a) requires the approval of all Lenders or all affected Lenders in accordance with the terms of Section 12.2</w:t>
      </w:r>
    </w:p>
    <w:p>
      <w:pPr>
        <w:ind w:left="58"/>
        <w:spacing w:after="0"/>
        <w:rPr>
          <w:sz w:val="20"/>
          <w:szCs w:val="20"/>
          <w:color w:val="auto"/>
        </w:rPr>
      </w:pPr>
      <w:r>
        <w:rPr>
          <w:rFonts w:ascii="Arial" w:cs="Arial" w:eastAsia="Arial" w:hAnsi="Arial"/>
          <w:sz w:val="20"/>
          <w:szCs w:val="20"/>
          <w:color w:val="auto"/>
        </w:rPr>
        <w:t>and (b) has been approved by the Required Lenders or the Required Facility Lenders, as applicable.</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“Non-Credit Party Subsidiary” means any Subsidiary of a Consolidated Company that is not a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2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20" w:name="page121"/>
    <w:bookmarkEnd w:id="120"/>
    <w:p>
      <w:pPr>
        <w:ind w:left="5658"/>
        <w:spacing w:after="0"/>
        <w:rPr>
          <w:sz w:val="20"/>
          <w:szCs w:val="20"/>
          <w:color w:val="auto"/>
        </w:rPr>
      </w:pPr>
      <w:r>
        <w:rPr>
          <w:rFonts w:ascii="Arial" w:cs="Arial" w:eastAsia="Arial" w:hAnsi="Arial"/>
          <w:sz w:val="19"/>
          <w:szCs w:val="19"/>
          <w:color w:val="auto"/>
        </w:rPr>
        <w:t>“Non-Defaulting Lender” means, at any time, each Lender that is</w:t>
      </w:r>
    </w:p>
    <w:p>
      <w:pPr>
        <w:ind w:left="58"/>
        <w:spacing w:after="0" w:line="181" w:lineRule="auto"/>
        <w:tabs>
          <w:tab w:leader="none" w:pos="5638" w:val="left"/>
        </w:tabs>
        <w:rPr>
          <w:sz w:val="20"/>
          <w:szCs w:val="20"/>
          <w:color w:val="auto"/>
        </w:rPr>
      </w:pPr>
      <w:r>
        <w:rPr>
          <w:rFonts w:ascii="Arial" w:cs="Arial" w:eastAsia="Arial" w:hAnsi="Arial"/>
          <w:sz w:val="27"/>
          <w:szCs w:val="27"/>
          <w:color w:val="auto"/>
          <w:vertAlign w:val="subscript"/>
        </w:rPr>
        <w:t>time.</w:t>
      </w:r>
      <w:r>
        <w:rPr>
          <w:sz w:val="20"/>
          <w:szCs w:val="20"/>
          <w:color w:val="auto"/>
        </w:rPr>
        <w:tab/>
      </w:r>
      <w:r>
        <w:rPr>
          <w:rFonts w:ascii="Arial" w:cs="Arial" w:eastAsia="Arial" w:hAnsi="Arial"/>
          <w:sz w:val="15"/>
          <w:szCs w:val="15"/>
          <w:color w:val="auto"/>
        </w:rPr>
        <w:t>not a Defaulting Lender at such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“Notes” means the collective reference to the US Revolving Credit Notes, the US Swingline Note, the US Term Loan Notes, the Canadian Revolving Credit Notes, the Canadian Swingline Note and the Canadian Term Loan Notes.</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“Notice of Account Designation” has the meaning assigned thereto in Section 2.3(b).</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“Notice of Borrowing” has the meaning assigned thereto in Section 2.3(a).</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“Notice of Conversion/Continuation” has the meaning assigned thereto in Section 5.2.</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“Notice of Prepayment” has the meaning assigned thereto in Section 2.4(c).</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“Obligations” means, collectively, the Canadian Obligations and the US Obligations.</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“OFAC” means the U.S. Department of the Treasury’s Office of Foreign Assets Control.</w:t>
      </w:r>
    </w:p>
    <w:p>
      <w:pPr>
        <w:spacing w:after="0" w:line="283" w:lineRule="exact"/>
        <w:rPr>
          <w:sz w:val="20"/>
          <w:szCs w:val="20"/>
          <w:color w:val="auto"/>
        </w:rPr>
      </w:pPr>
    </w:p>
    <w:p>
      <w:pPr>
        <w:ind w:left="58" w:firstLine="648"/>
        <w:spacing w:after="0" w:line="229" w:lineRule="auto"/>
        <w:rPr>
          <w:sz w:val="20"/>
          <w:szCs w:val="20"/>
          <w:color w:val="auto"/>
        </w:rPr>
      </w:pPr>
      <w:r>
        <w:rPr>
          <w:rFonts w:ascii="Arial" w:cs="Arial" w:eastAsia="Arial" w:hAnsi="Arial"/>
          <w:sz w:val="20"/>
          <w:szCs w:val="20"/>
          <w:color w:val="auto"/>
        </w:rPr>
        <w:t xml:space="preserve">“Officer’s Compliance Certificate” means a certificate of the chief financial officer or the treasurer of Centuri substantially in the form attached as </w:t>
      </w:r>
      <w:r>
        <w:rPr>
          <w:rFonts w:ascii="Arial" w:cs="Arial" w:eastAsia="Arial" w:hAnsi="Arial"/>
          <w:sz w:val="20"/>
          <w:szCs w:val="20"/>
          <w:b w:val="1"/>
          <w:bCs w:val="1"/>
          <w:i w:val="1"/>
          <w:iCs w:val="1"/>
          <w:color w:val="auto"/>
        </w:rPr>
        <w:t>Exhibit F</w:t>
      </w:r>
      <w:r>
        <w:rPr>
          <w:rFonts w:ascii="Arial" w:cs="Arial" w:eastAsia="Arial" w:hAnsi="Arial"/>
          <w:sz w:val="20"/>
          <w:szCs w:val="20"/>
          <w:color w:val="auto"/>
        </w:rPr>
        <w:t>.</w:t>
      </w:r>
    </w:p>
    <w:p>
      <w:pPr>
        <w:spacing w:after="0" w:line="209" w:lineRule="exact"/>
        <w:rPr>
          <w:sz w:val="20"/>
          <w:szCs w:val="20"/>
          <w:color w:val="auto"/>
        </w:rPr>
      </w:pPr>
    </w:p>
    <w:p>
      <w:pPr>
        <w:jc w:val="right"/>
        <w:ind w:left="738"/>
        <w:spacing w:after="0" w:line="229" w:lineRule="auto"/>
        <w:rPr>
          <w:sz w:val="20"/>
          <w:szCs w:val="20"/>
          <w:color w:val="auto"/>
        </w:rPr>
      </w:pPr>
      <w:r>
        <w:rPr>
          <w:rFonts w:ascii="Arial" w:cs="Arial" w:eastAsia="Arial" w:hAnsi="Arial"/>
          <w:sz w:val="20"/>
          <w:szCs w:val="20"/>
          <w:color w:val="auto"/>
        </w:rPr>
        <w:t>“Operating Lease” means, as to any Person as determined in accordance with GAAP, any lease of Property (whether real, personal or mixed) by such Person as lessee which is not a Capital Lease Obligation.</w:t>
      </w:r>
    </w:p>
    <w:p>
      <w:pPr>
        <w:spacing w:after="0" w:line="196" w:lineRule="exact"/>
        <w:rPr>
          <w:sz w:val="20"/>
          <w:szCs w:val="20"/>
          <w:color w:val="auto"/>
        </w:rPr>
      </w:pPr>
    </w:p>
    <w:p>
      <w:pPr>
        <w:jc w:val="both"/>
        <w:ind w:left="58" w:firstLine="648"/>
        <w:spacing w:after="0" w:line="244" w:lineRule="auto"/>
        <w:rPr>
          <w:sz w:val="20"/>
          <w:szCs w:val="20"/>
          <w:color w:val="auto"/>
        </w:rPr>
      </w:pPr>
      <w:r>
        <w:rPr>
          <w:rFonts w:ascii="Arial" w:cs="Arial" w:eastAsia="Arial" w:hAnsi="Arial"/>
          <w:sz w:val="18"/>
          <w:szCs w:val="18"/>
          <w:color w:val="auto"/>
        </w:rPr>
        <w:t>“Other Connection Taxes” means, with respect to any Recipient, Taxes imposed as a result of a present or former connection between such Recipient and the jurisdiction imposing such Tax (other than connections arising from such Recipient having executed,</w:t>
      </w:r>
    </w:p>
    <w:p>
      <w:pPr>
        <w:ind w:left="58"/>
        <w:spacing w:after="0" w:line="226" w:lineRule="auto"/>
        <w:rPr>
          <w:sz w:val="20"/>
          <w:szCs w:val="20"/>
          <w:color w:val="auto"/>
        </w:rPr>
      </w:pPr>
      <w:r>
        <w:rPr>
          <w:rFonts w:ascii="Arial" w:cs="Arial" w:eastAsia="Arial" w:hAnsi="Arial"/>
          <w:sz w:val="18"/>
          <w:szCs w:val="18"/>
          <w:color w:val="auto"/>
        </w:rPr>
        <w:t>delivered, become a party to, performed its obligations under, received payments under, received or perfected a security interest under, engaged in any other transaction pursuant to or enforced any Loan Document, or sold or assigned an interest in any Loan or Loan</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Document).</w:t>
      </w:r>
    </w:p>
    <w:p>
      <w:pPr>
        <w:spacing w:after="0" w:line="200" w:lineRule="exact"/>
        <w:rPr>
          <w:sz w:val="20"/>
          <w:szCs w:val="20"/>
          <w:color w:val="auto"/>
        </w:rPr>
      </w:pPr>
    </w:p>
    <w:p>
      <w:pPr>
        <w:ind w:left="58" w:right="20" w:firstLine="648"/>
        <w:spacing w:after="0" w:line="244" w:lineRule="auto"/>
        <w:rPr>
          <w:sz w:val="20"/>
          <w:szCs w:val="20"/>
          <w:color w:val="auto"/>
        </w:rPr>
      </w:pPr>
      <w:r>
        <w:rPr>
          <w:rFonts w:ascii="Arial" w:cs="Arial" w:eastAsia="Arial" w:hAnsi="Arial"/>
          <w:sz w:val="18"/>
          <w:szCs w:val="18"/>
          <w:color w:val="auto"/>
        </w:rPr>
        <w:t>“Other Taxes” means all present or future stamp, court, documentary, intangible, recording, filing or similar Taxes that arise from any payment made under, from the execution, delivery, performance, enforcement or registration of, from the receipt or perfection of a</w:t>
      </w:r>
    </w:p>
    <w:p>
      <w:pPr>
        <w:ind w:left="58" w:right="20"/>
        <w:spacing w:after="0" w:line="220" w:lineRule="auto"/>
        <w:rPr>
          <w:sz w:val="20"/>
          <w:szCs w:val="20"/>
          <w:color w:val="auto"/>
        </w:rPr>
      </w:pPr>
      <w:r>
        <w:rPr>
          <w:rFonts w:ascii="Arial" w:cs="Arial" w:eastAsia="Arial" w:hAnsi="Arial"/>
          <w:sz w:val="20"/>
          <w:szCs w:val="20"/>
          <w:color w:val="auto"/>
        </w:rPr>
        <w:t>security interest under, or otherwise with respect to, any Loan Document, except any such Taxes that are Other Connection Taxes imposed with respect to an assignment (other than an assignment made pursuant to Section 5.12).</w:t>
      </w:r>
    </w:p>
    <w:p>
      <w:pPr>
        <w:spacing w:after="0" w:line="200" w:lineRule="exact"/>
        <w:rPr>
          <w:sz w:val="20"/>
          <w:szCs w:val="20"/>
          <w:color w:val="auto"/>
        </w:rPr>
      </w:pPr>
    </w:p>
    <w:p>
      <w:pPr>
        <w:spacing w:after="0" w:line="297"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2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57" w:right="439" w:bottom="1440" w:gutter="0" w:footer="0" w:header="0"/>
        </w:sectPr>
      </w:pPr>
    </w:p>
    <w:bookmarkStart w:id="121" w:name="page122"/>
    <w:bookmarkEnd w:id="121"/>
    <w:p>
      <w:pPr>
        <w:ind w:left="698"/>
        <w:spacing w:after="0"/>
        <w:rPr>
          <w:sz w:val="20"/>
          <w:szCs w:val="20"/>
          <w:color w:val="auto"/>
        </w:rPr>
      </w:pPr>
      <w:r>
        <w:rPr>
          <w:rFonts w:ascii="Arial" w:cs="Arial" w:eastAsia="Arial" w:hAnsi="Arial"/>
          <w:sz w:val="20"/>
          <w:szCs w:val="20"/>
          <w:color w:val="auto"/>
        </w:rPr>
        <w:t>“Participant” has the meaning assigned thereto in Section 12.9(d).</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“Participant Register” has the meaning assigned thereto in Section 12.9(d).</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“PATRIOT Act” means the USA PATRIOT Act (Title III of Pub. L. 107-56 (signed into law October 26, 2001)).</w:t>
      </w:r>
    </w:p>
    <w:p>
      <w:pPr>
        <w:spacing w:after="0" w:line="21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“Payment Recipient” has the meaning assigned thereto in Section 11.11(a).</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“PBGC” means the Pension Benefit Guaranty Corporation or any successor agency.</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“Pension Plan” means any Employee Benefit Plan, other than a Multiemployer Plan, which is subject to the provisions of Title IV</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of ERISA or Section 412 of the Code and which (a) is maintained, funded or administered for the employees of any Credit Party or any ERISA Affiliate or (b) has at any time within the preceding seven (7) years been maintained, funded or administered for the employees of</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any Credit Party or any current or former ERISA Affiliates and shall not include any Canadian Pension Plan.</w:t>
      </w:r>
    </w:p>
    <w:p>
      <w:pPr>
        <w:spacing w:after="0" w:line="200"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“Permitted Acquisition” means any Acquisition by any Credit Party if each such Acquisition meets all of the following requirements (subject, in the case of a Permitted Acquisition that is a Limited Condition Acquisition, to Section 1.12):</w:t>
      </w:r>
    </w:p>
    <w:p>
      <w:pPr>
        <w:spacing w:after="0" w:line="263" w:lineRule="exact"/>
        <w:rPr>
          <w:sz w:val="20"/>
          <w:szCs w:val="20"/>
          <w:color w:val="auto"/>
        </w:rPr>
      </w:pPr>
    </w:p>
    <w:p>
      <w:pPr>
        <w:jc w:val="both"/>
        <w:ind w:left="58" w:firstLine="644"/>
        <w:spacing w:after="0" w:line="235" w:lineRule="auto"/>
        <w:tabs>
          <w:tab w:leader="none" w:pos="123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95" w:lineRule="exact"/>
        <w:rPr>
          <w:rFonts w:ascii="Arial" w:cs="Arial" w:eastAsia="Arial" w:hAnsi="Arial"/>
          <w:sz w:val="19"/>
          <w:szCs w:val="19"/>
          <w:color w:val="auto"/>
        </w:rPr>
      </w:pPr>
    </w:p>
    <w:p>
      <w:pPr>
        <w:jc w:val="both"/>
        <w:ind w:left="58" w:firstLine="644"/>
        <w:spacing w:after="0" w:line="227" w:lineRule="auto"/>
        <w:tabs>
          <w:tab w:leader="none" w:pos="123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197" w:lineRule="exact"/>
        <w:rPr>
          <w:rFonts w:ascii="Arial" w:cs="Arial" w:eastAsia="Arial" w:hAnsi="Arial"/>
          <w:sz w:val="20"/>
          <w:szCs w:val="20"/>
          <w:color w:val="auto"/>
        </w:rPr>
      </w:pPr>
    </w:p>
    <w:p>
      <w:pPr>
        <w:jc w:val="both"/>
        <w:ind w:left="58" w:right="20" w:firstLine="643"/>
        <w:spacing w:after="0" w:line="223" w:lineRule="auto"/>
        <w:tabs>
          <w:tab w:leader="none" w:pos="123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Person or business to be acquired shall be in a line of business permitted pursuant to Section 9.11 or, in the case of an Acquisition of assets, the assets acquired are useful in the business of the Consolidated Companies as conducted immediately prior to such Acquisition;</w:t>
      </w:r>
    </w:p>
    <w:p>
      <w:pPr>
        <w:spacing w:after="0" w:line="209" w:lineRule="exact"/>
        <w:rPr>
          <w:rFonts w:ascii="Arial" w:cs="Arial" w:eastAsia="Arial" w:hAnsi="Arial"/>
          <w:sz w:val="20"/>
          <w:szCs w:val="20"/>
          <w:color w:val="auto"/>
        </w:rPr>
      </w:pPr>
    </w:p>
    <w:p>
      <w:pPr>
        <w:ind w:left="58" w:right="20" w:firstLine="644"/>
        <w:spacing w:after="0" w:line="229" w:lineRule="auto"/>
        <w:tabs>
          <w:tab w:leader="none" w:pos="123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such transaction is a merger, amalgamation, or consolidation, a Borrower or a Subsidiary Guarantor shall be the surviving Person and no Change in Control shall have been effected thereby;</w:t>
      </w:r>
    </w:p>
    <w:p>
      <w:pPr>
        <w:spacing w:after="0" w:line="209" w:lineRule="exact"/>
        <w:rPr>
          <w:rFonts w:ascii="Arial" w:cs="Arial" w:eastAsia="Arial" w:hAnsi="Arial"/>
          <w:sz w:val="20"/>
          <w:szCs w:val="20"/>
          <w:color w:val="auto"/>
        </w:rPr>
      </w:pPr>
    </w:p>
    <w:p>
      <w:pPr>
        <w:jc w:val="both"/>
        <w:ind w:left="58" w:firstLine="644"/>
        <w:spacing w:after="0" w:line="223" w:lineRule="auto"/>
        <w:tabs>
          <w:tab w:leader="none" w:pos="123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Centuri shall have delivered to the Administrative Agent such documents reasonably requested by the Administrative Agent or the Required Lenders (through the Administrative Agent) pursuant to Section 8.14 to be delivered at the time required pursuant to Section 8.14;</w:t>
      </w:r>
    </w:p>
    <w:p>
      <w:pPr>
        <w:spacing w:after="0" w:line="263" w:lineRule="exact"/>
        <w:rPr>
          <w:rFonts w:ascii="Arial" w:cs="Arial" w:eastAsia="Arial" w:hAnsi="Arial"/>
          <w:sz w:val="20"/>
          <w:szCs w:val="20"/>
          <w:color w:val="auto"/>
        </w:rPr>
      </w:pPr>
    </w:p>
    <w:p>
      <w:pPr>
        <w:jc w:val="both"/>
        <w:ind w:left="58" w:firstLine="644"/>
        <w:spacing w:after="0" w:line="225" w:lineRule="auto"/>
        <w:tabs>
          <w:tab w:leader="none" w:pos="124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Centuri shall be in compliance with </w:t>
      </w:r>
      <w:r>
        <w:rPr>
          <w:rFonts w:ascii="Arial" w:cs="Arial" w:eastAsia="Arial" w:hAnsi="Arial"/>
          <w:sz w:val="19"/>
          <w:szCs w:val="19"/>
          <w:color w:val="FF0000"/>
          <w:strike w:val="1"/>
        </w:rPr>
        <w:t>the financial covenants set forth in Section 9.13 (giving effect to any Leverage Ratio</w:t>
      </w:r>
      <w:r>
        <w:rPr>
          <w:rFonts w:ascii="Arial" w:cs="Arial" w:eastAsia="Arial" w:hAnsi="Arial"/>
          <w:sz w:val="19"/>
          <w:szCs w:val="19"/>
          <w:color w:val="auto"/>
        </w:rPr>
        <w:t xml:space="preserve"> </w:t>
      </w:r>
      <w:r>
        <w:rPr>
          <w:rFonts w:ascii="Arial" w:cs="Arial" w:eastAsia="Arial" w:hAnsi="Arial"/>
          <w:sz w:val="19"/>
          <w:szCs w:val="19"/>
          <w:color w:val="FF0000"/>
          <w:strike w:val="1"/>
        </w:rPr>
        <w:t>Increase that has been elected pursuant to Section 9</w:t>
      </w:r>
      <w:r>
        <w:rPr>
          <w:rFonts w:ascii="Arial" w:cs="Arial" w:eastAsia="Arial" w:hAnsi="Arial"/>
          <w:sz w:val="19"/>
          <w:szCs w:val="19"/>
          <w:color w:val="FF0000"/>
        </w:rPr>
        <w:t>.13(b))</w:t>
      </w:r>
      <w:r>
        <w:rPr>
          <w:rFonts w:ascii="Arial" w:cs="Arial" w:eastAsia="Arial" w:hAnsi="Arial"/>
          <w:sz w:val="19"/>
          <w:szCs w:val="19"/>
          <w:color w:val="0000FF"/>
        </w:rPr>
        <w:t>(i) a Consolidated Interest Coverage Ratio of 2.50 to 1.00 and (ii) a</w:t>
      </w:r>
      <w:r>
        <w:rPr>
          <w:rFonts w:ascii="Arial" w:cs="Arial" w:eastAsia="Arial" w:hAnsi="Arial"/>
          <w:sz w:val="19"/>
          <w:szCs w:val="19"/>
          <w:color w:val="FF0000"/>
        </w:rPr>
        <w:t xml:space="preserve"> </w:t>
      </w:r>
      <w:r>
        <w:rPr>
          <w:rFonts w:ascii="Arial" w:cs="Arial" w:eastAsia="Arial" w:hAnsi="Arial"/>
          <w:sz w:val="19"/>
          <w:szCs w:val="19"/>
          <w:color w:val="0000FF"/>
        </w:rPr>
        <w:t>Consolidated Net Leverage Ratio of (A) 5.50 to 1.00 for the period beginning on September 30, 2022 through and including December 30, 2022, (B) 4.75 to 1.00 for the period beginning on December 31, 2022 through and including December 30, 2023 and (C) 4.00 to 1.00 for the period beginning on December 31, 2023 and thereafter</w:t>
      </w:r>
      <w:r>
        <w:rPr>
          <w:rFonts w:ascii="Arial" w:cs="Arial" w:eastAsia="Arial" w:hAnsi="Arial"/>
          <w:sz w:val="19"/>
          <w:szCs w:val="19"/>
          <w:color w:val="000000"/>
        </w:rPr>
        <w:t>, in each case, calculated on a Pro Forma Basis (as of the most recent Fiscal</w:t>
      </w:r>
      <w:r>
        <w:rPr>
          <w:rFonts w:ascii="Arial" w:cs="Arial" w:eastAsia="Arial" w:hAnsi="Arial"/>
          <w:sz w:val="19"/>
          <w:szCs w:val="19"/>
          <w:color w:val="0000FF"/>
        </w:rPr>
        <w:t xml:space="preserve"> </w:t>
      </w:r>
      <w:r>
        <w:rPr>
          <w:rFonts w:ascii="Arial" w:cs="Arial" w:eastAsia="Arial" w:hAnsi="Arial"/>
          <w:sz w:val="19"/>
          <w:szCs w:val="19"/>
          <w:color w:val="000000"/>
        </w:rPr>
        <w:t>Quarter end preceding the proposed closing date of the acquisition for which financial statements are available and after giving effect thereto and any Indebtedness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2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22" w:name="page123"/>
    <w:bookmarkEnd w:id="122"/>
    <w:p>
      <w:pPr>
        <w:spacing w:after="0" w:line="209" w:lineRule="exact"/>
        <w:rPr>
          <w:sz w:val="20"/>
          <w:szCs w:val="20"/>
          <w:color w:val="auto"/>
        </w:rPr>
      </w:pPr>
    </w:p>
    <w:p>
      <w:pPr>
        <w:jc w:val="both"/>
        <w:ind w:left="58" w:firstLine="644"/>
        <w:spacing w:after="0" w:line="214" w:lineRule="auto"/>
        <w:tabs>
          <w:tab w:leader="none" w:pos="123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that the condition set forth in paragraph (f) above is satisfied;</w:t>
      </w:r>
    </w:p>
    <w:p>
      <w:pPr>
        <w:spacing w:after="0" w:line="214" w:lineRule="exact"/>
        <w:rPr>
          <w:rFonts w:ascii="Arial" w:cs="Arial" w:eastAsia="Arial" w:hAnsi="Arial"/>
          <w:sz w:val="20"/>
          <w:szCs w:val="20"/>
          <w:color w:val="auto"/>
        </w:rPr>
      </w:pPr>
    </w:p>
    <w:p>
      <w:pPr>
        <w:jc w:val="both"/>
        <w:ind w:left="58" w:firstLine="644"/>
        <w:spacing w:after="0" w:line="214" w:lineRule="auto"/>
        <w:tabs>
          <w:tab w:leader="none" w:pos="123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and (ii) shall have delivered to, or made available for inspection by, the Administrative Agent substantially complete Permitted Acquisition Diligence Information;</w:t>
      </w:r>
    </w:p>
    <w:p>
      <w:pPr>
        <w:spacing w:after="0" w:line="200" w:lineRule="exact"/>
        <w:rPr>
          <w:rFonts w:ascii="Arial" w:cs="Arial" w:eastAsia="Arial" w:hAnsi="Arial"/>
          <w:sz w:val="20"/>
          <w:szCs w:val="20"/>
          <w:color w:val="auto"/>
        </w:rPr>
      </w:pPr>
    </w:p>
    <w:p>
      <w:pPr>
        <w:ind w:left="58" w:firstLine="644"/>
        <w:spacing w:after="0" w:line="236" w:lineRule="auto"/>
        <w:tabs>
          <w:tab w:leader="none" w:pos="12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both before and after giving effect to such Acquisition and any Indebtedness incurred in connection therewith; and</w:t>
      </w:r>
    </w:p>
    <w:p>
      <w:pPr>
        <w:spacing w:after="0" w:line="195" w:lineRule="exact"/>
        <w:rPr>
          <w:rFonts w:ascii="Arial" w:cs="Arial" w:eastAsia="Arial" w:hAnsi="Arial"/>
          <w:sz w:val="20"/>
          <w:szCs w:val="20"/>
          <w:color w:val="auto"/>
        </w:rPr>
      </w:pPr>
    </w:p>
    <w:p>
      <w:pPr>
        <w:jc w:val="both"/>
        <w:ind w:left="58" w:firstLine="644"/>
        <w:spacing w:after="0" w:line="229" w:lineRule="auto"/>
        <w:tabs>
          <w:tab w:leader="none" w:pos="124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if the Permitted Acquisition Consideration for any such Acquisition (or series of related Acquisitions) exceeds $150,000,000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105" w:lineRule="exact"/>
        <w:rPr>
          <w:sz w:val="20"/>
          <w:szCs w:val="20"/>
          <w:color w:val="auto"/>
        </w:rPr>
      </w:pPr>
    </w:p>
    <w:p>
      <w:pPr>
        <w:ind w:left="698"/>
        <w:spacing w:after="0"/>
        <w:rPr>
          <w:sz w:val="20"/>
          <w:szCs w:val="20"/>
          <w:color w:val="auto"/>
        </w:rPr>
      </w:pPr>
      <w:r>
        <w:rPr>
          <w:rFonts w:ascii="Arial" w:cs="Arial" w:eastAsia="Arial" w:hAnsi="Arial"/>
          <w:sz w:val="20"/>
          <w:szCs w:val="20"/>
          <w:color w:val="auto"/>
        </w:rPr>
        <w:t>Notwithstanding the foregoing, the Drum Acquisition shall constitute a Permitted Acquisition. “Permitted Acquisition</w:t>
      </w:r>
    </w:p>
    <w:p>
      <w:pPr>
        <w:spacing w:after="0" w:line="22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Consideration” means the aggregate amount of the purchase price,</w:t>
      </w:r>
    </w:p>
    <w:p>
      <w:pPr>
        <w:spacing w:after="0" w:line="69" w:lineRule="exact"/>
        <w:rPr>
          <w:sz w:val="20"/>
          <w:szCs w:val="20"/>
          <w:color w:val="auto"/>
        </w:rPr>
      </w:pPr>
    </w:p>
    <w:p>
      <w:pPr>
        <w:ind w:left="58"/>
        <w:spacing w:after="0"/>
        <w:rPr>
          <w:sz w:val="20"/>
          <w:szCs w:val="20"/>
          <w:color w:val="auto"/>
        </w:rPr>
      </w:pPr>
      <w:r>
        <w:rPr>
          <w:rFonts w:ascii="Arial" w:cs="Arial" w:eastAsia="Arial" w:hAnsi="Arial"/>
          <w:sz w:val="20"/>
          <w:szCs w:val="20"/>
          <w:color w:val="auto"/>
        </w:rPr>
        <w:t>including, but not limited to, any assumed debt, earn-outs (valued at the maximum amount payable</w:t>
      </w:r>
    </w:p>
    <w:p>
      <w:pPr>
        <w:ind w:left="58"/>
        <w:spacing w:after="0" w:line="222" w:lineRule="auto"/>
        <w:rPr>
          <w:sz w:val="20"/>
          <w:szCs w:val="20"/>
          <w:color w:val="auto"/>
        </w:rPr>
      </w:pPr>
      <w:r>
        <w:rPr>
          <w:rFonts w:ascii="Arial" w:cs="Arial" w:eastAsia="Arial" w:hAnsi="Arial"/>
          <w:sz w:val="19"/>
          <w:szCs w:val="19"/>
          <w:color w:val="auto"/>
        </w:rPr>
        <w:t>thereunder), deferred payments, or Equity Interests of any Borrower or any Subsidiary Guarantor, net of the applicable acquired</w:t>
      </w:r>
    </w:p>
    <w:p>
      <w:pPr>
        <w:ind w:left="58" w:right="20"/>
        <w:spacing w:after="0" w:line="226" w:lineRule="auto"/>
        <w:rPr>
          <w:sz w:val="20"/>
          <w:szCs w:val="20"/>
          <w:color w:val="auto"/>
        </w:rPr>
      </w:pPr>
      <w:r>
        <w:rPr>
          <w:rFonts w:ascii="Arial" w:cs="Arial" w:eastAsia="Arial" w:hAnsi="Arial"/>
          <w:sz w:val="18"/>
          <w:szCs w:val="18"/>
          <w:color w:val="auto"/>
        </w:rPr>
        <w:t>company’s cash and Cash Equivalents balance (as shown on its most recent financial statements delivered in connection with the applicable Permitted Acquisition) to be paid on a singular basis in connection with any applicable Permitted Acquisition as set forth in the</w:t>
      </w:r>
    </w:p>
    <w:p>
      <w:pPr>
        <w:spacing w:after="0" w:line="2"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applicable Permitted Acquisition Documents executed by such Borrower or such Subsidiary Guarantor in order to consummate the applicable Permitted Acquisition.</w:t>
      </w:r>
    </w:p>
    <w:p>
      <w:pPr>
        <w:spacing w:after="0" w:line="185"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“Permitted Acquisition Diligence Information” means with respect to any Acquisition proposed by any Borrower or any</w:t>
      </w:r>
    </w:p>
    <w:p>
      <w:pPr>
        <w:ind w:left="58"/>
        <w:spacing w:after="0" w:line="226" w:lineRule="auto"/>
        <w:rPr>
          <w:sz w:val="20"/>
          <w:szCs w:val="20"/>
          <w:color w:val="auto"/>
        </w:rPr>
      </w:pPr>
      <w:r>
        <w:rPr>
          <w:rFonts w:ascii="Arial" w:cs="Arial" w:eastAsia="Arial" w:hAnsi="Arial"/>
          <w:sz w:val="18"/>
          <w:szCs w:val="18"/>
          <w:color w:val="auto"/>
        </w:rPr>
        <w:t>Subsidiary Guarantor, to the extent applicable, all material financial information, all material contracts, all material customer lists, all material supply agreements, and all other material information, in each case, reasonably requested to be delivered to the Administrative</w:t>
      </w:r>
    </w:p>
    <w:p>
      <w:pPr>
        <w:ind w:left="58"/>
        <w:spacing w:after="0" w:line="236" w:lineRule="auto"/>
        <w:rPr>
          <w:sz w:val="20"/>
          <w:szCs w:val="20"/>
          <w:color w:val="auto"/>
        </w:rPr>
      </w:pPr>
      <w:r>
        <w:rPr>
          <w:rFonts w:ascii="Arial" w:cs="Arial" w:eastAsia="Arial" w:hAnsi="Arial"/>
          <w:sz w:val="18"/>
          <w:szCs w:val="18"/>
          <w:color w:val="auto"/>
        </w:rPr>
        <w:t>Agent in connection with such Acquisition (except to the extent that any such information is (a) subject to any confidentiality agreement,</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unless mutually agreeable arrangements can be made to preserve such information as confidential, (b) classified or (c) subject to any attorney-client privilege).</w:t>
      </w:r>
    </w:p>
    <w:p>
      <w:pPr>
        <w:spacing w:after="0" w:line="210" w:lineRule="exact"/>
        <w:rPr>
          <w:sz w:val="20"/>
          <w:szCs w:val="20"/>
          <w:color w:val="auto"/>
        </w:rPr>
      </w:pPr>
    </w:p>
    <w:p>
      <w:pPr>
        <w:ind w:left="58" w:right="20" w:firstLine="648"/>
        <w:spacing w:after="0" w:line="223" w:lineRule="auto"/>
        <w:rPr>
          <w:sz w:val="20"/>
          <w:szCs w:val="20"/>
          <w:color w:val="auto"/>
        </w:rPr>
      </w:pPr>
      <w:r>
        <w:rPr>
          <w:rFonts w:ascii="Arial" w:cs="Arial" w:eastAsia="Arial" w:hAnsi="Arial"/>
          <w:sz w:val="19"/>
          <w:szCs w:val="19"/>
          <w:color w:val="auto"/>
        </w:rPr>
        <w:t>“Permitted Acquisition Documents” means with respect to any Acquisition proposed by any Borrower or any Subsidiary Guarantor, final copies or substantially final drafts if not executed at the required time of delivery of the purchase agreement, sale</w:t>
      </w:r>
    </w:p>
    <w:p>
      <w:pPr>
        <w:spacing w:after="0" w:line="1"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agreement, merger agreement, amalgamation agreement or other agreement evidencing such Acquisition, including, without limitation, all legal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2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23" w:name="page124"/>
    <w:bookmarkEnd w:id="123"/>
    <w:p>
      <w:pPr>
        <w:spacing w:after="0" w:line="209" w:lineRule="exact"/>
        <w:rPr>
          <w:sz w:val="20"/>
          <w:szCs w:val="20"/>
          <w:color w:val="auto"/>
        </w:rPr>
      </w:pPr>
    </w:p>
    <w:p>
      <w:pPr>
        <w:ind w:left="58" w:right="200"/>
        <w:spacing w:after="0" w:line="236" w:lineRule="auto"/>
        <w:rPr>
          <w:sz w:val="20"/>
          <w:szCs w:val="20"/>
          <w:color w:val="auto"/>
        </w:rPr>
      </w:pPr>
      <w:r>
        <w:rPr>
          <w:rFonts w:ascii="Arial" w:cs="Arial" w:eastAsia="Arial" w:hAnsi="Arial"/>
          <w:sz w:val="20"/>
          <w:szCs w:val="20"/>
          <w:color w:val="auto"/>
        </w:rPr>
        <w:t>and each other document executed, delivered, contemplated by or prepared in connection therewith and any amendment, modification or supplement to any of the foregoing.</w:t>
      </w:r>
    </w:p>
    <w:p>
      <w:pPr>
        <w:spacing w:after="0" w:line="196" w:lineRule="exact"/>
        <w:rPr>
          <w:sz w:val="20"/>
          <w:szCs w:val="20"/>
          <w:color w:val="auto"/>
        </w:rPr>
      </w:pPr>
    </w:p>
    <w:p>
      <w:pPr>
        <w:ind w:left="58" w:right="560" w:firstLine="648"/>
        <w:spacing w:after="0" w:line="236" w:lineRule="auto"/>
        <w:rPr>
          <w:sz w:val="20"/>
          <w:szCs w:val="20"/>
          <w:color w:val="auto"/>
        </w:rPr>
      </w:pPr>
      <w:r>
        <w:rPr>
          <w:rFonts w:ascii="Arial" w:cs="Arial" w:eastAsia="Arial" w:hAnsi="Arial"/>
          <w:sz w:val="20"/>
          <w:szCs w:val="20"/>
          <w:color w:val="auto"/>
        </w:rPr>
        <w:t>“Permitted Drum Equity” means the Equity Interests of Drum Parent LLC (formerly Drum Parent, Inc.) in an amount not to exceed 5.0% of the total Equity Interests of Drum Parent LLC.</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“Permitted Liens” means the Liens permitted pursuant to Section 9.2.</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6"/>
          <w:szCs w:val="16"/>
          <w:color w:val="auto"/>
        </w:rPr>
        <w:t>“Permitted Receivables Transaction” means one or more transactions pursuant to which (a) Receivables Assets or interests therein</w:t>
      </w:r>
    </w:p>
    <w:p>
      <w:pPr>
        <w:spacing w:after="0" w:line="35" w:lineRule="exact"/>
        <w:rPr>
          <w:sz w:val="20"/>
          <w:szCs w:val="20"/>
          <w:color w:val="auto"/>
        </w:rPr>
      </w:pPr>
    </w:p>
    <w:p>
      <w:pPr>
        <w:ind w:left="58"/>
        <w:spacing w:after="0" w:line="255" w:lineRule="auto"/>
        <w:rPr>
          <w:sz w:val="20"/>
          <w:szCs w:val="20"/>
          <w:color w:val="auto"/>
        </w:rPr>
      </w:pPr>
      <w:r>
        <w:rPr>
          <w:rFonts w:ascii="Arial" w:cs="Arial" w:eastAsia="Arial" w:hAnsi="Arial"/>
          <w:sz w:val="16"/>
          <w:szCs w:val="16"/>
          <w:color w:val="auto"/>
        </w:rPr>
        <w:t>are sold to or financed by one or more Receivables Subsidiaries, and such Receivables Subsidiaries finance their acquisition of such Receivables Assets or interests therein, or the financing thereof, by selling or borrowing against such Receivables Assets or (b) Receivable</w:t>
      </w:r>
    </w:p>
    <w:p>
      <w:pPr>
        <w:ind w:left="58"/>
        <w:spacing w:after="0" w:line="223" w:lineRule="auto"/>
        <w:rPr>
          <w:sz w:val="20"/>
          <w:szCs w:val="20"/>
          <w:color w:val="auto"/>
        </w:rPr>
      </w:pPr>
      <w:r>
        <w:rPr>
          <w:rFonts w:ascii="Arial" w:cs="Arial" w:eastAsia="Arial" w:hAnsi="Arial"/>
          <w:sz w:val="19"/>
          <w:szCs w:val="19"/>
          <w:color w:val="auto"/>
        </w:rPr>
        <w:t>Assets or interests therein are sold or discounted directly to one or more investors or other purchasers (other than Centuri or any</w:t>
      </w:r>
    </w:p>
    <w:p>
      <w:pPr>
        <w:ind w:left="58" w:right="20"/>
        <w:spacing w:after="0" w:line="255" w:lineRule="auto"/>
        <w:rPr>
          <w:sz w:val="20"/>
          <w:szCs w:val="20"/>
          <w:color w:val="auto"/>
        </w:rPr>
      </w:pPr>
      <w:r>
        <w:rPr>
          <w:rFonts w:ascii="Arial" w:cs="Arial" w:eastAsia="Arial" w:hAnsi="Arial"/>
          <w:sz w:val="16"/>
          <w:szCs w:val="16"/>
          <w:color w:val="auto"/>
        </w:rPr>
        <w:t>Subsidiary), including, without limitation, in connection with a supply chain arrangement or other receivables discount program; provided that in each case such transactions shall be non-recourse (except in respect of fees, costs, indemnifications, representations and warranties</w:t>
      </w:r>
    </w:p>
    <w:p>
      <w:pPr>
        <w:ind w:left="58"/>
        <w:spacing w:after="0" w:line="235" w:lineRule="auto"/>
        <w:rPr>
          <w:sz w:val="20"/>
          <w:szCs w:val="20"/>
          <w:color w:val="auto"/>
        </w:rPr>
      </w:pPr>
      <w:r>
        <w:rPr>
          <w:rFonts w:ascii="Arial" w:cs="Arial" w:eastAsia="Arial" w:hAnsi="Arial"/>
          <w:sz w:val="18"/>
          <w:szCs w:val="18"/>
          <w:color w:val="auto"/>
        </w:rPr>
        <w:t>and other obligations in which recourse is available against originators or servicers of Receivables Assets included in special- purpose-</w:t>
      </w:r>
    </w:p>
    <w:p>
      <w:pPr>
        <w:ind w:left="58" w:right="20"/>
        <w:spacing w:after="0" w:line="255" w:lineRule="auto"/>
        <w:rPr>
          <w:sz w:val="20"/>
          <w:szCs w:val="20"/>
          <w:color w:val="auto"/>
        </w:rPr>
      </w:pPr>
      <w:r>
        <w:rPr>
          <w:rFonts w:ascii="Arial" w:cs="Arial" w:eastAsia="Arial" w:hAnsi="Arial"/>
          <w:sz w:val="16"/>
          <w:szCs w:val="16"/>
          <w:color w:val="auto"/>
        </w:rPr>
        <w:t>vehicle receivables financing arrangements, in each case, other than any of the foregoing which are in effect credit support substitutes) to Centuri and its Subsidiaries (other than a Receivables Subsidiary) and neither Centuri nor any of its Subsidiaries (other than a Receivables</w:t>
      </w:r>
    </w:p>
    <w:p>
      <w:pPr>
        <w:spacing w:after="0" w:line="1" w:lineRule="exact"/>
        <w:rPr>
          <w:sz w:val="20"/>
          <w:szCs w:val="20"/>
          <w:color w:val="auto"/>
        </w:rPr>
      </w:pPr>
    </w:p>
    <w:p>
      <w:pPr>
        <w:ind w:left="58"/>
        <w:spacing w:after="0"/>
        <w:rPr>
          <w:sz w:val="20"/>
          <w:szCs w:val="20"/>
          <w:color w:val="auto"/>
        </w:rPr>
      </w:pPr>
      <w:r>
        <w:rPr>
          <w:rFonts w:ascii="Arial" w:cs="Arial" w:eastAsia="Arial" w:hAnsi="Arial"/>
          <w:sz w:val="20"/>
          <w:szCs w:val="20"/>
          <w:color w:val="auto"/>
        </w:rPr>
        <w:t>Subsidiary) shall provide credit support of any kind.</w:t>
      </w:r>
    </w:p>
    <w:p>
      <w:pPr>
        <w:spacing w:after="0" w:line="200"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“Permitted Receivables Transaction Documents” means all documents and agreements evidencing, relating to or otherwise governing a Permitted Receivables Transaction.</w:t>
      </w:r>
    </w:p>
    <w:p>
      <w:pPr>
        <w:spacing w:after="0" w:line="196"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“Person” means any natural person, corporation, limited liability company, trust, joint venture, association, company, partnership, Governmental Authority or other entity.</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“Platform” has the meaning assigned thereto in Section 8.2.</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“PPSA” means the Personal Property Security Act of Ontario or any successor statute or similar legislation of any jurisdiction the</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laws of which are required by such legislation to be applied in connection with the issue, perfection, enforcement, validity or effect of security interests.</w:t>
      </w:r>
    </w:p>
    <w:p>
      <w:pPr>
        <w:spacing w:after="0" w:line="210" w:lineRule="exact"/>
        <w:rPr>
          <w:sz w:val="20"/>
          <w:szCs w:val="20"/>
          <w:color w:val="auto"/>
        </w:rPr>
      </w:pPr>
    </w:p>
    <w:p>
      <w:pPr>
        <w:ind w:left="58" w:firstLine="648"/>
        <w:spacing w:after="0" w:line="265" w:lineRule="auto"/>
        <w:rPr>
          <w:sz w:val="20"/>
          <w:szCs w:val="20"/>
          <w:color w:val="auto"/>
        </w:rPr>
      </w:pPr>
      <w:r>
        <w:rPr>
          <w:rFonts w:ascii="Arial" w:cs="Arial" w:eastAsia="Arial" w:hAnsi="Arial"/>
          <w:sz w:val="16"/>
          <w:szCs w:val="16"/>
          <w:color w:val="auto"/>
        </w:rPr>
        <w:t>“Prime Rate” means, at any time, the rate of interest per annum publicly announced from time to time by the Administrative Agent as its prime rate. Each change in the Prime Rate shall be effective as of the opening of business on the day such change in such prime rate</w:t>
      </w:r>
    </w:p>
    <w:p>
      <w:pPr>
        <w:spacing w:after="0" w:line="1"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occurs. The parties hereto acknowledge that the rate announced publicly by the Administrative Agent as its prime rate is an index or base rate and shall not necessarily be its lowest or best rate charged to its customers or other banks.</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6"/>
          <w:szCs w:val="16"/>
          <w:color w:val="auto"/>
        </w:rPr>
        <w:t>“Pro Forma Basis” means, for any period during which one or more Specified Transactions occurs, that such Specified Transaction</w:t>
      </w:r>
    </w:p>
    <w:p>
      <w:pPr>
        <w:spacing w:after="0" w:line="35" w:lineRule="exact"/>
        <w:rPr>
          <w:sz w:val="20"/>
          <w:szCs w:val="20"/>
          <w:color w:val="auto"/>
        </w:rPr>
      </w:pPr>
    </w:p>
    <w:p>
      <w:pPr>
        <w:ind w:left="58" w:right="20"/>
        <w:spacing w:after="0" w:line="255" w:lineRule="auto"/>
        <w:rPr>
          <w:sz w:val="20"/>
          <w:szCs w:val="20"/>
          <w:color w:val="auto"/>
        </w:rPr>
      </w:pPr>
      <w:r>
        <w:rPr>
          <w:rFonts w:ascii="Arial" w:cs="Arial" w:eastAsia="Arial" w:hAnsi="Arial"/>
          <w:sz w:val="16"/>
          <w:szCs w:val="16"/>
          <w:color w:val="auto"/>
        </w:rPr>
        <w:t>(and all other Specified Transactions that have been consummated during the applicable period) shall be deemed to have occurred as of the first day of the applicable period of measurement and for purposes of calculations made of the financial covenants in Section 9.13, (a) after</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consummation of any Specified Disposition (i) income statement items (whether positive or negative) and Capital Expenditures attributable to the Property or Person disposed of shall be excluded and (ii) Indebtedness which is retired shall be excluded and deemed to</w:t>
      </w:r>
    </w:p>
    <w:p>
      <w:pPr>
        <w:ind w:left="58"/>
        <w:spacing w:after="0" w:line="236" w:lineRule="auto"/>
        <w:rPr>
          <w:sz w:val="20"/>
          <w:szCs w:val="20"/>
          <w:color w:val="auto"/>
        </w:rPr>
      </w:pPr>
      <w:r>
        <w:rPr>
          <w:rFonts w:ascii="Arial" w:cs="Arial" w:eastAsia="Arial" w:hAnsi="Arial"/>
          <w:sz w:val="18"/>
          <w:szCs w:val="18"/>
          <w:color w:val="auto"/>
        </w:rPr>
        <w:t>have been retired as of the first day of the applicable period and (b) after consummation of any Permitted Acquisition (i) income statement</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items (whether positive or negative) and Capital Expenditures attributable to the Person or Property acquired shall, to the extent not otherwise included in such income statement items for Consolidated Companies in accordance with GAAP or in accordance with any</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defined terms set forth in Section 1.1, be included to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12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24" w:name="page125"/>
    <w:bookmarkEnd w:id="124"/>
    <w:p>
      <w:pPr>
        <w:ind w:left="60"/>
        <w:spacing w:after="0"/>
        <w:rPr>
          <w:sz w:val="20"/>
          <w:szCs w:val="20"/>
          <w:color w:val="auto"/>
        </w:rPr>
      </w:pPr>
      <w:r>
        <w:rPr>
          <w:rFonts w:ascii="Arial" w:cs="Arial" w:eastAsia="Arial" w:hAnsi="Arial"/>
          <w:sz w:val="19"/>
          <w:szCs w:val="19"/>
          <w:color w:val="auto"/>
        </w:rPr>
        <w:t>extent relating to any period applicable in such calculations, and (ii) to the extent not retired in connection with such Permitted</w:t>
      </w:r>
    </w:p>
    <w:p>
      <w:pPr>
        <w:ind w:left="60"/>
        <w:spacing w:after="0" w:line="220" w:lineRule="auto"/>
        <w:rPr>
          <w:sz w:val="20"/>
          <w:szCs w:val="20"/>
          <w:color w:val="auto"/>
        </w:rPr>
      </w:pPr>
      <w:r>
        <w:rPr>
          <w:rFonts w:ascii="Arial" w:cs="Arial" w:eastAsia="Arial" w:hAnsi="Arial"/>
          <w:sz w:val="20"/>
          <w:szCs w:val="20"/>
          <w:color w:val="auto"/>
        </w:rPr>
        <w:t>Acquisition, Indebtedness of the Person or Property acquired shall be deemed to have been incurred as of the first day of the applicable period.</w:t>
      </w:r>
    </w:p>
    <w:p>
      <w:pPr>
        <w:spacing w:after="0" w:line="210" w:lineRule="exact"/>
        <w:rPr>
          <w:sz w:val="20"/>
          <w:szCs w:val="20"/>
          <w:color w:val="auto"/>
        </w:rPr>
      </w:pPr>
    </w:p>
    <w:p>
      <w:pPr>
        <w:ind w:left="60" w:right="520" w:firstLine="648"/>
        <w:spacing w:after="0" w:line="229" w:lineRule="auto"/>
        <w:rPr>
          <w:sz w:val="20"/>
          <w:szCs w:val="20"/>
          <w:color w:val="auto"/>
        </w:rPr>
      </w:pPr>
      <w:r>
        <w:rPr>
          <w:rFonts w:ascii="Arial" w:cs="Arial" w:eastAsia="Arial" w:hAnsi="Arial"/>
          <w:sz w:val="20"/>
          <w:szCs w:val="20"/>
          <w:color w:val="auto"/>
        </w:rPr>
        <w:t>“Property” means any right or interest in or to property of any kind whatsoever, whether real, personal or mixed and whether tangible or intangible, including, without limitation, Equity Interests.</w:t>
      </w:r>
    </w:p>
    <w:p>
      <w:pPr>
        <w:spacing w:after="0" w:line="209" w:lineRule="exact"/>
        <w:rPr>
          <w:sz w:val="20"/>
          <w:szCs w:val="20"/>
          <w:color w:val="auto"/>
        </w:rPr>
      </w:pPr>
    </w:p>
    <w:p>
      <w:pPr>
        <w:ind w:left="60" w:right="360" w:firstLine="648"/>
        <w:spacing w:after="0" w:line="229" w:lineRule="auto"/>
        <w:rPr>
          <w:sz w:val="20"/>
          <w:szCs w:val="20"/>
          <w:color w:val="auto"/>
        </w:rPr>
      </w:pPr>
      <w:r>
        <w:rPr>
          <w:rFonts w:ascii="Arial" w:cs="Arial" w:eastAsia="Arial" w:hAnsi="Arial"/>
          <w:sz w:val="20"/>
          <w:szCs w:val="20"/>
          <w:color w:val="auto"/>
        </w:rPr>
        <w:t>“PTE” means a prohibited transaction class exemption issued by the U.S. Department of Labor, as any such exemption may be amended from time to time.</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“Public Lenders” has the meaning assigned thereto in Section 8.2.</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“Qualified Equity Interests” means any Equity Interests that are not Disqualified Equity Interests.</w:t>
      </w:r>
    </w:p>
    <w:p>
      <w:pPr>
        <w:spacing w:after="0" w:line="270" w:lineRule="exact"/>
        <w:rPr>
          <w:sz w:val="20"/>
          <w:szCs w:val="20"/>
          <w:color w:val="auto"/>
        </w:rPr>
      </w:pPr>
    </w:p>
    <w:p>
      <w:pPr>
        <w:jc w:val="both"/>
        <w:ind w:left="60" w:right="20" w:firstLine="648"/>
        <w:spacing w:after="0" w:line="244" w:lineRule="auto"/>
        <w:rPr>
          <w:sz w:val="20"/>
          <w:szCs w:val="20"/>
          <w:color w:val="auto"/>
        </w:rPr>
      </w:pPr>
      <w:r>
        <w:rPr>
          <w:rFonts w:ascii="Arial" w:cs="Arial" w:eastAsia="Arial" w:hAnsi="Arial"/>
          <w:sz w:val="18"/>
          <w:szCs w:val="18"/>
          <w:color w:val="auto"/>
        </w:rPr>
        <w:t>“Receivables Assets” means accounts receivable (including any bills of exchange), notes receivable, lease receivables or other instruments from time to time originated, acquired or otherwise owned by Centuri or any Subsidiary in the ordinary course of business,</w:t>
      </w:r>
    </w:p>
    <w:p>
      <w:pPr>
        <w:ind w:left="60" w:right="20"/>
        <w:spacing w:after="0" w:line="232" w:lineRule="auto"/>
        <w:rPr>
          <w:sz w:val="20"/>
          <w:szCs w:val="20"/>
          <w:color w:val="auto"/>
        </w:rPr>
      </w:pPr>
      <w:r>
        <w:rPr>
          <w:rFonts w:ascii="Arial" w:cs="Arial" w:eastAsia="Arial" w:hAnsi="Arial"/>
          <w:sz w:val="19"/>
          <w:szCs w:val="19"/>
          <w:color w:val="auto"/>
        </w:rPr>
        <w:t>including any thereof constituting or evidenced by chattel paper, instruments or general intangibles, and all proceeds thereof and rights (contractual and other) and collateral (including all general intangibles, documents, instruments and records) related thereto.</w:t>
      </w:r>
    </w:p>
    <w:p>
      <w:pPr>
        <w:spacing w:after="0" w:line="210" w:lineRule="exact"/>
        <w:rPr>
          <w:sz w:val="20"/>
          <w:szCs w:val="20"/>
          <w:color w:val="auto"/>
        </w:rPr>
      </w:pPr>
    </w:p>
    <w:p>
      <w:pPr>
        <w:ind w:left="60" w:firstLine="648"/>
        <w:spacing w:after="0" w:line="236" w:lineRule="auto"/>
        <w:rPr>
          <w:sz w:val="20"/>
          <w:szCs w:val="20"/>
          <w:color w:val="auto"/>
        </w:rPr>
      </w:pPr>
      <w:r>
        <w:rPr>
          <w:rFonts w:ascii="Arial" w:cs="Arial" w:eastAsia="Arial" w:hAnsi="Arial"/>
          <w:sz w:val="18"/>
          <w:szCs w:val="18"/>
          <w:color w:val="auto"/>
        </w:rPr>
        <w:t>“Receivables Subsidiary” means any direct or indirect special purpose, bankruptcy-remote Subsidiary of Centuri established in connection with a Permitted Receivables Transaction for the acquisition of Receivables Assets or interests therein, and which is organized</w:t>
      </w:r>
    </w:p>
    <w:p>
      <w:pPr>
        <w:ind w:left="60"/>
        <w:spacing w:after="0" w:line="235" w:lineRule="auto"/>
        <w:rPr>
          <w:sz w:val="20"/>
          <w:szCs w:val="20"/>
          <w:color w:val="auto"/>
        </w:rPr>
      </w:pPr>
      <w:r>
        <w:rPr>
          <w:rFonts w:ascii="Arial" w:cs="Arial" w:eastAsia="Arial" w:hAnsi="Arial"/>
          <w:sz w:val="18"/>
          <w:szCs w:val="18"/>
          <w:color w:val="auto"/>
        </w:rPr>
        <w:t>in a manner intended to reduce the likelihood that it would be substantively consolidated with the Borrower or any of its Subsidiaries</w:t>
      </w:r>
    </w:p>
    <w:p>
      <w:pPr>
        <w:ind w:left="60"/>
        <w:spacing w:after="0" w:line="220" w:lineRule="auto"/>
        <w:rPr>
          <w:sz w:val="20"/>
          <w:szCs w:val="20"/>
          <w:color w:val="auto"/>
        </w:rPr>
      </w:pPr>
      <w:r>
        <w:rPr>
          <w:rFonts w:ascii="Arial" w:cs="Arial" w:eastAsia="Arial" w:hAnsi="Arial"/>
          <w:sz w:val="20"/>
          <w:szCs w:val="20"/>
          <w:color w:val="auto"/>
        </w:rPr>
        <w:t>(other than Receivables Subsidiaries) in the event Centuri or any such Subsidiary becomes subject to a proceeding under any Debtor Relief Laws.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“Recipient” means (a) the Administrative Agent, (b) any Lender and (c) any Issuing Lender, as applicable.</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Time” with respect to any setting of the then-current Benchmark means (1) if such Benchmark is USD LIBOR, 11:00</w:t>
      </w:r>
    </w:p>
    <w:p>
      <w:pPr>
        <w:spacing w:after="0" w:line="12" w:lineRule="exact"/>
        <w:rPr>
          <w:sz w:val="20"/>
          <w:szCs w:val="20"/>
          <w:color w:val="auto"/>
        </w:rPr>
      </w:pPr>
    </w:p>
    <w:p>
      <w:pPr>
        <w:ind w:left="60"/>
        <w:spacing w:after="0" w:line="220" w:lineRule="auto"/>
        <w:rPr>
          <w:sz w:val="20"/>
          <w:szCs w:val="20"/>
          <w:color w:val="auto"/>
        </w:rPr>
      </w:pPr>
      <w:r>
        <w:rPr>
          <w:rFonts w:ascii="Arial" w:cs="Arial" w:eastAsia="Arial" w:hAnsi="Arial"/>
          <w:sz w:val="20"/>
          <w:szCs w:val="20"/>
          <w:color w:val="auto"/>
        </w:rPr>
        <w:t>a.m. (London time) on the day that is two (2) London Banking Days preceding the date of such setting, and (2) if such Benchmark is not USD LIBOR, the time determined by the Administrative Agent in its reasonable discretion.</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“Refinance” has the meaning assigned thereto in Section 5.18(a).</w:t>
      </w:r>
    </w:p>
    <w:p>
      <w:pPr>
        <w:spacing w:after="0" w:line="27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“Refinancing Amendment” has the meaning assigned thereto in Section 5.18(d).</w:t>
      </w:r>
    </w:p>
    <w:p>
      <w:pPr>
        <w:spacing w:after="0" w:line="283" w:lineRule="exact"/>
        <w:rPr>
          <w:sz w:val="20"/>
          <w:szCs w:val="20"/>
          <w:color w:val="auto"/>
        </w:rPr>
      </w:pPr>
    </w:p>
    <w:p>
      <w:pPr>
        <w:ind w:left="60" w:right="120" w:firstLine="648"/>
        <w:spacing w:after="0" w:line="236" w:lineRule="auto"/>
        <w:rPr>
          <w:sz w:val="20"/>
          <w:szCs w:val="20"/>
          <w:color w:val="auto"/>
        </w:rPr>
      </w:pPr>
      <w:r>
        <w:rPr>
          <w:rFonts w:ascii="Arial" w:cs="Arial" w:eastAsia="Arial" w:hAnsi="Arial"/>
          <w:sz w:val="20"/>
          <w:szCs w:val="20"/>
          <w:color w:val="auto"/>
        </w:rPr>
        <w:t>“Refinancing Debt” means Refinancing Term Loans, Refinancing Revolving Credit Commitments, Refinancing Revolving Loans and/or Refinancing Notes, as the context requires.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“Refinancing Effective Date” has the meaning assigned thereto in Section 5.18(b).</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“Refinancing Lender” has the meaning assigned thereto in Section 5.18(c).</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“Refinancing Notes” has the meaning assigned thereto in Section 5.18(a).</w:t>
      </w:r>
    </w:p>
    <w:p>
      <w:pPr>
        <w:spacing w:after="0" w:line="200" w:lineRule="exact"/>
        <w:rPr>
          <w:sz w:val="20"/>
          <w:szCs w:val="20"/>
          <w:color w:val="auto"/>
        </w:rPr>
      </w:pPr>
    </w:p>
    <w:p>
      <w:pPr>
        <w:spacing w:after="0" w:line="247"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“Refinancing Revolving Credit Commitments” has the meaning</w:t>
      </w:r>
    </w:p>
    <w:p>
      <w:pPr>
        <w:ind w:left="60"/>
        <w:spacing w:after="0"/>
        <w:tabs>
          <w:tab w:leader="none" w:pos="5540" w:val="left"/>
        </w:tabs>
        <w:rPr>
          <w:sz w:val="20"/>
          <w:szCs w:val="20"/>
          <w:color w:val="auto"/>
        </w:rPr>
      </w:pPr>
      <w:r>
        <w:rPr>
          <w:rFonts w:ascii="Arial" w:cs="Arial" w:eastAsia="Arial" w:hAnsi="Arial"/>
          <w:sz w:val="31"/>
          <w:szCs w:val="31"/>
          <w:color w:val="auto"/>
          <w:vertAlign w:val="subscript"/>
        </w:rPr>
        <w:t>5.18(a).</w:t>
      </w:r>
      <w:r>
        <w:rPr>
          <w:sz w:val="20"/>
          <w:szCs w:val="20"/>
          <w:color w:val="auto"/>
        </w:rPr>
        <w:tab/>
      </w:r>
      <w:r>
        <w:rPr>
          <w:rFonts w:ascii="Arial" w:cs="Arial" w:eastAsia="Arial" w:hAnsi="Arial"/>
          <w:sz w:val="16"/>
          <w:szCs w:val="16"/>
          <w:color w:val="auto"/>
        </w:rPr>
        <w:t>assigned thereto in Section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1405" w:right="439" w:bottom="1440" w:gutter="0" w:footer="0" w:header="0"/>
        </w:sectPr>
      </w:pPr>
    </w:p>
    <w:bookmarkStart w:id="125" w:name="page126"/>
    <w:bookmarkEnd w:id="125"/>
    <w:p>
      <w:pPr>
        <w:ind w:left="698"/>
        <w:spacing w:after="0"/>
        <w:rPr>
          <w:sz w:val="20"/>
          <w:szCs w:val="20"/>
          <w:color w:val="auto"/>
        </w:rPr>
      </w:pPr>
      <w:r>
        <w:rPr>
          <w:rFonts w:ascii="Arial" w:cs="Arial" w:eastAsia="Arial" w:hAnsi="Arial"/>
          <w:sz w:val="20"/>
          <w:szCs w:val="20"/>
          <w:color w:val="auto"/>
        </w:rPr>
        <w:t>“Refinancing Revolving Loans” has the meaning assigned thereto in Section 5.18(a).</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“Refinancing Series” has the meaning assigned thereto in Section 5.18(c).</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“Refinancing Term Loans” has the meaning assigned thereto in Section 5.18(a).</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“Register” has the meaning assigned thereto in Section 12.9(c).</w:t>
      </w:r>
    </w:p>
    <w:p>
      <w:pPr>
        <w:spacing w:after="0" w:line="283" w:lineRule="exact"/>
        <w:rPr>
          <w:sz w:val="20"/>
          <w:szCs w:val="20"/>
          <w:color w:val="auto"/>
        </w:rPr>
      </w:pPr>
    </w:p>
    <w:p>
      <w:pPr>
        <w:ind w:left="58" w:right="200" w:firstLine="648"/>
        <w:spacing w:after="0" w:line="229" w:lineRule="auto"/>
        <w:rPr>
          <w:sz w:val="20"/>
          <w:szCs w:val="20"/>
          <w:color w:val="auto"/>
        </w:rPr>
      </w:pPr>
      <w:r>
        <w:rPr>
          <w:rFonts w:ascii="Arial" w:cs="Arial" w:eastAsia="Arial" w:hAnsi="Arial"/>
          <w:sz w:val="20"/>
          <w:szCs w:val="20"/>
          <w:color w:val="auto"/>
        </w:rPr>
        <w:t>“Reimbursement Obligation” means the obligation of the Borrowers to reimburse any Issuing Lender pursuant to Section 3.5 for amounts drawn under Letters of Credit issued by such Issuing Lender.</w:t>
      </w:r>
    </w:p>
    <w:p>
      <w:pPr>
        <w:spacing w:after="0" w:line="263" w:lineRule="exact"/>
        <w:rPr>
          <w:sz w:val="20"/>
          <w:szCs w:val="20"/>
          <w:color w:val="auto"/>
        </w:rPr>
      </w:pPr>
    </w:p>
    <w:p>
      <w:pPr>
        <w:ind w:left="58" w:firstLine="648"/>
        <w:spacing w:after="0" w:line="285" w:lineRule="auto"/>
        <w:rPr>
          <w:sz w:val="20"/>
          <w:szCs w:val="20"/>
          <w:color w:val="auto"/>
        </w:rPr>
      </w:pPr>
      <w:r>
        <w:rPr>
          <w:rFonts w:ascii="Arial" w:cs="Arial" w:eastAsia="Arial" w:hAnsi="Arial"/>
          <w:sz w:val="18"/>
          <w:szCs w:val="18"/>
          <w:color w:val="auto"/>
        </w:rPr>
        <w:t>“Related Parties” means, with respect to any Person, such Person’s Affiliates and the partners, directors, officers, employees, agents, trustees, administrators, managers, advisors and representatives of such Person and of such Person’s Affiliates.</w:t>
      </w:r>
    </w:p>
    <w:p>
      <w:pPr>
        <w:spacing w:after="0" w:line="156"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“Relevant Governmental Body” means the FRB or the Federal Reserve Bank of New York, or a committee officially endorsed or convened by the FRB or the Federal Reserve Bank of New York, or any successor thereto.</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“Repricing Transaction” means (a) any prepayment or repayment of all or a portion of the Initial Term Loan with the proceeds of,</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or any conversion of any such Initial Term Loan into, any new or replacement bank Indebtedness or other credit facility (whether under this Agreement or otherwise), including, without limitation, any Refinancing Term Loans or Refinancing Notes, bearing interest with an</w:t>
      </w:r>
    </w:p>
    <w:p>
      <w:pPr>
        <w:ind w:left="58"/>
        <w:spacing w:after="0" w:line="236" w:lineRule="auto"/>
        <w:rPr>
          <w:sz w:val="20"/>
          <w:szCs w:val="20"/>
          <w:color w:val="auto"/>
        </w:rPr>
      </w:pPr>
      <w:r>
        <w:rPr>
          <w:rFonts w:ascii="Arial" w:cs="Arial" w:eastAsia="Arial" w:hAnsi="Arial"/>
          <w:sz w:val="18"/>
          <w:szCs w:val="18"/>
          <w:color w:val="auto"/>
        </w:rPr>
        <w:t>All-In Yield less than the All-In Yield applicable to such Initial Term Loan subject to such event and (b) any repricing of any of the Initial</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Term Loan (whether pursuant to an amendment, amendment and restatement, mandatory assignment or otherwise) which reduces the All-In Yield applicable to all or a portion of such Initial Term Loan, in each case, other than in connection with the consummation of an</w:t>
      </w:r>
    </w:p>
    <w:p>
      <w:pPr>
        <w:ind w:left="58"/>
        <w:spacing w:after="0" w:line="236" w:lineRule="auto"/>
        <w:rPr>
          <w:sz w:val="20"/>
          <w:szCs w:val="20"/>
          <w:color w:val="auto"/>
        </w:rPr>
      </w:pPr>
      <w:r>
        <w:rPr>
          <w:rFonts w:ascii="Arial" w:cs="Arial" w:eastAsia="Arial" w:hAnsi="Arial"/>
          <w:sz w:val="18"/>
          <w:szCs w:val="18"/>
          <w:color w:val="auto"/>
        </w:rPr>
        <w:t>Acquisition not permitted under this Agreement, an initial public offering of Centuri or the occurrence of a Change in Control (so long as</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the primary purpose of the prepayment or repayment of, or amendment to such Initial Term Loan in connection therewith is not to reduce the All-In Yield applicable to such Initial Term Loan as certified by a financial officer of Centuri in a certificate to the Administrative</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Agent (on which the Administrative Agent is expressly permitted to rely)).</w:t>
      </w:r>
    </w:p>
    <w:p>
      <w:pPr>
        <w:spacing w:after="0" w:line="200"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“Required Facility Lenders” means (a) for the Revolving Credit Facility, the Required Revolving Credit Lenders or (b) for the Term Loan Facility, the Required Term Loan Lenders, as applicable.</w:t>
      </w:r>
    </w:p>
    <w:p>
      <w:pPr>
        <w:spacing w:after="0" w:line="196" w:lineRule="exact"/>
        <w:rPr>
          <w:sz w:val="20"/>
          <w:szCs w:val="20"/>
          <w:color w:val="auto"/>
        </w:rPr>
      </w:pPr>
    </w:p>
    <w:p>
      <w:pPr>
        <w:ind w:left="58" w:right="20" w:firstLine="648"/>
        <w:spacing w:after="0" w:line="244" w:lineRule="auto"/>
        <w:rPr>
          <w:sz w:val="20"/>
          <w:szCs w:val="20"/>
          <w:color w:val="auto"/>
        </w:rPr>
      </w:pPr>
      <w:r>
        <w:rPr>
          <w:rFonts w:ascii="Arial" w:cs="Arial" w:eastAsia="Arial" w:hAnsi="Arial"/>
          <w:sz w:val="18"/>
          <w:szCs w:val="18"/>
          <w:color w:val="auto"/>
        </w:rPr>
        <w:t>“Required Lenders” means, at any time, two or more Lenders having Total Credit Exposures representing more than fifty percent (50%) of the Total Credit Exposures of all Lenders or, if the Commitments have been terminated, two or more Lenders holding more than</w:t>
      </w:r>
    </w:p>
    <w:p>
      <w:pPr>
        <w:ind w:left="58" w:right="20"/>
        <w:spacing w:after="0" w:line="220" w:lineRule="auto"/>
        <w:rPr>
          <w:sz w:val="20"/>
          <w:szCs w:val="20"/>
          <w:color w:val="auto"/>
        </w:rPr>
      </w:pPr>
      <w:r>
        <w:rPr>
          <w:rFonts w:ascii="Arial" w:cs="Arial" w:eastAsia="Arial" w:hAnsi="Arial"/>
          <w:sz w:val="20"/>
          <w:szCs w:val="20"/>
          <w:color w:val="auto"/>
        </w:rPr>
        <w:t>fifty percent (50%) of the aggregate outstanding Extensions of Credit. The Total Credit Exposure of any Defaulting Lender shall be disregarded in determining Required Lenders at any time.</w:t>
      </w:r>
    </w:p>
    <w:p>
      <w:pPr>
        <w:spacing w:after="0" w:line="210"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18"/>
          <w:szCs w:val="18"/>
          <w:color w:val="auto"/>
        </w:rPr>
        <w:t>“Required Revolving Credit Lenders” means, at any date, any combination of two or more Revolving Credit Lenders that are not Affiliates (except if there is only one Revolving Credit Lender) holding more than fifty percent (50%) of the sum of the aggregate amount</w:t>
      </w:r>
    </w:p>
    <w:p>
      <w:pPr>
        <w:ind w:left="58"/>
        <w:spacing w:after="0" w:line="235" w:lineRule="auto"/>
        <w:rPr>
          <w:sz w:val="20"/>
          <w:szCs w:val="20"/>
          <w:color w:val="auto"/>
        </w:rPr>
      </w:pPr>
      <w:r>
        <w:rPr>
          <w:rFonts w:ascii="Arial" w:cs="Arial" w:eastAsia="Arial" w:hAnsi="Arial"/>
          <w:sz w:val="18"/>
          <w:szCs w:val="18"/>
          <w:color w:val="auto"/>
        </w:rPr>
        <w:t>of the Revolving Credit Commitment or, if the Revolving Credit Commitment has been terminated, any combination of Revolving Credit</w:t>
      </w:r>
    </w:p>
    <w:p>
      <w:pPr>
        <w:ind w:left="58"/>
        <w:spacing w:after="0" w:line="226" w:lineRule="auto"/>
        <w:rPr>
          <w:sz w:val="20"/>
          <w:szCs w:val="20"/>
          <w:color w:val="auto"/>
        </w:rPr>
      </w:pPr>
      <w:r>
        <w:rPr>
          <w:rFonts w:ascii="Arial" w:cs="Arial" w:eastAsia="Arial" w:hAnsi="Arial"/>
          <w:sz w:val="18"/>
          <w:szCs w:val="18"/>
          <w:color w:val="auto"/>
        </w:rPr>
        <w:t>Lenders holding more than fifty percent (50%) of the aggregate Extensions of Credit under the Revolving Credit Facility; provided that the Revolving Credit Commitment of, and the portion of the Extensions of Credit under the Revolving Credit Facility, as applicable, held or</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8"/>
          <w:szCs w:val="18"/>
          <w:color w:val="auto"/>
        </w:rPr>
        <w:t>deemed held by, any Defaulting Lender shall be excluded for purposes of making a determination of Required Revolving Credit Lenders.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2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26" w:name="page127"/>
    <w:bookmarkEnd w:id="126"/>
    <w:p>
      <w:pPr>
        <w:ind w:left="678"/>
        <w:spacing w:after="0"/>
        <w:rPr>
          <w:sz w:val="20"/>
          <w:szCs w:val="20"/>
          <w:color w:val="auto"/>
        </w:rPr>
      </w:pPr>
      <w:r>
        <w:rPr>
          <w:rFonts w:ascii="Arial" w:cs="Arial" w:eastAsia="Arial" w:hAnsi="Arial"/>
          <w:sz w:val="18"/>
          <w:szCs w:val="18"/>
          <w:color w:val="auto"/>
        </w:rPr>
        <w:t>“Required Term Loan Lenders” means, at any time, Lenders having outstanding Term Loans, representing more than fifty percent</w:t>
      </w:r>
    </w:p>
    <w:p>
      <w:pPr>
        <w:spacing w:after="0" w:line="12" w:lineRule="exact"/>
        <w:rPr>
          <w:sz w:val="20"/>
          <w:szCs w:val="20"/>
          <w:color w:val="auto"/>
        </w:rPr>
      </w:pPr>
    </w:p>
    <w:p>
      <w:pPr>
        <w:jc w:val="both"/>
        <w:ind w:left="38" w:right="20"/>
        <w:spacing w:after="0" w:line="220" w:lineRule="auto"/>
        <w:rPr>
          <w:sz w:val="20"/>
          <w:szCs w:val="20"/>
          <w:color w:val="auto"/>
        </w:rPr>
      </w:pPr>
      <w:r>
        <w:rPr>
          <w:rFonts w:ascii="Arial" w:cs="Arial" w:eastAsia="Arial" w:hAnsi="Arial"/>
          <w:sz w:val="20"/>
          <w:szCs w:val="20"/>
          <w:color w:val="auto"/>
        </w:rPr>
        <w:t>(50%) of the sum of the aggregate outstanding Term Loans at such time. The outstanding Term Loans of any Defaulting Lender shall be disregarded in determining Required Term Loan Lenders at any time.</w:t>
      </w:r>
    </w:p>
    <w:p>
      <w:pPr>
        <w:spacing w:after="0" w:line="210" w:lineRule="exact"/>
        <w:rPr>
          <w:sz w:val="20"/>
          <w:szCs w:val="20"/>
          <w:color w:val="auto"/>
        </w:rPr>
      </w:pPr>
    </w:p>
    <w:p>
      <w:pPr>
        <w:jc w:val="both"/>
        <w:ind w:left="38" w:firstLine="648"/>
        <w:spacing w:after="0" w:line="229" w:lineRule="auto"/>
        <w:rPr>
          <w:sz w:val="20"/>
          <w:szCs w:val="20"/>
          <w:color w:val="auto"/>
        </w:rPr>
      </w:pPr>
      <w:r>
        <w:rPr>
          <w:rFonts w:ascii="Arial" w:cs="Arial" w:eastAsia="Arial" w:hAnsi="Arial"/>
          <w:sz w:val="20"/>
          <w:szCs w:val="20"/>
          <w:color w:val="auto"/>
        </w:rPr>
        <w:t>“Resolution Authority” means an EEA Resolution Authority or, with respect to any UK Financial Institution, a UK Resolution Authority.</w:t>
      </w:r>
    </w:p>
    <w:p>
      <w:pPr>
        <w:spacing w:after="0" w:line="209" w:lineRule="exact"/>
        <w:rPr>
          <w:sz w:val="20"/>
          <w:szCs w:val="20"/>
          <w:color w:val="auto"/>
        </w:rPr>
      </w:pPr>
    </w:p>
    <w:p>
      <w:pPr>
        <w:jc w:val="both"/>
        <w:ind w:left="38" w:right="20" w:firstLine="648"/>
        <w:spacing w:after="0" w:line="236" w:lineRule="auto"/>
        <w:rPr>
          <w:sz w:val="20"/>
          <w:szCs w:val="20"/>
          <w:color w:val="auto"/>
        </w:rPr>
      </w:pPr>
      <w:r>
        <w:rPr>
          <w:rFonts w:ascii="Arial" w:cs="Arial" w:eastAsia="Arial" w:hAnsi="Arial"/>
          <w:sz w:val="18"/>
          <w:szCs w:val="18"/>
          <w:color w:val="auto"/>
        </w:rPr>
        <w:t>“Responsible Officer” means, as to any Person, the chief executive officer, president, chief financial officer, controller, treasurer or assistant treasurer of such Person or any other officer of such Person reasonably acceptable to the Administrative Agent. Any document</w:t>
      </w:r>
    </w:p>
    <w:p>
      <w:pPr>
        <w:ind w:left="38"/>
        <w:spacing w:after="0"/>
        <w:rPr>
          <w:sz w:val="20"/>
          <w:szCs w:val="20"/>
          <w:color w:val="auto"/>
        </w:rPr>
      </w:pPr>
      <w:r>
        <w:rPr>
          <w:rFonts w:ascii="Arial" w:cs="Arial" w:eastAsia="Arial" w:hAnsi="Arial"/>
          <w:sz w:val="16"/>
          <w:szCs w:val="16"/>
          <w:color w:val="auto"/>
        </w:rPr>
        <w:t>delivered hereunder or under any other Loan Document that is signed by a Responsible Officer of a Person shall be conclusively presumed</w:t>
      </w:r>
    </w:p>
    <w:p>
      <w:pPr>
        <w:spacing w:after="0" w:line="19" w:lineRule="exact"/>
        <w:rPr>
          <w:sz w:val="20"/>
          <w:szCs w:val="20"/>
          <w:color w:val="auto"/>
        </w:rPr>
      </w:pPr>
    </w:p>
    <w:p>
      <w:pPr>
        <w:jc w:val="both"/>
        <w:ind w:left="38" w:right="20"/>
        <w:spacing w:after="0" w:line="220" w:lineRule="auto"/>
        <w:rPr>
          <w:sz w:val="20"/>
          <w:szCs w:val="20"/>
          <w:color w:val="auto"/>
        </w:rPr>
      </w:pPr>
      <w:r>
        <w:rPr>
          <w:rFonts w:ascii="Arial" w:cs="Arial" w:eastAsia="Arial" w:hAnsi="Arial"/>
          <w:sz w:val="20"/>
          <w:szCs w:val="20"/>
          <w:color w:val="auto"/>
        </w:rPr>
        <w:t>to have been authorized by all necessary corporate, partnership and/or other action on the part of such Person and such Responsible Officer shall be conclusively presumed to have acted on behalf of such Person.</w:t>
      </w:r>
    </w:p>
    <w:p>
      <w:pPr>
        <w:spacing w:after="0" w:line="21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“Restricted Payment” has the meaning assigned thereto in Section 9.6.</w:t>
      </w:r>
    </w:p>
    <w:p>
      <w:pPr>
        <w:spacing w:after="0" w:line="283" w:lineRule="exact"/>
        <w:rPr>
          <w:sz w:val="20"/>
          <w:szCs w:val="20"/>
          <w:color w:val="auto"/>
        </w:rPr>
      </w:pPr>
    </w:p>
    <w:p>
      <w:pPr>
        <w:jc w:val="both"/>
        <w:ind w:left="38" w:firstLine="648"/>
        <w:spacing w:after="0" w:line="236" w:lineRule="auto"/>
        <w:rPr>
          <w:sz w:val="20"/>
          <w:szCs w:val="20"/>
          <w:color w:val="auto"/>
        </w:rPr>
      </w:pPr>
      <w:r>
        <w:rPr>
          <w:rFonts w:ascii="Arial" w:cs="Arial" w:eastAsia="Arial" w:hAnsi="Arial"/>
          <w:sz w:val="18"/>
          <w:szCs w:val="18"/>
          <w:color w:val="auto"/>
        </w:rPr>
        <w:t>“Revaluation Date” means, with respect to any Extension of Credit, each of the following: (a) each date of a borrowing, conversion or continuation of any Loan, but only as to the amounts so borrowed on such date, (b) each date of issuance of any Letter of</w:t>
      </w:r>
    </w:p>
    <w:p>
      <w:pPr>
        <w:jc w:val="both"/>
        <w:ind w:left="38"/>
        <w:spacing w:after="0" w:line="220" w:lineRule="auto"/>
        <w:rPr>
          <w:sz w:val="20"/>
          <w:szCs w:val="20"/>
          <w:color w:val="auto"/>
        </w:rPr>
      </w:pPr>
      <w:r>
        <w:rPr>
          <w:rFonts w:ascii="Arial" w:cs="Arial" w:eastAsia="Arial" w:hAnsi="Arial"/>
          <w:sz w:val="20"/>
          <w:szCs w:val="20"/>
          <w:color w:val="auto"/>
        </w:rPr>
        <w:t>Credit, but only as to the Letter of Credit so issued, amended or extended on such date, and (c) such additional dates as the Administrative Agent shall determine or the Required Lenders shall require.</w:t>
      </w:r>
    </w:p>
    <w:p>
      <w:pPr>
        <w:spacing w:after="0" w:line="210" w:lineRule="exact"/>
        <w:rPr>
          <w:sz w:val="20"/>
          <w:szCs w:val="20"/>
          <w:color w:val="auto"/>
        </w:rPr>
      </w:pPr>
    </w:p>
    <w:p>
      <w:pPr>
        <w:jc w:val="both"/>
        <w:ind w:left="38" w:firstLine="648"/>
        <w:spacing w:after="0" w:line="236" w:lineRule="auto"/>
        <w:rPr>
          <w:sz w:val="20"/>
          <w:szCs w:val="20"/>
          <w:color w:val="auto"/>
        </w:rPr>
      </w:pPr>
      <w:r>
        <w:rPr>
          <w:rFonts w:ascii="Arial" w:cs="Arial" w:eastAsia="Arial" w:hAnsi="Arial"/>
          <w:sz w:val="18"/>
          <w:szCs w:val="18"/>
          <w:color w:val="auto"/>
        </w:rPr>
        <w:t>“Revolving Credit Commitment” means (a) as to any Revolving Credit Lender, the obligation of such Revolving Credit Lender to make Revolving Credit Loans to, and to purchase participations in L/C Obligations and Swingline Loans for the account of, the Borrowers</w:t>
      </w:r>
    </w:p>
    <w:p>
      <w:pPr>
        <w:ind w:left="38"/>
        <w:spacing w:after="0" w:line="235" w:lineRule="auto"/>
        <w:rPr>
          <w:sz w:val="20"/>
          <w:szCs w:val="20"/>
          <w:color w:val="auto"/>
        </w:rPr>
      </w:pPr>
      <w:r>
        <w:rPr>
          <w:rFonts w:ascii="Arial" w:cs="Arial" w:eastAsia="Arial" w:hAnsi="Arial"/>
          <w:sz w:val="18"/>
          <w:szCs w:val="18"/>
          <w:color w:val="auto"/>
        </w:rPr>
        <w:t>hereunder in an aggregate principal amount at any time outstanding not to exceed the amount set forth opposite such Revolving Credit</w:t>
      </w:r>
    </w:p>
    <w:p>
      <w:pPr>
        <w:jc w:val="both"/>
        <w:ind w:left="38"/>
        <w:spacing w:after="0" w:line="226" w:lineRule="auto"/>
        <w:rPr>
          <w:sz w:val="20"/>
          <w:szCs w:val="20"/>
          <w:color w:val="auto"/>
        </w:rPr>
      </w:pPr>
      <w:r>
        <w:rPr>
          <w:rFonts w:ascii="Arial" w:cs="Arial" w:eastAsia="Arial" w:hAnsi="Arial"/>
          <w:sz w:val="18"/>
          <w:szCs w:val="18"/>
          <w:color w:val="auto"/>
        </w:rPr>
        <w:t>Lender’s name on the Register, as such amount may be modified at any time or from time to time pursuant to the terms hereof (including, without limitation, Section 5.13) and (b) as to all Revolving Credit Lenders, the aggregate commitment of all Revolving Credit Lenders to</w:t>
      </w:r>
    </w:p>
    <w:p>
      <w:pPr>
        <w:ind w:left="38"/>
        <w:spacing w:after="0" w:line="236" w:lineRule="auto"/>
        <w:rPr>
          <w:sz w:val="20"/>
          <w:szCs w:val="20"/>
          <w:color w:val="auto"/>
        </w:rPr>
      </w:pPr>
      <w:r>
        <w:rPr>
          <w:rFonts w:ascii="Arial" w:cs="Arial" w:eastAsia="Arial" w:hAnsi="Arial"/>
          <w:sz w:val="18"/>
          <w:szCs w:val="18"/>
          <w:color w:val="auto"/>
        </w:rPr>
        <w:t>make Revolving Credit Loans, as such amount may be modified at any time or from time to time pursuant to the terms hereof (including,</w:t>
      </w:r>
    </w:p>
    <w:p>
      <w:pPr>
        <w:spacing w:after="0" w:line="1" w:lineRule="exact"/>
        <w:rPr>
          <w:sz w:val="20"/>
          <w:szCs w:val="20"/>
          <w:color w:val="auto"/>
        </w:rPr>
      </w:pPr>
    </w:p>
    <w:p>
      <w:pPr>
        <w:jc w:val="both"/>
        <w:ind w:left="38" w:right="20"/>
        <w:spacing w:after="0" w:line="226" w:lineRule="auto"/>
        <w:rPr>
          <w:sz w:val="20"/>
          <w:szCs w:val="20"/>
          <w:color w:val="auto"/>
        </w:rPr>
      </w:pPr>
      <w:r>
        <w:rPr>
          <w:rFonts w:ascii="Arial" w:cs="Arial" w:eastAsia="Arial" w:hAnsi="Arial"/>
          <w:sz w:val="18"/>
          <w:szCs w:val="18"/>
          <w:color w:val="auto"/>
        </w:rPr>
        <w:t>without limitation, Section 5.13). The aggregate Revolving Credit Commitment of all the Revolving Credit Lenders on the Closing Date shall be $400,000,000. The initial Revolving Credit Commitment of each Revolving Credit Lender on the Closing Date is set forth</w:t>
      </w:r>
    </w:p>
    <w:p>
      <w:pPr>
        <w:spacing w:after="0" w:line="2" w:lineRule="exact"/>
        <w:rPr>
          <w:sz w:val="20"/>
          <w:szCs w:val="20"/>
          <w:color w:val="auto"/>
        </w:rPr>
      </w:pPr>
    </w:p>
    <w:p>
      <w:pPr>
        <w:jc w:val="both"/>
        <w:ind w:left="38" w:right="20"/>
        <w:spacing w:after="0" w:line="227" w:lineRule="auto"/>
        <w:rPr>
          <w:sz w:val="20"/>
          <w:szCs w:val="20"/>
          <w:color w:val="auto"/>
        </w:rPr>
      </w:pPr>
      <w:r>
        <w:rPr>
          <w:rFonts w:ascii="Arial" w:cs="Arial" w:eastAsia="Arial" w:hAnsi="Arial"/>
          <w:sz w:val="20"/>
          <w:szCs w:val="20"/>
          <w:color w:val="auto"/>
        </w:rPr>
        <w:t>opposite the name of such Lender on Schedule 1.1(a). The Revolving Credit Commitment of any Lender shall include the Extended Revolving Credit Commitment and Refinancing Revolving Credit Commitment of such Lender.</w:t>
      </w:r>
    </w:p>
    <w:p>
      <w:pPr>
        <w:spacing w:after="0" w:line="197" w:lineRule="exact"/>
        <w:rPr>
          <w:sz w:val="20"/>
          <w:szCs w:val="20"/>
          <w:color w:val="auto"/>
        </w:rPr>
      </w:pPr>
    </w:p>
    <w:p>
      <w:pPr>
        <w:ind w:left="678"/>
        <w:spacing w:after="0"/>
        <w:rPr>
          <w:sz w:val="20"/>
          <w:szCs w:val="20"/>
          <w:color w:val="auto"/>
        </w:rPr>
      </w:pPr>
      <w:r>
        <w:rPr>
          <w:rFonts w:ascii="Arial" w:cs="Arial" w:eastAsia="Arial" w:hAnsi="Arial"/>
          <w:sz w:val="18"/>
          <w:szCs w:val="18"/>
          <w:color w:val="auto"/>
        </w:rPr>
        <w:t>“Revolving Credit Commitment Percentage” means, with respect to any Revolving Credit Lender at any time, the percentage of</w:t>
      </w:r>
    </w:p>
    <w:p>
      <w:pPr>
        <w:spacing w:after="0" w:line="12" w:lineRule="exact"/>
        <w:rPr>
          <w:sz w:val="20"/>
          <w:szCs w:val="20"/>
          <w:color w:val="auto"/>
        </w:rPr>
      </w:pPr>
    </w:p>
    <w:p>
      <w:pPr>
        <w:jc w:val="both"/>
        <w:ind w:left="38"/>
        <w:spacing w:after="0" w:line="226" w:lineRule="auto"/>
        <w:rPr>
          <w:sz w:val="20"/>
          <w:szCs w:val="20"/>
          <w:color w:val="auto"/>
        </w:rPr>
      </w:pPr>
      <w:r>
        <w:rPr>
          <w:rFonts w:ascii="Arial" w:cs="Arial" w:eastAsia="Arial" w:hAnsi="Arial"/>
          <w:sz w:val="18"/>
          <w:szCs w:val="18"/>
          <w:color w:val="auto"/>
        </w:rPr>
        <w:t>the total Revolving Credit Commitments of all the Revolving Credit Lenders represented by such Revolving Credit Lender’s Revolving Credit Commitment. If the Revolving Credit Commitments have terminated or expired, the Revolving Credit Commitment Percentages</w:t>
      </w:r>
    </w:p>
    <w:p>
      <w:pPr>
        <w:spacing w:after="0" w:line="2" w:lineRule="exact"/>
        <w:rPr>
          <w:sz w:val="20"/>
          <w:szCs w:val="20"/>
          <w:color w:val="auto"/>
        </w:rPr>
      </w:pPr>
    </w:p>
    <w:p>
      <w:pPr>
        <w:jc w:val="both"/>
        <w:ind w:left="38"/>
        <w:spacing w:after="0" w:line="266" w:lineRule="auto"/>
        <w:rPr>
          <w:sz w:val="20"/>
          <w:szCs w:val="20"/>
          <w:color w:val="auto"/>
        </w:rPr>
      </w:pPr>
      <w:r>
        <w:rPr>
          <w:rFonts w:ascii="Arial" w:cs="Arial" w:eastAsia="Arial" w:hAnsi="Arial"/>
          <w:sz w:val="18"/>
          <w:szCs w:val="18"/>
          <w:color w:val="auto"/>
        </w:rPr>
        <w:t>shall be determined based upon the Revolving Credit Commitments most recently in effect, giving effect to any assignments. The initial Revolving Credit Commitment of each Revolving Credit Lender is set forth opposite the name of such Lender on Schedule 1.1(a).</w:t>
      </w:r>
    </w:p>
    <w:p>
      <w:pPr>
        <w:spacing w:after="0" w:line="227" w:lineRule="exact"/>
        <w:rPr>
          <w:sz w:val="20"/>
          <w:szCs w:val="20"/>
          <w:color w:val="auto"/>
        </w:rPr>
      </w:pPr>
    </w:p>
    <w:p>
      <w:pPr>
        <w:jc w:val="both"/>
        <w:ind w:left="38" w:right="20" w:firstLine="648"/>
        <w:spacing w:after="0" w:line="227" w:lineRule="auto"/>
        <w:rPr>
          <w:sz w:val="20"/>
          <w:szCs w:val="20"/>
          <w:color w:val="auto"/>
        </w:rPr>
      </w:pPr>
      <w:r>
        <w:rPr>
          <w:rFonts w:ascii="Arial" w:cs="Arial" w:eastAsia="Arial" w:hAnsi="Arial"/>
          <w:sz w:val="20"/>
          <w:szCs w:val="20"/>
          <w:color w:val="auto"/>
        </w:rPr>
        <w:t>“Revolving Credit Exposure” means, as to any Revolving Credit Lender at any time, the aggregate principal amount at such time of its outstanding Revolving Credit Loans and such Revolving Credit Lender’s participation in L/C Obligations and Swingline Loans at such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27" w:name="page128"/>
    <w:bookmarkEnd w:id="127"/>
    <w:p>
      <w:pPr>
        <w:ind w:left="698"/>
        <w:spacing w:after="0"/>
        <w:rPr>
          <w:sz w:val="20"/>
          <w:szCs w:val="20"/>
          <w:color w:val="auto"/>
        </w:rPr>
      </w:pPr>
      <w:r>
        <w:rPr>
          <w:rFonts w:ascii="Arial" w:cs="Arial" w:eastAsia="Arial" w:hAnsi="Arial"/>
          <w:sz w:val="18"/>
          <w:szCs w:val="18"/>
          <w:color w:val="auto"/>
        </w:rPr>
        <w:t>“Revolving Credit Facility” means the revolving credit facility established pursuant to Article II (including any increase in such</w:t>
      </w:r>
    </w:p>
    <w:p>
      <w:pPr>
        <w:spacing w:after="0" w:line="12" w:lineRule="exact"/>
        <w:rPr>
          <w:sz w:val="20"/>
          <w:szCs w:val="20"/>
          <w:color w:val="auto"/>
        </w:rPr>
      </w:pPr>
    </w:p>
    <w:p>
      <w:pPr>
        <w:ind w:left="58"/>
        <w:spacing w:after="0" w:line="220" w:lineRule="auto"/>
        <w:rPr>
          <w:sz w:val="20"/>
          <w:szCs w:val="20"/>
          <w:color w:val="auto"/>
        </w:rPr>
      </w:pPr>
      <w:r>
        <w:rPr>
          <w:rFonts w:ascii="Arial" w:cs="Arial" w:eastAsia="Arial" w:hAnsi="Arial"/>
          <w:sz w:val="20"/>
          <w:szCs w:val="20"/>
          <w:color w:val="auto"/>
        </w:rPr>
        <w:t>revolving credit facility established pursuant to Section 5.13, any Refinance pursuant to Section 5.18 and any Extension pursuant to Section 5.19).</w:t>
      </w:r>
    </w:p>
    <w:p>
      <w:pPr>
        <w:spacing w:after="0" w:line="264" w:lineRule="exact"/>
        <w:rPr>
          <w:sz w:val="20"/>
          <w:szCs w:val="20"/>
          <w:color w:val="auto"/>
        </w:rPr>
      </w:pPr>
    </w:p>
    <w:p>
      <w:pPr>
        <w:jc w:val="both"/>
        <w:ind w:left="58" w:firstLine="648"/>
        <w:spacing w:after="0" w:line="244" w:lineRule="auto"/>
        <w:rPr>
          <w:sz w:val="20"/>
          <w:szCs w:val="20"/>
          <w:color w:val="auto"/>
        </w:rPr>
      </w:pPr>
      <w:r>
        <w:rPr>
          <w:rFonts w:ascii="Arial" w:cs="Arial" w:eastAsia="Arial" w:hAnsi="Arial"/>
          <w:sz w:val="18"/>
          <w:szCs w:val="18"/>
          <w:color w:val="auto"/>
        </w:rPr>
        <w:t>“Revolving Credit Lenders” means, collectively, all of the Lenders with a Revolving Credit Commitment. With respect to (a) each provision of this Agreement relating to the making or the repayment of any Canadian Revolving Credit Loan, (b) any rights of set-off, (c)</w:t>
      </w:r>
    </w:p>
    <w:p>
      <w:pPr>
        <w:ind w:left="58"/>
        <w:spacing w:after="0" w:line="226" w:lineRule="auto"/>
        <w:rPr>
          <w:sz w:val="20"/>
          <w:szCs w:val="20"/>
          <w:color w:val="auto"/>
        </w:rPr>
      </w:pPr>
      <w:r>
        <w:rPr>
          <w:rFonts w:ascii="Arial" w:cs="Arial" w:eastAsia="Arial" w:hAnsi="Arial"/>
          <w:sz w:val="18"/>
          <w:szCs w:val="18"/>
          <w:color w:val="auto"/>
        </w:rPr>
        <w:t>any rights of indemnification or expense reimbursement and (d) reserves, capital adequacy or other provisions, each reference to a “Revolving Credit Lender” shall be deemed to include such Revolving Credit Lender’s Applicable Designee with respect to the portion of</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such Revolving Credit Lender’s Commitment funded by such Applicable Designee.</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“Revolving Credit Loan” means, collectively, all US Revolving Credit Loans and all Canadian Revolving Credit Loans.</w:t>
      </w:r>
    </w:p>
    <w:p>
      <w:pPr>
        <w:spacing w:after="0" w:line="229" w:lineRule="exact"/>
        <w:rPr>
          <w:sz w:val="20"/>
          <w:szCs w:val="20"/>
          <w:color w:val="auto"/>
        </w:rPr>
      </w:pPr>
    </w:p>
    <w:p>
      <w:pPr>
        <w:ind w:left="58" w:firstLine="648"/>
        <w:spacing w:after="0" w:line="223" w:lineRule="auto"/>
        <w:rPr>
          <w:sz w:val="20"/>
          <w:szCs w:val="20"/>
          <w:color w:val="auto"/>
        </w:rPr>
      </w:pPr>
      <w:r>
        <w:rPr>
          <w:rFonts w:ascii="Arial" w:cs="Arial" w:eastAsia="Arial" w:hAnsi="Arial"/>
          <w:sz w:val="19"/>
          <w:szCs w:val="19"/>
          <w:color w:val="auto"/>
        </w:rPr>
        <w:t>“Revolving Credit Maturity Date” means the earliest to occur of (a) August 27, 2026, (b) the date of termination of the entire Revolving Credit Commitment by the US Borrowers pursuant to Section 2.5, and (c) the date of termination of the Revolving Credit</w:t>
      </w:r>
    </w:p>
    <w:p>
      <w:pPr>
        <w:ind w:left="58"/>
        <w:spacing w:after="0" w:line="236" w:lineRule="auto"/>
        <w:rPr>
          <w:sz w:val="20"/>
          <w:szCs w:val="20"/>
          <w:color w:val="auto"/>
        </w:rPr>
      </w:pPr>
      <w:r>
        <w:rPr>
          <w:rFonts w:ascii="Arial" w:cs="Arial" w:eastAsia="Arial" w:hAnsi="Arial"/>
          <w:sz w:val="18"/>
          <w:szCs w:val="18"/>
          <w:color w:val="auto"/>
        </w:rPr>
        <w:t>Commitment pursuant to Section 10.2(a); provided, that the Revolving Credit Maturity Date applicable to Extended Revolving Credit</w:t>
      </w:r>
    </w:p>
    <w:p>
      <w:pPr>
        <w:ind w:left="58" w:right="20"/>
        <w:spacing w:after="0" w:line="220" w:lineRule="auto"/>
        <w:rPr>
          <w:sz w:val="20"/>
          <w:szCs w:val="20"/>
          <w:color w:val="auto"/>
        </w:rPr>
      </w:pPr>
      <w:r>
        <w:rPr>
          <w:rFonts w:ascii="Arial" w:cs="Arial" w:eastAsia="Arial" w:hAnsi="Arial"/>
          <w:sz w:val="20"/>
          <w:szCs w:val="20"/>
          <w:color w:val="auto"/>
        </w:rPr>
        <w:t>Commitments and Refinancing Revolving Credit Commitments shall be the final maturity date specified in the relevant documentation for such Extended Revolving Credit Commitments or Refinancing Revolving Credit Commitments.</w:t>
      </w:r>
    </w:p>
    <w:p>
      <w:pPr>
        <w:spacing w:after="0" w:line="197"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“Revolving Credit Outstandings” means the sum of (a) with respect to Revolving Credit Loans and Swingline Loans on any date, the aggregate outstanding principal amount thereof after giving effect to any borrowings and prepayments or repayments of Revolving</w:t>
      </w:r>
    </w:p>
    <w:p>
      <w:pPr>
        <w:ind w:left="58"/>
        <w:spacing w:after="0" w:line="226" w:lineRule="auto"/>
        <w:rPr>
          <w:sz w:val="20"/>
          <w:szCs w:val="20"/>
          <w:color w:val="auto"/>
        </w:rPr>
      </w:pPr>
      <w:r>
        <w:rPr>
          <w:rFonts w:ascii="Arial" w:cs="Arial" w:eastAsia="Arial" w:hAnsi="Arial"/>
          <w:sz w:val="18"/>
          <w:szCs w:val="18"/>
          <w:color w:val="auto"/>
        </w:rPr>
        <w:t>Credit Loans and Swingline Loans, as the case may be, occurring on such date; plus (b) with respect to any L/C Obligations on any date, the aggregate outstanding amount thereof on such date after giving effect to any Revolving Extensions of Credit occurring on such date</w:t>
      </w:r>
    </w:p>
    <w:p>
      <w:pPr>
        <w:ind w:left="58"/>
        <w:spacing w:after="0" w:line="236" w:lineRule="auto"/>
        <w:rPr>
          <w:sz w:val="20"/>
          <w:szCs w:val="20"/>
          <w:color w:val="auto"/>
        </w:rPr>
      </w:pPr>
      <w:r>
        <w:rPr>
          <w:rFonts w:ascii="Arial" w:cs="Arial" w:eastAsia="Arial" w:hAnsi="Arial"/>
          <w:sz w:val="18"/>
          <w:szCs w:val="18"/>
          <w:color w:val="auto"/>
        </w:rPr>
        <w:t>and any other changes in the aggregate amount of the L/C Obligations as of such date, including as a result of any reimbursements of</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outstanding unpaid drawings under any Letters of Credit or any reductions in the maximum amount available for drawing under Letters of Credit taking effect on such date.</w:t>
      </w:r>
    </w:p>
    <w:p>
      <w:pPr>
        <w:spacing w:after="0" w:line="210" w:lineRule="exact"/>
        <w:rPr>
          <w:sz w:val="20"/>
          <w:szCs w:val="20"/>
          <w:color w:val="auto"/>
        </w:rPr>
      </w:pPr>
    </w:p>
    <w:p>
      <w:pPr>
        <w:ind w:left="58" w:right="20" w:firstLine="648"/>
        <w:spacing w:after="0" w:line="229" w:lineRule="auto"/>
        <w:rPr>
          <w:sz w:val="20"/>
          <w:szCs w:val="20"/>
          <w:color w:val="auto"/>
        </w:rPr>
      </w:pPr>
      <w:r>
        <w:rPr>
          <w:rFonts w:ascii="Arial" w:cs="Arial" w:eastAsia="Arial" w:hAnsi="Arial"/>
          <w:sz w:val="20"/>
          <w:szCs w:val="20"/>
          <w:color w:val="auto"/>
        </w:rPr>
        <w:t>“Revolving Extensions of Credit” means (a) any Revolving Credit Loan then outstanding, (b) any Letter of Credit then outstanding or (c) any Swingline Loan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28" w:name="page129"/>
    <w:bookmarkEnd w:id="128"/>
    <w:p>
      <w:pPr>
        <w:ind w:left="5558"/>
        <w:spacing w:after="0"/>
        <w:rPr>
          <w:sz w:val="20"/>
          <w:szCs w:val="20"/>
          <w:color w:val="auto"/>
        </w:rPr>
      </w:pPr>
      <w:r>
        <w:rPr>
          <w:rFonts w:ascii="Arial" w:cs="Arial" w:eastAsia="Arial" w:hAnsi="Arial"/>
          <w:sz w:val="18"/>
          <w:szCs w:val="18"/>
          <w:color w:val="auto"/>
        </w:rPr>
        <w:t>“S&amp;P” means Standard &amp; Poor’s Rating Service, a division of S&amp;P</w:t>
      </w:r>
    </w:p>
    <w:p>
      <w:pPr>
        <w:ind w:left="58"/>
        <w:spacing w:after="0" w:line="183" w:lineRule="auto"/>
        <w:tabs>
          <w:tab w:leader="none" w:pos="5538" w:val="left"/>
        </w:tabs>
        <w:rPr>
          <w:sz w:val="20"/>
          <w:szCs w:val="20"/>
          <w:color w:val="auto"/>
        </w:rPr>
      </w:pPr>
      <w:r>
        <w:rPr>
          <w:rFonts w:ascii="Arial" w:cs="Arial" w:eastAsia="Arial" w:hAnsi="Arial"/>
          <w:sz w:val="28"/>
          <w:szCs w:val="28"/>
          <w:color w:val="auto"/>
          <w:vertAlign w:val="subscript"/>
        </w:rPr>
        <w:t>thereto.</w:t>
      </w:r>
      <w:r>
        <w:rPr>
          <w:sz w:val="20"/>
          <w:szCs w:val="20"/>
          <w:color w:val="auto"/>
        </w:rPr>
        <w:tab/>
      </w:r>
      <w:r>
        <w:rPr>
          <w:rFonts w:ascii="Arial" w:cs="Arial" w:eastAsia="Arial" w:hAnsi="Arial"/>
          <w:sz w:val="16"/>
          <w:szCs w:val="16"/>
          <w:color w:val="auto"/>
        </w:rPr>
        <w:t>Global Inc. and any successor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“Sanctioned Country” means at any time, a region, country or territory which is itself the subject or target of any Sanctions (which, as of the Closing Date, consists of Cuba, Iran, North Korea, Syria and Crimea).</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OFAC, the U.S. Department of State, the United Nations Security Council, the European Union, any member state of the European Union, Her Majesty’s Treasury of the United Kingdom, Global Affairs Canada, or other relevant sanctions authority, (b) any Person operating,</w:t>
      </w:r>
    </w:p>
    <w:p>
      <w:pPr>
        <w:spacing w:after="0" w:line="2" w:lineRule="exact"/>
        <w:rPr>
          <w:sz w:val="20"/>
          <w:szCs w:val="20"/>
          <w:color w:val="auto"/>
        </w:rPr>
      </w:pPr>
    </w:p>
    <w:p>
      <w:pPr>
        <w:ind w:left="58"/>
        <w:spacing w:after="0" w:line="227" w:lineRule="auto"/>
        <w:rPr>
          <w:sz w:val="20"/>
          <w:szCs w:val="20"/>
          <w:color w:val="auto"/>
        </w:rPr>
      </w:pPr>
      <w:r>
        <w:rPr>
          <w:rFonts w:ascii="Arial" w:cs="Arial" w:eastAsia="Arial" w:hAnsi="Arial"/>
          <w:sz w:val="20"/>
          <w:szCs w:val="20"/>
          <w:color w:val="auto"/>
        </w:rPr>
        <w:t>organized or resident in a Sanctioned Country or (c) any Person owned or controlled by any such Person or Persons described in clauses (a) and (b).</w:t>
      </w:r>
    </w:p>
    <w:p>
      <w:pPr>
        <w:spacing w:after="0" w:line="200" w:lineRule="exact"/>
        <w:rPr>
          <w:sz w:val="20"/>
          <w:szCs w:val="20"/>
          <w:color w:val="auto"/>
        </w:rPr>
      </w:pPr>
    </w:p>
    <w:p>
      <w:pPr>
        <w:spacing w:after="0" w:line="297"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757" w:right="439" w:bottom="1440" w:gutter="0" w:footer="0" w:header="0"/>
        </w:sectPr>
      </w:pPr>
    </w:p>
    <w:bookmarkStart w:id="129" w:name="page130"/>
    <w:bookmarkEnd w:id="129"/>
    <w:p>
      <w:pPr>
        <w:ind w:left="698"/>
        <w:spacing w:after="0"/>
        <w:rPr>
          <w:sz w:val="20"/>
          <w:szCs w:val="20"/>
          <w:color w:val="auto"/>
        </w:rPr>
      </w:pPr>
      <w:r>
        <w:rPr>
          <w:rFonts w:ascii="Arial" w:cs="Arial" w:eastAsia="Arial" w:hAnsi="Arial"/>
          <w:sz w:val="18"/>
          <w:szCs w:val="18"/>
          <w:color w:val="auto"/>
        </w:rPr>
        <w:t>“Sanctions” means sanctions, trade embargoes and anti-terrorism laws, including, but not limited to, those imposed, administered</w:t>
      </w:r>
    </w:p>
    <w:p>
      <w:pPr>
        <w:spacing w:after="0" w:line="12" w:lineRule="exact"/>
        <w:rPr>
          <w:sz w:val="20"/>
          <w:szCs w:val="20"/>
          <w:color w:val="auto"/>
        </w:rPr>
      </w:pPr>
    </w:p>
    <w:p>
      <w:pPr>
        <w:jc w:val="both"/>
        <w:ind w:left="58" w:right="20"/>
        <w:spacing w:after="0" w:line="226" w:lineRule="auto"/>
        <w:rPr>
          <w:sz w:val="20"/>
          <w:szCs w:val="20"/>
          <w:color w:val="auto"/>
        </w:rPr>
      </w:pPr>
      <w:r>
        <w:rPr>
          <w:rFonts w:ascii="Arial" w:cs="Arial" w:eastAsia="Arial" w:hAnsi="Arial"/>
          <w:sz w:val="18"/>
          <w:szCs w:val="18"/>
          <w:color w:val="auto"/>
        </w:rPr>
        <w:t>or enforced from time to time by the U.S. government (including those administered by OFAC or the U.S. Department of State), the United Nations Security Council, the European Union, any member state of the European Union, Her Majesty’s Treasury of the United</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Kingdom, Global Affairs Canada, or other relevant sanctions authority.</w:t>
      </w:r>
    </w:p>
    <w:p>
      <w:pPr>
        <w:spacing w:after="0" w:line="200" w:lineRule="exact"/>
        <w:rPr>
          <w:sz w:val="20"/>
          <w:szCs w:val="20"/>
          <w:color w:val="auto"/>
        </w:rPr>
      </w:pPr>
    </w:p>
    <w:p>
      <w:pPr>
        <w:jc w:val="both"/>
        <w:ind w:left="58" w:right="20" w:firstLine="648"/>
        <w:spacing w:after="0" w:line="236" w:lineRule="auto"/>
        <w:rPr>
          <w:sz w:val="20"/>
          <w:szCs w:val="20"/>
          <w:color w:val="auto"/>
        </w:rPr>
      </w:pPr>
      <w:r>
        <w:rPr>
          <w:rFonts w:ascii="Arial" w:cs="Arial" w:eastAsia="Arial" w:hAnsi="Arial"/>
          <w:sz w:val="20"/>
          <w:szCs w:val="20"/>
          <w:color w:val="auto"/>
        </w:rPr>
        <w:t>“Secured Cash Management Agreement” means any Cash Management Agreement between or among any Credit Party or applicable Subsidiary thereof and any Cash Management Bank.</w:t>
      </w:r>
    </w:p>
    <w:p>
      <w:pPr>
        <w:spacing w:after="0" w:line="196" w:lineRule="exact"/>
        <w:rPr>
          <w:sz w:val="20"/>
          <w:szCs w:val="20"/>
          <w:color w:val="auto"/>
        </w:rPr>
      </w:pPr>
    </w:p>
    <w:p>
      <w:pPr>
        <w:jc w:val="both"/>
        <w:ind w:left="58" w:right="20" w:firstLine="648"/>
        <w:spacing w:after="0" w:line="236" w:lineRule="auto"/>
        <w:rPr>
          <w:sz w:val="20"/>
          <w:szCs w:val="20"/>
          <w:color w:val="auto"/>
        </w:rPr>
      </w:pPr>
      <w:r>
        <w:rPr>
          <w:rFonts w:ascii="Arial" w:cs="Arial" w:eastAsia="Arial" w:hAnsi="Arial"/>
          <w:sz w:val="20"/>
          <w:szCs w:val="20"/>
          <w:color w:val="auto"/>
        </w:rPr>
        <w:t>“Secured Hedge Agreement” means any Hedge Agreement between or among any Credit Party or applicable Subsidiary thereof and any Hedge Bank.</w:t>
      </w:r>
    </w:p>
    <w:p>
      <w:pPr>
        <w:spacing w:after="0" w:line="196" w:lineRule="exact"/>
        <w:rPr>
          <w:sz w:val="20"/>
          <w:szCs w:val="20"/>
          <w:color w:val="auto"/>
        </w:rPr>
      </w:pPr>
    </w:p>
    <w:p>
      <w:pPr>
        <w:jc w:val="both"/>
        <w:ind w:left="58" w:right="20" w:firstLine="648"/>
        <w:spacing w:after="0" w:line="227" w:lineRule="auto"/>
        <w:rPr>
          <w:sz w:val="20"/>
          <w:szCs w:val="20"/>
          <w:color w:val="auto"/>
        </w:rPr>
      </w:pPr>
      <w:r>
        <w:rPr>
          <w:rFonts w:ascii="Arial" w:cs="Arial" w:eastAsia="Arial" w:hAnsi="Arial"/>
          <w:sz w:val="20"/>
          <w:szCs w:val="20"/>
          <w:color w:val="auto"/>
        </w:rPr>
        <w:t>“Secured Obligations”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98" w:lineRule="exact"/>
        <w:rPr>
          <w:sz w:val="20"/>
          <w:szCs w:val="20"/>
          <w:color w:val="auto"/>
        </w:rPr>
      </w:pPr>
    </w:p>
    <w:p>
      <w:pPr>
        <w:ind w:left="698"/>
        <w:spacing w:after="0"/>
        <w:rPr>
          <w:sz w:val="20"/>
          <w:szCs w:val="20"/>
          <w:color w:val="auto"/>
        </w:rPr>
      </w:pPr>
      <w:r>
        <w:rPr>
          <w:rFonts w:ascii="Arial" w:cs="Arial" w:eastAsia="Arial" w:hAnsi="Arial"/>
          <w:sz w:val="20"/>
          <w:szCs w:val="20"/>
          <w:color w:val="auto"/>
        </w:rPr>
        <w:t>“Secured Parties” means, collectively, the Canadian Secured Parties and the US Secured Parties.</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“Securities Act” means the Securities Act of 1933 (15 U.S.C. §§ 77 et seq.).</w:t>
      </w:r>
    </w:p>
    <w:p>
      <w:pPr>
        <w:spacing w:after="0" w:line="283"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18"/>
          <w:szCs w:val="18"/>
          <w:color w:val="auto"/>
        </w:rPr>
        <w:t>“Security Documents” means the collective reference to the US Collateral Agreement, Canadian Collateral Agreement, and each other agreement or writing pursuant to which any Credit Party pledges or grants a security interest in any Property or assets securing the</w:t>
      </w:r>
    </w:p>
    <w:p>
      <w:pPr>
        <w:ind w:left="58"/>
        <w:spacing w:after="0"/>
        <w:rPr>
          <w:sz w:val="20"/>
          <w:szCs w:val="20"/>
          <w:color w:val="auto"/>
        </w:rPr>
      </w:pPr>
      <w:r>
        <w:rPr>
          <w:rFonts w:ascii="Arial" w:cs="Arial" w:eastAsia="Arial" w:hAnsi="Arial"/>
          <w:sz w:val="20"/>
          <w:szCs w:val="20"/>
          <w:color w:val="auto"/>
        </w:rPr>
        <w:t>Secured Obligations.</w:t>
      </w:r>
    </w:p>
    <w:p>
      <w:pPr>
        <w:spacing w:after="0" w:line="200" w:lineRule="exact"/>
        <w:rPr>
          <w:sz w:val="20"/>
          <w:szCs w:val="20"/>
          <w:color w:val="auto"/>
        </w:rPr>
      </w:pPr>
    </w:p>
    <w:p>
      <w:pPr>
        <w:jc w:val="both"/>
        <w:ind w:left="58" w:firstLine="648"/>
        <w:spacing w:after="0" w:line="227" w:lineRule="auto"/>
        <w:rPr>
          <w:sz w:val="20"/>
          <w:szCs w:val="20"/>
          <w:color w:val="auto"/>
        </w:rPr>
      </w:pPr>
      <w:r>
        <w:rPr>
          <w:rFonts w:ascii="Arial" w:cs="Arial" w:eastAsia="Arial" w:hAnsi="Arial"/>
          <w:sz w:val="20"/>
          <w:szCs w:val="20"/>
          <w:color w:val="auto"/>
        </w:rPr>
        <w:t>“SOFR” means</w:t>
      </w:r>
      <w:r>
        <w:rPr>
          <w:rFonts w:ascii="Arial" w:cs="Arial" w:eastAsia="Arial" w:hAnsi="Arial"/>
          <w:sz w:val="20"/>
          <w:szCs w:val="20"/>
          <w:color w:val="FF0000"/>
          <w:strike w:val="1"/>
        </w:rPr>
        <w:t>, with respect to any Business Day,</w:t>
      </w:r>
      <w:r>
        <w:rPr>
          <w:rFonts w:ascii="Arial" w:cs="Arial" w:eastAsia="Arial" w:hAnsi="Arial"/>
          <w:sz w:val="20"/>
          <w:szCs w:val="20"/>
          <w:color w:val="auto"/>
        </w:rPr>
        <w:t xml:space="preserve"> a rate </w:t>
      </w:r>
      <w:r>
        <w:rPr>
          <w:rFonts w:ascii="Arial" w:cs="Arial" w:eastAsia="Arial" w:hAnsi="Arial"/>
          <w:sz w:val="20"/>
          <w:szCs w:val="20"/>
          <w:color w:val="FF0000"/>
          <w:strike w:val="1"/>
        </w:rPr>
        <w:t>per annum</w:t>
      </w:r>
      <w:r>
        <w:rPr>
          <w:rFonts w:ascii="Arial" w:cs="Arial" w:eastAsia="Arial" w:hAnsi="Arial"/>
          <w:sz w:val="20"/>
          <w:szCs w:val="20"/>
          <w:color w:val="auto"/>
        </w:rPr>
        <w:t xml:space="preserve"> equal to the secured overnight financing rate </w:t>
      </w:r>
      <w:r>
        <w:rPr>
          <w:rFonts w:ascii="Arial" w:cs="Arial" w:eastAsia="Arial" w:hAnsi="Arial"/>
          <w:sz w:val="20"/>
          <w:szCs w:val="20"/>
          <w:color w:val="FF0000"/>
          <w:strike w:val="1"/>
        </w:rPr>
        <w:t>for such</w:t>
      </w:r>
      <w:r>
        <w:rPr>
          <w:rFonts w:ascii="Arial" w:cs="Arial" w:eastAsia="Arial" w:hAnsi="Arial"/>
          <w:sz w:val="20"/>
          <w:szCs w:val="20"/>
          <w:color w:val="auto"/>
        </w:rPr>
        <w:t xml:space="preserve"> </w:t>
      </w:r>
      <w:r>
        <w:rPr>
          <w:rFonts w:ascii="Arial" w:cs="Arial" w:eastAsia="Arial" w:hAnsi="Arial"/>
          <w:sz w:val="20"/>
          <w:szCs w:val="20"/>
          <w:color w:val="FF0000"/>
          <w:strike w:val="1"/>
        </w:rPr>
        <w:t>Business Day published</w:t>
      </w:r>
      <w:r>
        <w:rPr>
          <w:rFonts w:ascii="Arial" w:cs="Arial" w:eastAsia="Arial" w:hAnsi="Arial"/>
          <w:sz w:val="20"/>
          <w:szCs w:val="20"/>
          <w:color w:val="0000FF"/>
        </w:rPr>
        <w:t>as administered</w:t>
      </w:r>
      <w:r>
        <w:rPr>
          <w:rFonts w:ascii="Arial" w:cs="Arial" w:eastAsia="Arial" w:hAnsi="Arial"/>
          <w:sz w:val="20"/>
          <w:szCs w:val="20"/>
          <w:color w:val="FF0000"/>
        </w:rPr>
        <w:t xml:space="preserve"> </w:t>
      </w:r>
      <w:r>
        <w:rPr>
          <w:rFonts w:ascii="Arial" w:cs="Arial" w:eastAsia="Arial" w:hAnsi="Arial"/>
          <w:sz w:val="20"/>
          <w:szCs w:val="20"/>
          <w:color w:val="000000"/>
        </w:rPr>
        <w:t>by the SOFR Administrator</w:t>
      </w:r>
      <w:r>
        <w:rPr>
          <w:rFonts w:ascii="Arial" w:cs="Arial" w:eastAsia="Arial" w:hAnsi="Arial"/>
          <w:sz w:val="20"/>
          <w:szCs w:val="20"/>
          <w:color w:val="FF0000"/>
        </w:rPr>
        <w:t xml:space="preserve"> </w:t>
      </w:r>
      <w:r>
        <w:rPr>
          <w:rFonts w:ascii="Arial" w:cs="Arial" w:eastAsia="Arial" w:hAnsi="Arial"/>
          <w:sz w:val="20"/>
          <w:szCs w:val="20"/>
          <w:color w:val="FF0000"/>
          <w:strike w:val="1"/>
        </w:rPr>
        <w:t>on the SOFR Administrator’s Website on the immediately succeeding</w:t>
      </w:r>
      <w:r>
        <w:rPr>
          <w:rFonts w:ascii="Arial" w:cs="Arial" w:eastAsia="Arial" w:hAnsi="Arial"/>
          <w:sz w:val="20"/>
          <w:szCs w:val="20"/>
          <w:color w:val="FF0000"/>
        </w:rPr>
        <w:t xml:space="preserve"> </w:t>
      </w:r>
      <w:r>
        <w:rPr>
          <w:rFonts w:ascii="Arial" w:cs="Arial" w:eastAsia="Arial" w:hAnsi="Arial"/>
          <w:sz w:val="20"/>
          <w:szCs w:val="20"/>
          <w:color w:val="FF0000"/>
          <w:strike w:val="1"/>
        </w:rPr>
        <w:t>Business Day</w:t>
      </w:r>
      <w:r>
        <w:rPr>
          <w:rFonts w:ascii="Arial" w:cs="Arial" w:eastAsia="Arial" w:hAnsi="Arial"/>
          <w:sz w:val="20"/>
          <w:szCs w:val="20"/>
          <w:color w:val="000000"/>
        </w:rPr>
        <w:t>.</w:t>
      </w:r>
    </w:p>
    <w:p>
      <w:pPr>
        <w:spacing w:after="0" w:line="265" w:lineRule="exact"/>
        <w:rPr>
          <w:sz w:val="20"/>
          <w:szCs w:val="20"/>
          <w:color w:val="auto"/>
        </w:rPr>
      </w:pPr>
    </w:p>
    <w:p>
      <w:pPr>
        <w:jc w:val="both"/>
        <w:ind w:left="58" w:firstLine="648"/>
        <w:spacing w:after="0" w:line="229" w:lineRule="auto"/>
        <w:rPr>
          <w:sz w:val="20"/>
          <w:szCs w:val="20"/>
          <w:color w:val="auto"/>
        </w:rPr>
      </w:pPr>
      <w:r>
        <w:rPr>
          <w:rFonts w:ascii="Arial" w:cs="Arial" w:eastAsia="Arial" w:hAnsi="Arial"/>
          <w:sz w:val="20"/>
          <w:szCs w:val="20"/>
          <w:color w:val="auto"/>
        </w:rPr>
        <w:t>“SOFR Administrator” means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98"/>
        <w:spacing w:after="0"/>
        <w:tabs>
          <w:tab w:leader="none" w:pos="1438" w:val="left"/>
          <w:tab w:leader="none" w:pos="2858" w:val="left"/>
          <w:tab w:leader="none" w:pos="3738" w:val="left"/>
          <w:tab w:leader="none" w:pos="4418" w:val="left"/>
          <w:tab w:leader="none" w:pos="4838" w:val="left"/>
          <w:tab w:leader="none" w:pos="5618" w:val="left"/>
          <w:tab w:leader="none" w:pos="5938" w:val="left"/>
          <w:tab w:leader="none" w:pos="6358" w:val="left"/>
          <w:tab w:leader="none" w:pos="7138" w:val="left"/>
          <w:tab w:leader="none" w:pos="7938" w:val="left"/>
          <w:tab w:leader="none" w:pos="8538" w:val="left"/>
          <w:tab w:leader="none" w:pos="8858" w:val="left"/>
          <w:tab w:leader="none" w:pos="9418" w:val="left"/>
          <w:tab w:leader="none" w:pos="10018" w:val="left"/>
          <w:tab w:leader="none" w:pos="10898" w:val="left"/>
        </w:tabs>
        <w:rPr>
          <w:sz w:val="20"/>
          <w:szCs w:val="20"/>
          <w:color w:val="auto"/>
        </w:rPr>
      </w:pPr>
      <w:r>
        <w:rPr>
          <w:rFonts w:ascii="Arial" w:cs="Arial" w:eastAsia="Arial" w:hAnsi="Arial"/>
          <w:sz w:val="20"/>
          <w:szCs w:val="20"/>
          <w:color w:val="auto"/>
        </w:rPr>
        <w:t>“SOFR</w:t>
      </w:r>
      <w:r>
        <w:rPr>
          <w:rFonts w:ascii="Arial" w:cs="Arial" w:eastAsia="Arial" w:hAnsi="Arial"/>
          <w:sz w:val="20"/>
          <w:szCs w:val="20"/>
          <w:color w:val="FF0000"/>
        </w:rPr>
        <w:tab/>
        <w:t>Administrator’s</w:t>
        <w:tab/>
        <w:t>Website”</w:t>
        <w:tab/>
        <w:t>means</w:t>
        <w:tab/>
        <w:t>the</w:t>
        <w:tab/>
        <w:t>website</w:t>
        <w:tab/>
        <w:t>of</w:t>
      </w:r>
      <w:r>
        <w:rPr>
          <w:rFonts w:ascii="Arial" w:cs="Arial" w:eastAsia="Arial" w:hAnsi="Arial"/>
          <w:sz w:val="20"/>
          <w:szCs w:val="20"/>
          <w:color w:val="00C000"/>
        </w:rPr>
        <w:tab/>
        <w:t>the</w:t>
        <w:tab/>
        <w:t>Federal</w:t>
        <w:tab/>
        <w:t>Reserve</w:t>
        <w:tab/>
        <w:t>Bank</w:t>
        <w:tab/>
        <w:t>of</w:t>
        <w:tab/>
        <w:t>New</w:t>
        <w:tab/>
        <w:t>York,</w:t>
      </w:r>
      <w:r>
        <w:rPr>
          <w:sz w:val="20"/>
          <w:szCs w:val="20"/>
          <w:color w:val="auto"/>
        </w:rPr>
        <w:tab/>
      </w:r>
      <w:r>
        <w:rPr>
          <w:rFonts w:ascii="Arial" w:cs="Arial" w:eastAsia="Arial" w:hAnsi="Arial"/>
          <w:sz w:val="20"/>
          <w:szCs w:val="20"/>
          <w:color w:val="FF0000"/>
          <w:strike w:val="1"/>
        </w:rPr>
        <w:t>currently</w:t>
      </w:r>
      <w:r>
        <w:rPr>
          <w:sz w:val="20"/>
          <w:szCs w:val="20"/>
          <w:color w:val="auto"/>
        </w:rPr>
        <w:tab/>
      </w:r>
      <w:r>
        <w:rPr>
          <w:rFonts w:ascii="Arial" w:cs="Arial" w:eastAsia="Arial" w:hAnsi="Arial"/>
          <w:sz w:val="19"/>
          <w:szCs w:val="19"/>
          <w:color w:val="FF0000"/>
          <w:strike w:val="1"/>
        </w:rPr>
        <w:t>at</w:t>
      </w:r>
    </w:p>
    <w:p>
      <w:pPr>
        <w:ind w:left="58"/>
        <w:spacing w:after="0" w:line="234" w:lineRule="auto"/>
        <w:rPr>
          <w:sz w:val="20"/>
          <w:szCs w:val="20"/>
          <w:color w:val="auto"/>
        </w:rPr>
      </w:pPr>
      <w:r>
        <w:rPr>
          <w:rFonts w:ascii="Arial" w:cs="Arial" w:eastAsia="Arial" w:hAnsi="Arial"/>
          <w:sz w:val="18"/>
          <w:szCs w:val="18"/>
          <w:u w:val="single" w:color="auto"/>
          <w:color w:val="FF0000"/>
        </w:rPr>
        <w:t>h</w:t>
      </w:r>
      <w:r>
        <w:rPr>
          <w:rFonts w:ascii="Arial" w:cs="Arial" w:eastAsia="Arial" w:hAnsi="Arial"/>
          <w:sz w:val="18"/>
          <w:szCs w:val="18"/>
          <w:color w:val="FF0000"/>
        </w:rPr>
        <w:t xml:space="preserve">ttp://www.newyorkfed.org, </w:t>
      </w:r>
      <w:r>
        <w:rPr>
          <w:rFonts w:ascii="Arial" w:cs="Arial" w:eastAsia="Arial" w:hAnsi="Arial"/>
          <w:sz w:val="18"/>
          <w:szCs w:val="18"/>
          <w:color w:val="FF0000"/>
          <w:strike w:val="1"/>
        </w:rPr>
        <w:t>or any successor source for the secured overnight financing rate identified as such by the SOFR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-58420</wp:posOffset>
            </wp:positionV>
            <wp:extent cx="62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6">
                      <a:extLst>
                        <a:ext uri="{28A0092B-C50C-407E-A947-70E740481C1C}"/>
                      </a:extLst>
                    </a:blip>
                    <a:srcRect/>
                    <a:stretch>
                      <a:fillRect/>
                    </a:stretch>
                  </pic:blipFill>
                  <pic:spPr bwMode="auto">
                    <a:xfrm>
                      <a:off x="0" y="0"/>
                      <a:ext cx="62865" cy="8255"/>
                    </a:xfrm>
                    <a:prstGeom prst="rect">
                      <a:avLst/>
                    </a:prstGeom>
                    <a:noFill/>
                  </pic:spPr>
                </pic:pic>
              </a:graphicData>
            </a:graphic>
          </wp:anchor>
        </w:drawing>
      </w:r>
    </w:p>
    <w:p>
      <w:pPr>
        <w:ind w:left="58"/>
        <w:spacing w:after="0"/>
        <w:rPr>
          <w:sz w:val="20"/>
          <w:szCs w:val="20"/>
          <w:color w:val="auto"/>
        </w:rPr>
      </w:pPr>
      <w:r>
        <w:rPr>
          <w:rFonts w:ascii="Arial" w:cs="Arial" w:eastAsia="Arial" w:hAnsi="Arial"/>
          <w:sz w:val="19"/>
          <w:szCs w:val="19"/>
          <w:color w:val="FF0000"/>
          <w:strike w:val="1"/>
        </w:rPr>
        <w:t>from time to time</w:t>
      </w:r>
      <w:r>
        <w:rPr>
          <w:rFonts w:ascii="Arial" w:cs="Arial" w:eastAsia="Arial" w:hAnsi="Arial"/>
          <w:sz w:val="19"/>
          <w:szCs w:val="19"/>
          <w:color w:val="0000FF"/>
        </w:rPr>
        <w:t>Loan” means any Loan bearing interest at a rate based on Adjusted Term SOFR as provided in Section 5.1(a)</w:t>
      </w:r>
      <w:r>
        <w:rPr>
          <w:rFonts w:ascii="Arial" w:cs="Arial" w:eastAsia="Arial" w:hAnsi="Arial"/>
          <w:sz w:val="19"/>
          <w:szCs w:val="19"/>
          <w:color w:val="000000"/>
        </w:rPr>
        <w:t>.</w:t>
      </w:r>
    </w:p>
    <w:p>
      <w:pPr>
        <w:spacing w:after="0" w:line="279"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18"/>
          <w:szCs w:val="18"/>
          <w:color w:val="auto"/>
        </w:rPr>
        <w:t>“Solvent” and “Solvency” mean, with respect to any Person on any date of determination, that on such date (a) the fair value of the property of such Person is greater than the total amount of liabilities, including contingent liabilities, of such Person, (b) the present fair</w:t>
      </w:r>
    </w:p>
    <w:p>
      <w:pPr>
        <w:ind w:left="58"/>
        <w:spacing w:after="0"/>
        <w:rPr>
          <w:sz w:val="20"/>
          <w:szCs w:val="20"/>
          <w:color w:val="auto"/>
        </w:rPr>
      </w:pPr>
      <w:r>
        <w:rPr>
          <w:rFonts w:ascii="Arial" w:cs="Arial" w:eastAsia="Arial" w:hAnsi="Arial"/>
          <w:sz w:val="16"/>
          <w:szCs w:val="16"/>
          <w:color w:val="auto"/>
        </w:rPr>
        <w:t>salable value of the assets of such Person is not less than the amount that will be required to pay the probable liability of such Person on its</w:t>
      </w:r>
    </w:p>
    <w:p>
      <w:pPr>
        <w:spacing w:after="0" w:line="19"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debts as they become absolute and matured, (c) such Person does not intend to, and does not believe that it will, incur debts or liabilities beyond such Person’s ability to pay such debts and liabilities as they mature, (d) such Person is not engaged in business or a transaction,</w:t>
      </w:r>
    </w:p>
    <w:p>
      <w:pPr>
        <w:ind w:left="58"/>
        <w:spacing w:after="0" w:line="236" w:lineRule="auto"/>
        <w:rPr>
          <w:sz w:val="20"/>
          <w:szCs w:val="20"/>
          <w:color w:val="auto"/>
        </w:rPr>
      </w:pPr>
      <w:r>
        <w:rPr>
          <w:rFonts w:ascii="Arial" w:cs="Arial" w:eastAsia="Arial" w:hAnsi="Arial"/>
          <w:sz w:val="18"/>
          <w:szCs w:val="18"/>
          <w:color w:val="auto"/>
        </w:rPr>
        <w:t>and is not about to engage in business or a transaction, for which such Person’s property would constitute an unreasonably small capital,</w:t>
      </w:r>
    </w:p>
    <w:p>
      <w:pPr>
        <w:spacing w:after="0" w:line="1"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and (e) such Person is able to pay its debts and liabilities, contingent obligations and other commitments as they mature in the ordinary course of business. The amount of contingent liabilities at any time shall be computed as the amount that, in the light of all the facts and</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8"/>
          <w:szCs w:val="18"/>
          <w:color w:val="auto"/>
        </w:rPr>
        <w:t>circumstances existing at such time, represents the amount that can reasonably be expected to become an actual or matured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338" w:hanging="338"/>
        <w:spacing w:after="0"/>
        <w:tabs>
          <w:tab w:leader="none" w:pos="338" w:val="left"/>
        </w:tabs>
        <w:numPr>
          <w:ilvl w:val="0"/>
          <w:numId w:val="13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0" w:name="page131"/>
    <w:bookmarkEnd w:id="130"/>
    <w:p>
      <w:pPr>
        <w:spacing w:after="0" w:line="20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“Southwest Gas” means Southwest Gas Holdings, Inc., a Delaware corporation.</w:t>
      </w:r>
    </w:p>
    <w:p>
      <w:pPr>
        <w:spacing w:after="0" w:line="283" w:lineRule="exact"/>
        <w:rPr>
          <w:sz w:val="20"/>
          <w:szCs w:val="20"/>
          <w:color w:val="auto"/>
        </w:rPr>
      </w:pPr>
    </w:p>
    <w:p>
      <w:pPr>
        <w:jc w:val="both"/>
        <w:ind w:left="58" w:right="20" w:firstLine="648"/>
        <w:spacing w:after="0" w:line="236" w:lineRule="auto"/>
        <w:rPr>
          <w:sz w:val="20"/>
          <w:szCs w:val="20"/>
          <w:color w:val="auto"/>
        </w:rPr>
      </w:pPr>
      <w:r>
        <w:rPr>
          <w:rFonts w:ascii="Arial" w:cs="Arial" w:eastAsia="Arial" w:hAnsi="Arial"/>
          <w:sz w:val="20"/>
          <w:szCs w:val="20"/>
          <w:color w:val="auto"/>
        </w:rPr>
        <w:t>“Specified Disposition” means any Asset Disposition (or series of related Asset Dispositions) having gross sales proceeds in excess of $10,000,000.</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“Specified Representations” means the representations and warranties set forth in the Loan Documents relating to corporate</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existence of the Credit Parties and good standing of the Credit Parties in their respective jurisdictions of organization; power and authority, due authorization, execution and delivery and enforceability, in each case, relating to the Credit Parties entering into and performance of</w:t>
      </w:r>
    </w:p>
    <w:p>
      <w:pPr>
        <w:ind w:left="58"/>
        <w:spacing w:after="0" w:line="236" w:lineRule="auto"/>
        <w:rPr>
          <w:sz w:val="20"/>
          <w:szCs w:val="20"/>
          <w:color w:val="auto"/>
        </w:rPr>
      </w:pPr>
      <w:r>
        <w:rPr>
          <w:rFonts w:ascii="Arial" w:cs="Arial" w:eastAsia="Arial" w:hAnsi="Arial"/>
          <w:sz w:val="18"/>
          <w:szCs w:val="18"/>
          <w:color w:val="auto"/>
        </w:rPr>
        <w:t>the Loan Documents; no conflicts with or consents under the Credit Parties’ organizational documents; Solvency of the Borrowers and</w:t>
      </w:r>
    </w:p>
    <w:p>
      <w:pPr>
        <w:spacing w:after="0" w:line="1"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their respective subsidiaries on a Consolidated basis as of the Closing Date (after giving effect to the Transactions); Federal Reserve margin regulations; the Investment Company Act; use of proceeds not in violation of Sanctions, Anti-Money Laundering Laws, Anti-</w:t>
      </w:r>
    </w:p>
    <w:p>
      <w:pPr>
        <w:ind w:left="58"/>
        <w:spacing w:after="0" w:line="236" w:lineRule="auto"/>
        <w:rPr>
          <w:sz w:val="20"/>
          <w:szCs w:val="20"/>
          <w:color w:val="auto"/>
        </w:rPr>
      </w:pPr>
      <w:r>
        <w:rPr>
          <w:rFonts w:ascii="Arial" w:cs="Arial" w:eastAsia="Arial" w:hAnsi="Arial"/>
          <w:sz w:val="18"/>
          <w:szCs w:val="18"/>
          <w:color w:val="auto"/>
        </w:rPr>
        <w:t>Corruption Laws and Beneficial Ownership Certifications; and creation, validity and perfection of security interests in the Collateral; and</w:t>
      </w:r>
    </w:p>
    <w:p>
      <w:pPr>
        <w:spacing w:after="0" w:line="1" w:lineRule="exact"/>
        <w:rPr>
          <w:sz w:val="20"/>
          <w:szCs w:val="20"/>
          <w:color w:val="auto"/>
        </w:rPr>
      </w:pPr>
    </w:p>
    <w:p>
      <w:pPr>
        <w:jc w:val="both"/>
        <w:ind w:left="58" w:right="20"/>
        <w:spacing w:after="0" w:line="220" w:lineRule="auto"/>
        <w:rPr>
          <w:sz w:val="20"/>
          <w:szCs w:val="20"/>
          <w:color w:val="auto"/>
        </w:rPr>
      </w:pPr>
      <w:r>
        <w:rPr>
          <w:rFonts w:ascii="Arial" w:cs="Arial" w:eastAsia="Arial" w:hAnsi="Arial"/>
          <w:sz w:val="20"/>
          <w:szCs w:val="20"/>
          <w:color w:val="auto"/>
        </w:rPr>
        <w:t>the status of the Credit Facilities and the guaranties thereof as senior debt (or equivalent term) and, to the extent applicable, “designated senior debt” (or an equivalent term).</w:t>
      </w:r>
    </w:p>
    <w:p>
      <w:pPr>
        <w:spacing w:after="0" w:line="197" w:lineRule="exact"/>
        <w:rPr>
          <w:sz w:val="20"/>
          <w:szCs w:val="20"/>
          <w:color w:val="auto"/>
        </w:rPr>
      </w:pPr>
    </w:p>
    <w:p>
      <w:pPr>
        <w:ind w:left="58" w:right="2500" w:firstLine="648"/>
        <w:spacing w:after="0" w:line="257" w:lineRule="auto"/>
        <w:rPr>
          <w:sz w:val="20"/>
          <w:szCs w:val="20"/>
          <w:color w:val="auto"/>
        </w:rPr>
      </w:pPr>
      <w:r>
        <w:rPr>
          <w:rFonts w:ascii="Arial" w:cs="Arial" w:eastAsia="Arial" w:hAnsi="Arial"/>
          <w:sz w:val="19"/>
          <w:szCs w:val="19"/>
          <w:color w:val="auto"/>
        </w:rPr>
        <w:t>“Specified Transactions” means (a) any Specified Disposition consummated after the Closing Date, (b) any Permitted Acquisition consummated after the Closing Date and (c) the Transactions.</w:t>
      </w:r>
    </w:p>
    <w:p>
      <w:pPr>
        <w:spacing w:after="0" w:line="180" w:lineRule="exact"/>
        <w:rPr>
          <w:sz w:val="20"/>
          <w:szCs w:val="20"/>
          <w:color w:val="auto"/>
        </w:rPr>
      </w:pPr>
    </w:p>
    <w:p>
      <w:pPr>
        <w:jc w:val="both"/>
        <w:ind w:left="58" w:firstLine="648"/>
        <w:spacing w:after="0" w:line="212" w:lineRule="auto"/>
        <w:rPr>
          <w:sz w:val="20"/>
          <w:szCs w:val="20"/>
          <w:color w:val="auto"/>
        </w:rPr>
      </w:pPr>
      <w:r>
        <w:rPr>
          <w:rFonts w:ascii="Arial" w:cs="Arial" w:eastAsia="Arial" w:hAnsi="Arial"/>
          <w:sz w:val="20"/>
          <w:szCs w:val="20"/>
          <w:color w:val="auto"/>
        </w:rPr>
        <w:t>“Spot Rate”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w:t>
      </w:r>
    </w:p>
    <w:p>
      <w:pPr>
        <w:spacing w:after="0" w:line="1" w:lineRule="exact"/>
        <w:rPr>
          <w:sz w:val="20"/>
          <w:szCs w:val="20"/>
          <w:color w:val="auto"/>
        </w:rPr>
      </w:pPr>
    </w:p>
    <w:p>
      <w:pPr>
        <w:jc w:val="both"/>
        <w:ind w:left="58"/>
        <w:spacing w:after="0" w:line="234" w:lineRule="auto"/>
        <w:rPr>
          <w:sz w:val="20"/>
          <w:szCs w:val="20"/>
          <w:color w:val="auto"/>
        </w:rPr>
      </w:pPr>
      <w:r>
        <w:rPr>
          <w:rFonts w:ascii="Arial" w:cs="Arial" w:eastAsia="Arial" w:hAnsi="Arial"/>
          <w:sz w:val="19"/>
          <w:szCs w:val="19"/>
          <w:color w:val="auto"/>
        </w:rPr>
        <w:t>a.m. on the date two (2) Business Days prior to the date as of which the foreign exchange computation is made; provided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spacing w:after="0" w:line="195" w:lineRule="exact"/>
        <w:rPr>
          <w:sz w:val="20"/>
          <w:szCs w:val="20"/>
          <w:color w:val="auto"/>
        </w:rPr>
      </w:pPr>
    </w:p>
    <w:p>
      <w:pPr>
        <w:jc w:val="both"/>
        <w:ind w:left="58" w:right="20" w:firstLine="648"/>
        <w:spacing w:after="0" w:line="285" w:lineRule="auto"/>
        <w:rPr>
          <w:sz w:val="20"/>
          <w:szCs w:val="20"/>
          <w:color w:val="auto"/>
        </w:rPr>
      </w:pPr>
      <w:r>
        <w:rPr>
          <w:rFonts w:ascii="Arial" w:cs="Arial" w:eastAsia="Arial" w:hAnsi="Arial"/>
          <w:sz w:val="18"/>
          <w:szCs w:val="18"/>
          <w:color w:val="auto"/>
        </w:rPr>
        <w:t>“Subordinated Indebtedness” means the collective reference to any Indebtedness incurred by any Consolidated Company that is subordinated in right and time of payment to the Obligations on terms and conditions satisfactory to the Administrative Agent.</w:t>
      </w:r>
    </w:p>
    <w:p>
      <w:pPr>
        <w:spacing w:after="0" w:line="15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“Subsidiary” means as to any Person, any corporation, partnership, limited liability company or other entity of which more than</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fifty percent (50%) of the outstanding Equity Interests having ordinary voting power to elect a majority of the board of directors (or equivalent governing body) or other managers of such corporation, partnership, limited liability company or other entity is at the time</w:t>
      </w:r>
    </w:p>
    <w:p>
      <w:pPr>
        <w:ind w:left="58"/>
        <w:spacing w:after="0" w:line="224" w:lineRule="auto"/>
        <w:rPr>
          <w:sz w:val="20"/>
          <w:szCs w:val="20"/>
          <w:color w:val="auto"/>
        </w:rPr>
      </w:pPr>
      <w:r>
        <w:rPr>
          <w:rFonts w:ascii="Arial" w:cs="Arial" w:eastAsia="Arial" w:hAnsi="Arial"/>
          <w:sz w:val="19"/>
          <w:szCs w:val="19"/>
          <w:color w:val="auto"/>
        </w:rPr>
        <w:t>owned by (directly or indirectly) or the management is otherwise controlled by (directly or indirectly) such Person (irrespective of</w:t>
      </w:r>
    </w:p>
    <w:p>
      <w:pPr>
        <w:jc w:val="both"/>
        <w:ind w:left="58"/>
        <w:spacing w:after="0" w:line="226" w:lineRule="auto"/>
        <w:rPr>
          <w:sz w:val="20"/>
          <w:szCs w:val="20"/>
          <w:color w:val="auto"/>
        </w:rPr>
      </w:pPr>
      <w:r>
        <w:rPr>
          <w:rFonts w:ascii="Arial" w:cs="Arial" w:eastAsia="Arial" w:hAnsi="Arial"/>
          <w:sz w:val="18"/>
          <w:szCs w:val="18"/>
          <w:color w:val="auto"/>
        </w:rPr>
        <w:t>whether, at the time, Equity Interests of any other class or classes of such corporation, partnership, limited liability company or other entity shall have or might have voting power by reason of the happening of any contingency). Unless otherwise qualified, references to</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“Subsidiary” or “Subsidiaries” herein shall refer to those of Centuri.</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20"/>
          <w:szCs w:val="20"/>
          <w:color w:val="auto"/>
        </w:rPr>
        <w:t>“Subsidiary Guarantors” means, collectively, the US Subsidiary Guarantors and the Canadian Subsidiary Guarantors.</w:t>
      </w:r>
    </w:p>
    <w:p>
      <w:pPr>
        <w:spacing w:after="0" w:line="229" w:lineRule="exact"/>
        <w:rPr>
          <w:sz w:val="20"/>
          <w:szCs w:val="20"/>
          <w:color w:val="auto"/>
        </w:rPr>
      </w:pPr>
    </w:p>
    <w:p>
      <w:pPr>
        <w:jc w:val="both"/>
        <w:ind w:left="58" w:right="20" w:firstLine="648"/>
        <w:spacing w:after="0" w:line="229" w:lineRule="auto"/>
        <w:rPr>
          <w:sz w:val="20"/>
          <w:szCs w:val="20"/>
          <w:color w:val="auto"/>
        </w:rPr>
      </w:pPr>
      <w:r>
        <w:rPr>
          <w:rFonts w:ascii="Arial" w:cs="Arial" w:eastAsia="Arial" w:hAnsi="Arial"/>
          <w:sz w:val="20"/>
          <w:szCs w:val="20"/>
          <w:color w:val="auto"/>
        </w:rPr>
        <w:t>“Swap Obligation” means, with respect to any Credit Party, any obligation to pay or perform under any agreement, contract or transaction that constitutes a “swap” within the meaning of section 1a(47) of the Commodity Exchange Act.</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20"/>
          <w:szCs w:val="20"/>
          <w:color w:val="auto"/>
        </w:rPr>
        <w:t>“Swingline Commitment” means the lesser of (a) $30,000,000 and (b) the Revolving Credit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31" w:name="page132"/>
    <w:bookmarkEnd w:id="131"/>
    <w:p>
      <w:pPr>
        <w:spacing w:after="0" w:line="209" w:lineRule="exact"/>
        <w:rPr>
          <w:sz w:val="20"/>
          <w:szCs w:val="20"/>
          <w:color w:val="auto"/>
        </w:rPr>
      </w:pPr>
    </w:p>
    <w:p>
      <w:pPr>
        <w:ind w:left="698"/>
        <w:spacing w:after="0"/>
        <w:rPr>
          <w:sz w:val="20"/>
          <w:szCs w:val="20"/>
          <w:color w:val="auto"/>
        </w:rPr>
      </w:pPr>
      <w:r>
        <w:rPr>
          <w:rFonts w:ascii="Arial" w:cs="Arial" w:eastAsia="Arial" w:hAnsi="Arial"/>
          <w:sz w:val="20"/>
          <w:szCs w:val="20"/>
          <w:color w:val="auto"/>
        </w:rPr>
        <w:t>“Swingline Facility” means the swingline facility established pursuant to Section 2.2.</w:t>
      </w:r>
    </w:p>
    <w:p>
      <w:pPr>
        <w:spacing w:after="0" w:line="283" w:lineRule="exact"/>
        <w:rPr>
          <w:sz w:val="20"/>
          <w:szCs w:val="20"/>
          <w:color w:val="auto"/>
        </w:rPr>
      </w:pPr>
    </w:p>
    <w:p>
      <w:pPr>
        <w:jc w:val="both"/>
        <w:ind w:left="58" w:right="20" w:firstLine="648"/>
        <w:spacing w:after="0" w:line="285" w:lineRule="auto"/>
        <w:rPr>
          <w:sz w:val="20"/>
          <w:szCs w:val="20"/>
          <w:color w:val="auto"/>
        </w:rPr>
      </w:pPr>
      <w:r>
        <w:rPr>
          <w:rFonts w:ascii="Arial" w:cs="Arial" w:eastAsia="Arial" w:hAnsi="Arial"/>
          <w:sz w:val="18"/>
          <w:szCs w:val="18"/>
          <w:color w:val="auto"/>
        </w:rPr>
        <w:t>“Swingline Lender” means (a) Wells Fargo, solely in its capacity as swingline lender with respect to US Swingline Loans and (b) CIBC, solely in its capacity as swingline lender with respect to Canadian Swingline Loans, in each case, or any successor thereto.</w:t>
      </w:r>
    </w:p>
    <w:p>
      <w:pPr>
        <w:spacing w:after="0" w:line="156"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20"/>
          <w:szCs w:val="20"/>
          <w:color w:val="auto"/>
        </w:rPr>
        <w:t>“Swingline Loan” means, a US Swingline Loan or a Canadian Swingline Loan, as the context requires, and “Swingline Loans” means, collectively, all US Swingline Loans and all Canadian Swingline Loans.</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“Synthetic Lease” means any synthetic lease, tax retention operating lease, off-balance sheet loan or similar off-balance sheet</w:t>
      </w:r>
    </w:p>
    <w:p>
      <w:pPr>
        <w:spacing w:after="0" w:line="12" w:lineRule="exact"/>
        <w:rPr>
          <w:sz w:val="20"/>
          <w:szCs w:val="20"/>
          <w:color w:val="auto"/>
        </w:rPr>
      </w:pPr>
    </w:p>
    <w:p>
      <w:pPr>
        <w:jc w:val="both"/>
        <w:ind w:left="58" w:right="20"/>
        <w:spacing w:after="0" w:line="220" w:lineRule="auto"/>
        <w:rPr>
          <w:sz w:val="20"/>
          <w:szCs w:val="20"/>
          <w:color w:val="auto"/>
        </w:rPr>
      </w:pPr>
      <w:r>
        <w:rPr>
          <w:rFonts w:ascii="Arial" w:cs="Arial" w:eastAsia="Arial" w:hAnsi="Arial"/>
          <w:sz w:val="20"/>
          <w:szCs w:val="20"/>
          <w:color w:val="auto"/>
        </w:rPr>
        <w:t>financing product where such transaction is considered borrowed money indebtedness for tax purposes but is classified as an Operating Lease in accordance with GAAP.</w:t>
      </w:r>
    </w:p>
    <w:p>
      <w:pPr>
        <w:spacing w:after="0" w:line="210"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18"/>
          <w:szCs w:val="18"/>
          <w:color w:val="auto"/>
        </w:rPr>
        <w:t>“Taxes” means all present or future taxes, levies, imposts, duties, deductions, withholdings (including backup withholding), assessments, fees or other charges imposed by any Governmental Authority, including any interest, fines, additions to tax or penalties</w:t>
      </w:r>
    </w:p>
    <w:p>
      <w:pPr>
        <w:ind w:left="58"/>
        <w:spacing w:after="0"/>
        <w:rPr>
          <w:sz w:val="20"/>
          <w:szCs w:val="20"/>
          <w:color w:val="auto"/>
        </w:rPr>
      </w:pPr>
      <w:r>
        <w:rPr>
          <w:rFonts w:ascii="Arial" w:cs="Arial" w:eastAsia="Arial" w:hAnsi="Arial"/>
          <w:sz w:val="20"/>
          <w:szCs w:val="20"/>
          <w:color w:val="auto"/>
        </w:rPr>
        <w:t>applicable thereto.</w:t>
      </w:r>
    </w:p>
    <w:p>
      <w:pPr>
        <w:spacing w:after="0" w:line="200" w:lineRule="exact"/>
        <w:rPr>
          <w:sz w:val="20"/>
          <w:szCs w:val="20"/>
          <w:color w:val="auto"/>
        </w:rPr>
      </w:pPr>
    </w:p>
    <w:p>
      <w:pPr>
        <w:jc w:val="both"/>
        <w:ind w:left="58" w:firstLine="648"/>
        <w:spacing w:after="0" w:line="244" w:lineRule="auto"/>
        <w:rPr>
          <w:sz w:val="20"/>
          <w:szCs w:val="20"/>
          <w:color w:val="auto"/>
        </w:rPr>
      </w:pPr>
      <w:r>
        <w:rPr>
          <w:rFonts w:ascii="Arial" w:cs="Arial" w:eastAsia="Arial" w:hAnsi="Arial"/>
          <w:sz w:val="18"/>
          <w:szCs w:val="18"/>
          <w:color w:val="auto"/>
        </w:rPr>
        <w:t>“Term Loan Commitment” means (a) as to any Term Loan Lender, the obligation of such Term Loan Lender to make a portion of the Initial Term Loan and/or Incremental Term Loans, as applicable, to the account of the US Borrowers or the Canadian Borrowers, as</w:t>
      </w:r>
    </w:p>
    <w:p>
      <w:pPr>
        <w:jc w:val="both"/>
        <w:ind w:left="58"/>
        <w:spacing w:after="0" w:line="226" w:lineRule="auto"/>
        <w:rPr>
          <w:sz w:val="20"/>
          <w:szCs w:val="20"/>
          <w:color w:val="auto"/>
        </w:rPr>
      </w:pPr>
      <w:r>
        <w:rPr>
          <w:rFonts w:ascii="Arial" w:cs="Arial" w:eastAsia="Arial" w:hAnsi="Arial"/>
          <w:sz w:val="18"/>
          <w:szCs w:val="18"/>
          <w:color w:val="auto"/>
        </w:rPr>
        <w:t>applicable, hereunder on the Closing Date or the applicable borrowing date (in the case of any Incremental Term Loan) in an aggregate principal amount not to exceed the amount set forth opposite such Lender’s name on the Register, as such amount may be increased,</w:t>
      </w:r>
    </w:p>
    <w:p>
      <w:pPr>
        <w:spacing w:after="0" w:line="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reduced or otherwise modified at any time or from time to time pursuant to the terms hereof and (b) as to all Term Loan Lenders, the aggregate commitment of all Term Loan Lenders to make such Initial Term Loan. The aggregate Term Loan Commitment with respect to</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the Initial Term Loan of all Term Loan Lenders on the Closing Date shall be $1,145,000,000.</w:t>
      </w:r>
    </w:p>
    <w:p>
      <w:pPr>
        <w:spacing w:after="0" w:line="200" w:lineRule="exact"/>
        <w:rPr>
          <w:sz w:val="20"/>
          <w:szCs w:val="20"/>
          <w:color w:val="auto"/>
        </w:rPr>
      </w:pPr>
    </w:p>
    <w:p>
      <w:pPr>
        <w:jc w:val="both"/>
        <w:ind w:left="58" w:firstLine="648"/>
        <w:spacing w:after="0" w:line="227" w:lineRule="auto"/>
        <w:rPr>
          <w:sz w:val="20"/>
          <w:szCs w:val="20"/>
          <w:color w:val="auto"/>
        </w:rPr>
      </w:pPr>
      <w:r>
        <w:rPr>
          <w:rFonts w:ascii="Arial" w:cs="Arial" w:eastAsia="Arial" w:hAnsi="Arial"/>
          <w:sz w:val="20"/>
          <w:szCs w:val="20"/>
          <w:color w:val="auto"/>
        </w:rPr>
        <w:t>“Term Loan Facility” means the term loan facility established pursuant to Article IV (including any new term loan facility established pursuant to Section 5.13, each facility providing for the borrowing of Refinancing Term Loans and each facility providing for the borrowing of Extended Term Loans).</w:t>
      </w:r>
    </w:p>
    <w:p>
      <w:pPr>
        <w:spacing w:after="0" w:line="198" w:lineRule="exact"/>
        <w:rPr>
          <w:sz w:val="20"/>
          <w:szCs w:val="20"/>
          <w:color w:val="auto"/>
        </w:rPr>
      </w:pPr>
    </w:p>
    <w:p>
      <w:pPr>
        <w:ind w:left="698"/>
        <w:spacing w:after="0"/>
        <w:rPr>
          <w:sz w:val="20"/>
          <w:szCs w:val="20"/>
          <w:color w:val="auto"/>
        </w:rPr>
      </w:pPr>
      <w:r>
        <w:rPr>
          <w:rFonts w:ascii="Arial" w:cs="Arial" w:eastAsia="Arial" w:hAnsi="Arial"/>
          <w:sz w:val="16"/>
          <w:szCs w:val="16"/>
          <w:color w:val="auto"/>
        </w:rPr>
        <w:t>“Term Loan Lender” means any Lender with a Term Loan Commitment and/or outstanding Term Loans, each reference to a “Term</w:t>
      </w:r>
    </w:p>
    <w:p>
      <w:pPr>
        <w:spacing w:after="0" w:line="35" w:lineRule="exact"/>
        <w:rPr>
          <w:sz w:val="20"/>
          <w:szCs w:val="20"/>
          <w:color w:val="auto"/>
        </w:rPr>
      </w:pPr>
    </w:p>
    <w:p>
      <w:pPr>
        <w:jc w:val="both"/>
        <w:ind w:left="58"/>
        <w:spacing w:after="0" w:line="220" w:lineRule="auto"/>
        <w:rPr>
          <w:sz w:val="20"/>
          <w:szCs w:val="20"/>
          <w:color w:val="auto"/>
        </w:rPr>
      </w:pPr>
      <w:r>
        <w:rPr>
          <w:rFonts w:ascii="Arial" w:cs="Arial" w:eastAsia="Arial" w:hAnsi="Arial"/>
          <w:sz w:val="20"/>
          <w:szCs w:val="20"/>
          <w:color w:val="auto"/>
        </w:rPr>
        <w:t>Loan Lender” shall be deemed to include such Term Loan Lender’s Applicable Designee with respect to the portion of such Term Loan Lender’s Term Loan Commitment funded by such Applicable Designee.</w:t>
      </w:r>
    </w:p>
    <w:p>
      <w:pPr>
        <w:spacing w:after="0" w:line="210" w:lineRule="exact"/>
        <w:rPr>
          <w:sz w:val="20"/>
          <w:szCs w:val="20"/>
          <w:color w:val="auto"/>
        </w:rPr>
      </w:pPr>
    </w:p>
    <w:p>
      <w:pPr>
        <w:jc w:val="both"/>
        <w:ind w:left="58" w:right="20" w:firstLine="648"/>
        <w:spacing w:after="0" w:line="236" w:lineRule="auto"/>
        <w:rPr>
          <w:sz w:val="20"/>
          <w:szCs w:val="20"/>
          <w:color w:val="auto"/>
        </w:rPr>
      </w:pPr>
      <w:r>
        <w:rPr>
          <w:rFonts w:ascii="Arial" w:cs="Arial" w:eastAsia="Arial" w:hAnsi="Arial"/>
          <w:sz w:val="18"/>
          <w:szCs w:val="18"/>
          <w:color w:val="auto"/>
        </w:rPr>
        <w:t>“Term Loan Maturity Date” means the first to occur of (a) August 27, 2028 and (b) the date of acceleration of the Term Loans pursuant to Section 10.2(a); provided, that the Term Loan Maturity Date applicable to Incremental Term Loans, Extended Term Loans and</w:t>
      </w:r>
    </w:p>
    <w:p>
      <w:pPr>
        <w:jc w:val="both"/>
        <w:ind w:left="58"/>
        <w:spacing w:after="0" w:line="227" w:lineRule="auto"/>
        <w:rPr>
          <w:sz w:val="20"/>
          <w:szCs w:val="20"/>
          <w:color w:val="auto"/>
        </w:rPr>
      </w:pPr>
      <w:r>
        <w:rPr>
          <w:rFonts w:ascii="Arial" w:cs="Arial" w:eastAsia="Arial" w:hAnsi="Arial"/>
          <w:sz w:val="20"/>
          <w:szCs w:val="20"/>
          <w:color w:val="auto"/>
        </w:rPr>
        <w:t>Refinancing Term Loans shall be the final maturity date specified in the relevant documentation for such Incremental Term Loans, Extended Term Loans and Refinancing Term Loans.</w:t>
      </w:r>
    </w:p>
    <w:p>
      <w:pPr>
        <w:spacing w:after="0" w:line="197" w:lineRule="exact"/>
        <w:rPr>
          <w:sz w:val="20"/>
          <w:szCs w:val="20"/>
          <w:color w:val="auto"/>
        </w:rPr>
      </w:pPr>
    </w:p>
    <w:p>
      <w:pPr>
        <w:jc w:val="both"/>
        <w:ind w:left="58" w:right="20" w:firstLine="648"/>
        <w:spacing w:after="0" w:line="257" w:lineRule="auto"/>
        <w:rPr>
          <w:sz w:val="20"/>
          <w:szCs w:val="20"/>
          <w:color w:val="auto"/>
        </w:rPr>
      </w:pPr>
      <w:r>
        <w:rPr>
          <w:rFonts w:ascii="Arial" w:cs="Arial" w:eastAsia="Arial" w:hAnsi="Arial"/>
          <w:sz w:val="19"/>
          <w:szCs w:val="19"/>
          <w:color w:val="auto"/>
        </w:rPr>
        <w:t>“Term Loan Percentage” means, with respect to any Term Loan Lender at any time, the percentage of the total outstanding principal balance of the Term Loans represented by the outstanding principal balance of such Term Loan Lender’s Term Loans.</w:t>
      </w:r>
    </w:p>
    <w:p>
      <w:pPr>
        <w:spacing w:after="0" w:line="180" w:lineRule="exact"/>
        <w:rPr>
          <w:sz w:val="20"/>
          <w:szCs w:val="20"/>
          <w:color w:val="auto"/>
        </w:rPr>
      </w:pPr>
    </w:p>
    <w:p>
      <w:pPr>
        <w:jc w:val="both"/>
        <w:ind w:left="58" w:firstLine="648"/>
        <w:spacing w:after="0" w:line="229" w:lineRule="auto"/>
        <w:rPr>
          <w:sz w:val="20"/>
          <w:szCs w:val="20"/>
          <w:color w:val="auto"/>
        </w:rPr>
      </w:pPr>
      <w:r>
        <w:rPr>
          <w:rFonts w:ascii="Arial" w:cs="Arial" w:eastAsia="Arial" w:hAnsi="Arial"/>
          <w:sz w:val="20"/>
          <w:szCs w:val="20"/>
          <w:color w:val="auto"/>
        </w:rPr>
        <w:t>“Term Loans” means the Initial Term Loan and, if applicable, the Incremental Term Loans, the Extended Term Loans and the Refinancing Term Loans, and “Term Loan” means any of such Term Loans.</w:t>
      </w:r>
    </w:p>
    <w:p>
      <w:pPr>
        <w:spacing w:after="0" w:line="263" w:lineRule="exact"/>
        <w:rPr>
          <w:sz w:val="20"/>
          <w:szCs w:val="20"/>
          <w:color w:val="auto"/>
        </w:rPr>
      </w:pPr>
    </w:p>
    <w:p>
      <w:pPr>
        <w:ind w:left="758"/>
        <w:spacing w:after="0"/>
        <w:rPr>
          <w:sz w:val="20"/>
          <w:szCs w:val="20"/>
          <w:color w:val="auto"/>
        </w:rPr>
      </w:pPr>
      <w:r>
        <w:rPr>
          <w:rFonts w:ascii="Arial" w:cs="Arial" w:eastAsia="Arial" w:hAnsi="Arial"/>
          <w:sz w:val="20"/>
          <w:szCs w:val="20"/>
          <w:color w:val="auto"/>
        </w:rPr>
        <w:t>“Term SOFR” means</w:t>
      </w:r>
      <w:r>
        <w:rPr>
          <w:rFonts w:ascii="Arial" w:cs="Arial" w:eastAsia="Arial" w:hAnsi="Arial"/>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-66040</wp:posOffset>
            </wp:positionV>
            <wp:extent cx="342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7">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32" w:name="page133"/>
    <w:bookmarkEnd w:id="132"/>
    <w:p>
      <w:pPr>
        <w:ind w:left="1238" w:hanging="659"/>
        <w:spacing w:after="0"/>
        <w:tabs>
          <w:tab w:leader="none" w:pos="1238" w:val="left"/>
        </w:tabs>
        <w:numPr>
          <w:ilvl w:val="0"/>
          <w:numId w:val="136"/>
        </w:numPr>
        <w:rPr>
          <w:rFonts w:ascii="Arial" w:cs="Arial" w:eastAsia="Arial" w:hAnsi="Arial"/>
          <w:sz w:val="20"/>
          <w:szCs w:val="20"/>
          <w:u w:val="single" w:color="auto"/>
          <w:color w:val="auto"/>
        </w:rPr>
      </w:pPr>
      <w:r>
        <w:rPr>
          <w:rFonts w:ascii="Arial" w:cs="Arial" w:eastAsia="Arial" w:hAnsi="Arial"/>
          <w:sz w:val="20"/>
          <w:szCs w:val="20"/>
          <w:color w:val="0000FF"/>
        </w:rPr>
        <w:t xml:space="preserve">for purposes of Revolving Credit </w:t>
      </w:r>
      <w:r>
        <w:rPr>
          <w:rFonts w:ascii="Arial" w:cs="Arial" w:eastAsia="Arial" w:hAnsi="Arial"/>
          <w:sz w:val="20"/>
          <w:szCs w:val="20"/>
          <w:color w:val="00C000"/>
        </w:rPr>
        <w:t>Loans and</w:t>
      </w:r>
      <w:r>
        <w:rPr>
          <w:rFonts w:ascii="Arial" w:cs="Arial" w:eastAsia="Arial" w:hAnsi="Arial"/>
          <w:sz w:val="20"/>
          <w:szCs w:val="20"/>
          <w:color w:val="0000FF"/>
        </w:rPr>
        <w:t xml:space="preserve"> Swingline Loans:</w:t>
      </w:r>
    </w:p>
    <w:p>
      <w:pPr>
        <w:spacing w:after="0" w:line="283" w:lineRule="exact"/>
        <w:rPr>
          <w:rFonts w:ascii="Arial" w:cs="Arial" w:eastAsia="Arial" w:hAnsi="Arial"/>
          <w:sz w:val="20"/>
          <w:szCs w:val="20"/>
          <w:u w:val="single" w:color="auto"/>
          <w:color w:val="auto"/>
        </w:rPr>
      </w:pPr>
    </w:p>
    <w:p>
      <w:pPr>
        <w:jc w:val="both"/>
        <w:ind w:left="678" w:firstLine="654"/>
        <w:spacing w:after="0" w:line="223" w:lineRule="auto"/>
        <w:tabs>
          <w:tab w:leader="none" w:pos="1880" w:val="left"/>
        </w:tabs>
        <w:numPr>
          <w:ilvl w:val="1"/>
          <w:numId w:val="136"/>
        </w:numPr>
        <w:rPr>
          <w:rFonts w:ascii="Arial" w:cs="Arial" w:eastAsia="Arial" w:hAnsi="Arial"/>
          <w:sz w:val="19"/>
          <w:szCs w:val="19"/>
          <w:u w:val="single" w:color="auto"/>
          <w:color w:val="auto"/>
        </w:rPr>
      </w:pPr>
      <w:r>
        <w:rPr>
          <w:rFonts w:ascii="Arial" w:cs="Arial" w:eastAsia="Arial" w:hAnsi="Arial"/>
          <w:sz w:val="19"/>
          <w:szCs w:val="19"/>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(Non-LIBOR)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64" w:lineRule="exact"/>
        <w:rPr>
          <w:rFonts w:ascii="Arial" w:cs="Arial" w:eastAsia="Arial" w:hAnsi="Arial"/>
          <w:sz w:val="19"/>
          <w:szCs w:val="19"/>
          <w:u w:val="single" w:color="auto"/>
          <w:color w:val="auto"/>
        </w:rPr>
      </w:pPr>
    </w:p>
    <w:p>
      <w:pPr>
        <w:jc w:val="both"/>
        <w:ind w:left="678" w:firstLine="654"/>
        <w:spacing w:after="0" w:line="223" w:lineRule="auto"/>
        <w:tabs>
          <w:tab w:leader="none" w:pos="1880" w:val="left"/>
        </w:tabs>
        <w:numPr>
          <w:ilvl w:val="1"/>
          <w:numId w:val="136"/>
        </w:numPr>
        <w:rPr>
          <w:rFonts w:ascii="Arial" w:cs="Arial" w:eastAsia="Arial" w:hAnsi="Arial"/>
          <w:sz w:val="19"/>
          <w:szCs w:val="19"/>
          <w:u w:val="single" w:color="auto"/>
          <w:color w:val="auto"/>
        </w:rPr>
      </w:pPr>
      <w:r>
        <w:rPr>
          <w:rFonts w:ascii="Arial" w:cs="Arial" w:eastAsia="Arial" w:hAnsi="Arial"/>
          <w:sz w:val="19"/>
          <w:szCs w:val="19"/>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(Non-LIBOR)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and</w:t>
      </w:r>
    </w:p>
    <w:p>
      <w:pPr>
        <w:spacing w:after="0" w:line="264" w:lineRule="exact"/>
        <w:rPr>
          <w:rFonts w:ascii="Arial" w:cs="Arial" w:eastAsia="Arial" w:hAnsi="Arial"/>
          <w:sz w:val="19"/>
          <w:szCs w:val="19"/>
          <w:u w:val="single" w:color="auto"/>
          <w:color w:val="auto"/>
        </w:rPr>
      </w:pPr>
    </w:p>
    <w:p>
      <w:pPr>
        <w:ind w:left="38" w:firstLine="486"/>
        <w:spacing w:after="0" w:line="229" w:lineRule="auto"/>
        <w:tabs>
          <w:tab w:leader="none" w:pos="1240" w:val="left"/>
        </w:tabs>
        <w:numPr>
          <w:ilvl w:val="0"/>
          <w:numId w:val="136"/>
        </w:numPr>
        <w:rPr>
          <w:rFonts w:ascii="Arial" w:cs="Arial" w:eastAsia="Arial" w:hAnsi="Arial"/>
          <w:sz w:val="20"/>
          <w:szCs w:val="20"/>
          <w:u w:val="single" w:color="auto"/>
          <w:color w:val="auto"/>
        </w:rPr>
      </w:pPr>
      <w:r>
        <w:rPr>
          <w:rFonts w:ascii="Arial" w:cs="Arial" w:eastAsia="Arial" w:hAnsi="Arial"/>
          <w:sz w:val="20"/>
          <w:szCs w:val="20"/>
          <w:color w:val="0000FF"/>
        </w:rPr>
        <w:t>for all other purposes</w:t>
      </w:r>
      <w:r>
        <w:rPr>
          <w:rFonts w:ascii="Arial" w:cs="Arial" w:eastAsia="Arial" w:hAnsi="Arial"/>
          <w:sz w:val="20"/>
          <w:szCs w:val="20"/>
          <w:color w:val="000000"/>
        </w:rPr>
        <w:t>, for the applicable Corresponding Tenor as of the applicable Reference Time, the forward-looking</w:t>
      </w:r>
      <w:r>
        <w:rPr>
          <w:rFonts w:ascii="Arial" w:cs="Arial" w:eastAsia="Arial" w:hAnsi="Arial"/>
          <w:sz w:val="20"/>
          <w:szCs w:val="20"/>
          <w:color w:val="0000FF"/>
        </w:rPr>
        <w:t xml:space="preserve"> </w:t>
      </w:r>
      <w:r>
        <w:rPr>
          <w:rFonts w:ascii="Arial" w:cs="Arial" w:eastAsia="Arial" w:hAnsi="Arial"/>
          <w:sz w:val="20"/>
          <w:szCs w:val="20"/>
          <w:color w:val="000000"/>
        </w:rPr>
        <w:t>term rate based on SOFR that has been selected or recommended by the Relevant Governmental Body.</w:t>
      </w:r>
    </w:p>
    <w:p>
      <w:pPr>
        <w:spacing w:after="0" w:line="209" w:lineRule="exact"/>
        <w:rPr>
          <w:sz w:val="20"/>
          <w:szCs w:val="20"/>
          <w:color w:val="auto"/>
        </w:rPr>
      </w:pPr>
    </w:p>
    <w:p>
      <w:pPr>
        <w:ind w:left="678"/>
        <w:spacing w:after="0"/>
        <w:rPr>
          <w:sz w:val="20"/>
          <w:szCs w:val="20"/>
          <w:color w:val="auto"/>
        </w:rPr>
      </w:pPr>
      <w:r>
        <w:rPr>
          <w:rFonts w:ascii="Arial" w:cs="Arial" w:eastAsia="Arial" w:hAnsi="Arial"/>
          <w:sz w:val="20"/>
          <w:szCs w:val="20"/>
          <w:color w:val="0000FF"/>
        </w:rPr>
        <w:t>“Term SOFR Adjustment” means a percentage equal to 0.10% per annum.</w:t>
      </w:r>
    </w:p>
    <w:p>
      <w:pPr>
        <w:spacing w:after="0" w:line="270" w:lineRule="exact"/>
        <w:rPr>
          <w:sz w:val="20"/>
          <w:szCs w:val="20"/>
          <w:color w:val="auto"/>
        </w:rPr>
      </w:pPr>
    </w:p>
    <w:p>
      <w:pPr>
        <w:ind w:left="38" w:right="20" w:firstLine="648"/>
        <w:spacing w:after="0" w:line="236" w:lineRule="auto"/>
        <w:rPr>
          <w:sz w:val="20"/>
          <w:szCs w:val="20"/>
          <w:color w:val="auto"/>
        </w:rPr>
      </w:pPr>
      <w:r>
        <w:rPr>
          <w:rFonts w:ascii="Arial" w:cs="Arial" w:eastAsia="Arial" w:hAnsi="Arial"/>
          <w:sz w:val="20"/>
          <w:szCs w:val="20"/>
          <w:color w:val="0000FF"/>
        </w:rPr>
        <w:t>“Term SOFR Administrator” means CME Group Benchmark Administration Limited (CBA) (or a successor administrator of the Term SOFR Reference Rate selected by the Administrative Agent in its reasonable discretion).</w:t>
      </w:r>
    </w:p>
    <w:p>
      <w:pPr>
        <w:spacing w:after="0" w:line="263" w:lineRule="exact"/>
        <w:rPr>
          <w:sz w:val="20"/>
          <w:szCs w:val="20"/>
          <w:color w:val="auto"/>
        </w:rPr>
      </w:pPr>
    </w:p>
    <w:p>
      <w:pPr>
        <w:ind w:left="38" w:right="340" w:firstLine="648"/>
        <w:spacing w:after="0" w:line="236" w:lineRule="auto"/>
        <w:rPr>
          <w:sz w:val="20"/>
          <w:szCs w:val="20"/>
          <w:color w:val="auto"/>
        </w:rPr>
      </w:pPr>
      <w:r>
        <w:rPr>
          <w:rFonts w:ascii="Arial" w:cs="Arial" w:eastAsia="Arial" w:hAnsi="Arial"/>
          <w:sz w:val="20"/>
          <w:szCs w:val="20"/>
          <w:color w:val="auto"/>
        </w:rPr>
        <w:t>“Term SOFR Notice” means a notification by the Administrative Agent to the Lenders and the Borrower of the occurrence of a Term SOFR Transition Event.</w:t>
      </w:r>
    </w:p>
    <w:p>
      <w:pPr>
        <w:spacing w:after="0" w:line="196" w:lineRule="exact"/>
        <w:rPr>
          <w:sz w:val="20"/>
          <w:szCs w:val="20"/>
          <w:color w:val="auto"/>
        </w:rPr>
      </w:pPr>
    </w:p>
    <w:p>
      <w:pPr>
        <w:ind w:left="678"/>
        <w:spacing w:after="0"/>
        <w:rPr>
          <w:sz w:val="20"/>
          <w:szCs w:val="20"/>
          <w:color w:val="auto"/>
        </w:rPr>
      </w:pPr>
      <w:r>
        <w:rPr>
          <w:rFonts w:ascii="Arial" w:cs="Arial" w:eastAsia="Arial" w:hAnsi="Arial"/>
          <w:sz w:val="20"/>
          <w:szCs w:val="20"/>
          <w:color w:val="0000FF"/>
        </w:rPr>
        <w:t>“Term SOFR Reference Rate” means the forward-looking term rate based on SOFR.</w:t>
      </w:r>
    </w:p>
    <w:p>
      <w:pPr>
        <w:spacing w:after="0" w:line="283" w:lineRule="exact"/>
        <w:rPr>
          <w:sz w:val="20"/>
          <w:szCs w:val="20"/>
          <w:color w:val="auto"/>
        </w:rPr>
      </w:pPr>
    </w:p>
    <w:p>
      <w:pPr>
        <w:ind w:left="38" w:firstLine="648"/>
        <w:spacing w:after="0" w:line="236" w:lineRule="auto"/>
        <w:rPr>
          <w:sz w:val="20"/>
          <w:szCs w:val="20"/>
          <w:color w:val="auto"/>
        </w:rPr>
      </w:pPr>
      <w:r>
        <w:rPr>
          <w:rFonts w:ascii="Arial" w:cs="Arial" w:eastAsia="Arial" w:hAnsi="Arial"/>
          <w:sz w:val="18"/>
          <w:szCs w:val="18"/>
          <w:color w:val="auto"/>
        </w:rPr>
        <w:t>“Term SOFR Transition Event” means the determination by the Administrative Agent that (a) Term SOFR has been recommended for use by the Relevant Governmental Body, (b) the administration of Term SOFR is administratively feasible for the Administrative</w:t>
      </w:r>
    </w:p>
    <w:p>
      <w:pPr>
        <w:ind w:left="38" w:right="20"/>
        <w:spacing w:after="0" w:line="239" w:lineRule="auto"/>
        <w:rPr>
          <w:sz w:val="20"/>
          <w:szCs w:val="20"/>
          <w:color w:val="auto"/>
        </w:rPr>
      </w:pPr>
      <w:r>
        <w:rPr>
          <w:rFonts w:ascii="Arial" w:cs="Arial" w:eastAsia="Arial" w:hAnsi="Arial"/>
          <w:sz w:val="19"/>
          <w:szCs w:val="19"/>
          <w:color w:val="auto"/>
        </w:rPr>
        <w:t xml:space="preserve">Agent and (c) a Benchmark Transition Event </w:t>
      </w:r>
      <w:r>
        <w:rPr>
          <w:rFonts w:ascii="Arial" w:cs="Arial" w:eastAsia="Arial" w:hAnsi="Arial"/>
          <w:sz w:val="19"/>
          <w:szCs w:val="19"/>
          <w:color w:val="0000FF"/>
        </w:rPr>
        <w:t>(LIBOR)</w:t>
      </w:r>
      <w:r>
        <w:rPr>
          <w:rFonts w:ascii="Arial" w:cs="Arial" w:eastAsia="Arial" w:hAnsi="Arial"/>
          <w:sz w:val="19"/>
          <w:szCs w:val="19"/>
          <w:color w:val="auto"/>
        </w:rPr>
        <w:t xml:space="preserve"> or an Early Opt-in Election, as applicable, has previously occurred resulting in the replacement of the then-current Benchmark for all purposes hereunder and under any Loan Document in accordance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3" w:name="page134"/>
    <w:bookmarkEnd w:id="133"/>
    <w:p>
      <w:pPr>
        <w:ind w:left="58" w:right="240"/>
        <w:spacing w:after="0" w:line="236" w:lineRule="auto"/>
        <w:rPr>
          <w:sz w:val="20"/>
          <w:szCs w:val="20"/>
          <w:color w:val="auto"/>
        </w:rPr>
      </w:pPr>
      <w:r>
        <w:rPr>
          <w:rFonts w:ascii="Arial" w:cs="Arial" w:eastAsia="Arial" w:hAnsi="Arial"/>
          <w:sz w:val="20"/>
          <w:szCs w:val="20"/>
          <w:color w:val="auto"/>
        </w:rPr>
        <w:t xml:space="preserve">with Section 5.8(c) with a Benchmark Replacement </w:t>
      </w:r>
      <w:r>
        <w:rPr>
          <w:rFonts w:ascii="Arial" w:cs="Arial" w:eastAsia="Arial" w:hAnsi="Arial"/>
          <w:sz w:val="20"/>
          <w:szCs w:val="20"/>
          <w:color w:val="0000FF"/>
        </w:rPr>
        <w:t>(LIBOR)</w:t>
      </w:r>
      <w:r>
        <w:rPr>
          <w:rFonts w:ascii="Arial" w:cs="Arial" w:eastAsia="Arial" w:hAnsi="Arial"/>
          <w:sz w:val="20"/>
          <w:szCs w:val="20"/>
          <w:color w:val="auto"/>
        </w:rPr>
        <w:t xml:space="preserve"> the Unadjusted Benchmark Replacement component of which is not Term SOFR.</w:t>
      </w:r>
    </w:p>
    <w:p>
      <w:pPr>
        <w:spacing w:after="0" w:line="196" w:lineRule="exact"/>
        <w:rPr>
          <w:sz w:val="20"/>
          <w:szCs w:val="20"/>
          <w:color w:val="auto"/>
        </w:rPr>
      </w:pPr>
    </w:p>
    <w:p>
      <w:pPr>
        <w:ind w:left="698"/>
        <w:spacing w:after="0"/>
        <w:rPr>
          <w:sz w:val="20"/>
          <w:szCs w:val="20"/>
          <w:color w:val="auto"/>
        </w:rPr>
      </w:pPr>
      <w:r>
        <w:rPr>
          <w:rFonts w:ascii="Arial" w:cs="Arial" w:eastAsia="Arial" w:hAnsi="Arial"/>
          <w:sz w:val="18"/>
          <w:szCs w:val="18"/>
          <w:color w:val="auto"/>
        </w:rPr>
        <w:t>“Termination Event” means the occurrence of any of the following which, individually or in the aggregate, has resulted or could</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reasonably be expected to result in liability of the US Borrowers or any of their respective Subsidiaries in an aggregate amount in excess of the Threshold Amount: (a) a “Reportable Event” described in Section 4043 of ERISA for which the thirty (30) day notice requirement</w:t>
      </w:r>
    </w:p>
    <w:p>
      <w:pPr>
        <w:ind w:left="58"/>
        <w:spacing w:after="0" w:line="236" w:lineRule="auto"/>
        <w:rPr>
          <w:sz w:val="20"/>
          <w:szCs w:val="20"/>
          <w:color w:val="auto"/>
        </w:rPr>
      </w:pPr>
      <w:r>
        <w:rPr>
          <w:rFonts w:ascii="Arial" w:cs="Arial" w:eastAsia="Arial" w:hAnsi="Arial"/>
          <w:sz w:val="18"/>
          <w:szCs w:val="18"/>
          <w:color w:val="auto"/>
        </w:rPr>
        <w:t>has not been waived by the PBGC, or (b) the withdrawal of any Credit Party or any ERISA Affiliate from a Pension Plan during a plan</w:t>
      </w:r>
    </w:p>
    <w:p>
      <w:pPr>
        <w:spacing w:after="0" w:line="1"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year in which it was a “substantial employer” as defined in Section 4001(a)(2) of ERISA or a cessation of operations that is treated as such a withdrawal under Section 4062(e) of ERISA, or (c) the termination of a Pension Plan, the filing of a notice of intent to terminate a</w:t>
      </w:r>
    </w:p>
    <w:p>
      <w:pPr>
        <w:ind w:left="58"/>
        <w:spacing w:after="0" w:line="236" w:lineRule="auto"/>
        <w:rPr>
          <w:sz w:val="20"/>
          <w:szCs w:val="20"/>
          <w:color w:val="auto"/>
        </w:rPr>
      </w:pPr>
      <w:r>
        <w:rPr>
          <w:rFonts w:ascii="Arial" w:cs="Arial" w:eastAsia="Arial" w:hAnsi="Arial"/>
          <w:sz w:val="18"/>
          <w:szCs w:val="18"/>
          <w:color w:val="auto"/>
        </w:rPr>
        <w:t>Pension Plan or the treatment of a Pension Plan amendment as a termination, under Section 4041 of ERISA, if the plan assets are not</w:t>
      </w:r>
    </w:p>
    <w:p>
      <w:pPr>
        <w:spacing w:after="0" w:line="1"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sufficient to pay all plan liabilities, or (d) the institution of proceedings to terminate, or the appointment of a trustee with respect to, any Pension Plan by the PBGC, or (e) any other event or condition which would constitute grounds under Section 4042(a) of ERISA for the</w:t>
      </w:r>
    </w:p>
    <w:p>
      <w:pPr>
        <w:ind w:left="58"/>
        <w:spacing w:after="0" w:line="236" w:lineRule="auto"/>
        <w:rPr>
          <w:sz w:val="20"/>
          <w:szCs w:val="20"/>
          <w:color w:val="auto"/>
        </w:rPr>
      </w:pPr>
      <w:r>
        <w:rPr>
          <w:rFonts w:ascii="Arial" w:cs="Arial" w:eastAsia="Arial" w:hAnsi="Arial"/>
          <w:sz w:val="18"/>
          <w:szCs w:val="18"/>
          <w:color w:val="auto"/>
        </w:rPr>
        <w:t>termination of, or the appointment of a trustee to administer, any Pension Plan, or (f) the imposition of a Lien pursuant to Section 430(k) of</w:t>
      </w:r>
    </w:p>
    <w:p>
      <w:pPr>
        <w:spacing w:after="0" w:line="1"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the Code or Section 303 of ERISA, or (g) the determination that any Pension Plan or Multiemployer Plan is considered an at-risk plan or plan in endangered or critical status with the meaning of Sections 430, 431 or 432 of the Code or Sections 303, 304 or 305 of ERISA or (h)</w:t>
      </w:r>
    </w:p>
    <w:p>
      <w:pPr>
        <w:ind w:left="58"/>
        <w:spacing w:after="0" w:line="224" w:lineRule="auto"/>
        <w:rPr>
          <w:sz w:val="20"/>
          <w:szCs w:val="20"/>
          <w:color w:val="auto"/>
        </w:rPr>
      </w:pPr>
      <w:r>
        <w:rPr>
          <w:rFonts w:ascii="Arial" w:cs="Arial" w:eastAsia="Arial" w:hAnsi="Arial"/>
          <w:sz w:val="19"/>
          <w:szCs w:val="19"/>
          <w:color w:val="auto"/>
        </w:rPr>
        <w:t>the partial or complete withdrawal of any Credit Party or any ERISA Affiliate from a Multiemployer Plan if withdrawal liability is</w:t>
      </w:r>
    </w:p>
    <w:p>
      <w:pPr>
        <w:jc w:val="both"/>
        <w:ind w:left="58" w:right="20"/>
        <w:spacing w:after="0" w:line="226" w:lineRule="auto"/>
        <w:rPr>
          <w:sz w:val="20"/>
          <w:szCs w:val="20"/>
          <w:color w:val="auto"/>
        </w:rPr>
      </w:pPr>
      <w:r>
        <w:rPr>
          <w:rFonts w:ascii="Arial" w:cs="Arial" w:eastAsia="Arial" w:hAnsi="Arial"/>
          <w:sz w:val="18"/>
          <w:szCs w:val="18"/>
          <w:color w:val="auto"/>
        </w:rPr>
        <w:t>asserted by such plan, or (i) any event or condition which results in the reorganization or insolvency of a Multiemployer Plan under Sections 4241 or 4245 of ERISA, or (j) any event or condition which results in the termination of a Multiemployer Plan under Section</w:t>
      </w:r>
    </w:p>
    <w:p>
      <w:pPr>
        <w:ind w:left="58"/>
        <w:spacing w:after="0" w:line="236" w:lineRule="auto"/>
        <w:rPr>
          <w:sz w:val="20"/>
          <w:szCs w:val="20"/>
          <w:color w:val="auto"/>
        </w:rPr>
      </w:pPr>
      <w:r>
        <w:rPr>
          <w:rFonts w:ascii="Arial" w:cs="Arial" w:eastAsia="Arial" w:hAnsi="Arial"/>
          <w:sz w:val="18"/>
          <w:szCs w:val="18"/>
          <w:color w:val="auto"/>
        </w:rPr>
        <w:t>4041A of ERISA or the institution by PBGC of proceedings to terminate a Multiemployer Plan under Section 4042 of ERISA, or (k) the</w:t>
      </w:r>
    </w:p>
    <w:p>
      <w:pPr>
        <w:spacing w:after="0" w:line="1" w:lineRule="exact"/>
        <w:rPr>
          <w:sz w:val="20"/>
          <w:szCs w:val="20"/>
          <w:color w:val="auto"/>
        </w:rPr>
      </w:pPr>
    </w:p>
    <w:p>
      <w:pPr>
        <w:jc w:val="both"/>
        <w:ind w:left="58"/>
        <w:spacing w:after="0" w:line="220" w:lineRule="auto"/>
        <w:rPr>
          <w:sz w:val="20"/>
          <w:szCs w:val="20"/>
          <w:color w:val="auto"/>
        </w:rPr>
      </w:pPr>
      <w:r>
        <w:rPr>
          <w:rFonts w:ascii="Arial" w:cs="Arial" w:eastAsia="Arial" w:hAnsi="Arial"/>
          <w:sz w:val="20"/>
          <w:szCs w:val="20"/>
          <w:color w:val="auto"/>
        </w:rPr>
        <w:t>imposition of any liability under Title IV of ERISA, other than for PBGC premiums due but not delinquent under Section 4007 of ERISA, upon any Credit Party or any ERISA Affiliate.</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20"/>
          <w:szCs w:val="20"/>
          <w:color w:val="auto"/>
        </w:rPr>
        <w:t>“Threshold Amount” means $35,000,000.</w:t>
      </w:r>
    </w:p>
    <w:p>
      <w:pPr>
        <w:spacing w:after="0" w:line="283" w:lineRule="exact"/>
        <w:rPr>
          <w:sz w:val="20"/>
          <w:szCs w:val="20"/>
          <w:color w:val="auto"/>
        </w:rPr>
      </w:pPr>
    </w:p>
    <w:p>
      <w:pPr>
        <w:jc w:val="both"/>
        <w:ind w:left="58" w:right="20" w:firstLine="648"/>
        <w:spacing w:after="0" w:line="236" w:lineRule="auto"/>
        <w:rPr>
          <w:sz w:val="20"/>
          <w:szCs w:val="20"/>
          <w:color w:val="auto"/>
        </w:rPr>
      </w:pPr>
      <w:r>
        <w:rPr>
          <w:rFonts w:ascii="Arial" w:cs="Arial" w:eastAsia="Arial" w:hAnsi="Arial"/>
          <w:sz w:val="20"/>
          <w:szCs w:val="20"/>
          <w:color w:val="auto"/>
        </w:rPr>
        <w:t>“Total Credit Exposure” means, as to any Lender at any time, the unused Commitments, Revolving Credit Exposure and outstanding Term Loans of such Lender at such time.</w:t>
      </w:r>
    </w:p>
    <w:p>
      <w:pPr>
        <w:spacing w:after="0" w:line="196" w:lineRule="exact"/>
        <w:rPr>
          <w:sz w:val="20"/>
          <w:szCs w:val="20"/>
          <w:color w:val="auto"/>
        </w:rPr>
      </w:pPr>
    </w:p>
    <w:p>
      <w:pPr>
        <w:jc w:val="both"/>
        <w:ind w:left="58" w:firstLine="648"/>
        <w:spacing w:after="0" w:line="227" w:lineRule="auto"/>
        <w:rPr>
          <w:sz w:val="20"/>
          <w:szCs w:val="20"/>
          <w:color w:val="auto"/>
        </w:rPr>
      </w:pPr>
      <w:r>
        <w:rPr>
          <w:rFonts w:ascii="Arial" w:cs="Arial" w:eastAsia="Arial" w:hAnsi="Arial"/>
          <w:sz w:val="20"/>
          <w:szCs w:val="20"/>
          <w:color w:val="auto"/>
        </w:rPr>
        <w:t>“Transactions” means, collectively, (a) the refinancing of Indebtedness outstanding under the Existing Credit Agreement, (b) the refinancing of certain Indebtedness of Drum and its Subsidiaries, (c) the initial Extensions of Credit, (d) the financing of the Drum Acquisition and (e) the payment of the costs incurred in connection with the foregoing.</w:t>
      </w:r>
    </w:p>
    <w:p>
      <w:pPr>
        <w:spacing w:after="0" w:line="198" w:lineRule="exact"/>
        <w:rPr>
          <w:sz w:val="20"/>
          <w:szCs w:val="20"/>
          <w:color w:val="auto"/>
        </w:rPr>
      </w:pPr>
    </w:p>
    <w:p>
      <w:pPr>
        <w:ind w:left="698"/>
        <w:spacing w:after="0"/>
        <w:rPr>
          <w:sz w:val="20"/>
          <w:szCs w:val="20"/>
          <w:color w:val="auto"/>
        </w:rPr>
      </w:pPr>
      <w:r>
        <w:rPr>
          <w:rFonts w:ascii="Arial" w:cs="Arial" w:eastAsia="Arial" w:hAnsi="Arial"/>
          <w:sz w:val="20"/>
          <w:szCs w:val="20"/>
          <w:color w:val="auto"/>
        </w:rPr>
        <w:t>“UCC” means the Uniform Commercial Code as in effect in the State of New York.</w:t>
      </w:r>
    </w:p>
    <w:p>
      <w:pPr>
        <w:spacing w:after="0" w:line="283" w:lineRule="exact"/>
        <w:rPr>
          <w:sz w:val="20"/>
          <w:szCs w:val="20"/>
          <w:color w:val="auto"/>
        </w:rPr>
      </w:pPr>
    </w:p>
    <w:p>
      <w:pPr>
        <w:ind w:left="698"/>
        <w:spacing w:after="0"/>
        <w:rPr>
          <w:sz w:val="20"/>
          <w:szCs w:val="20"/>
          <w:color w:val="auto"/>
        </w:rPr>
      </w:pPr>
      <w:r>
        <w:rPr>
          <w:rFonts w:ascii="Arial" w:cs="Arial" w:eastAsia="Arial" w:hAnsi="Arial"/>
          <w:sz w:val="18"/>
          <w:szCs w:val="18"/>
          <w:color w:val="auto"/>
        </w:rPr>
        <w:t>“UK Financial Institution” means any BRRD Undertaking (as such term is defined under the PRA Rulebook (as amended from</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time to time) promulgated by the United Kingdom Prudential Regulation Authority) or any person falling within IFPRU 11.6 of the FCA Handbook (as amended from time to time) promulgated by the United Kingdom Financial Conduct Authority, which includes certain</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credit institutions and investment firms, and certain affiliates of such credit institutions or investment firms.</w:t>
      </w:r>
    </w:p>
    <w:p>
      <w:pPr>
        <w:spacing w:after="0" w:line="200"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20"/>
          <w:szCs w:val="20"/>
          <w:color w:val="auto"/>
        </w:rPr>
        <w:t>“UK Resolution Authority” means the Bank of England or any other public administrative authority having responsibility for the resolution of any UK Financial Institution.</w:t>
      </w:r>
    </w:p>
    <w:p>
      <w:pPr>
        <w:spacing w:after="0" w:line="196"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20"/>
          <w:szCs w:val="20"/>
          <w:color w:val="auto"/>
        </w:rPr>
        <w:t>“Unadjusted Benchmark Replacement” means the applicable Benchmark Replacement excluding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4" w:name="page135"/>
    <w:bookmarkEnd w:id="134"/>
    <w:p>
      <w:pPr>
        <w:ind w:left="38" w:right="440" w:firstLine="648"/>
        <w:spacing w:after="0" w:line="236" w:lineRule="auto"/>
        <w:rPr>
          <w:sz w:val="20"/>
          <w:szCs w:val="20"/>
          <w:color w:val="auto"/>
        </w:rPr>
      </w:pPr>
      <w:r>
        <w:rPr>
          <w:rFonts w:ascii="Arial" w:cs="Arial" w:eastAsia="Arial" w:hAnsi="Arial"/>
          <w:sz w:val="20"/>
          <w:szCs w:val="20"/>
          <w:color w:val="auto"/>
        </w:rPr>
        <w:t>“Uniform Customs” means the Uniform Customs and Practice for Documentary Credits (2007 Revision), effective July, 2007 International Chamber of Commerce Publication No. 600.</w:t>
      </w:r>
    </w:p>
    <w:p>
      <w:pPr>
        <w:spacing w:after="0" w:line="196" w:lineRule="exact"/>
        <w:rPr>
          <w:sz w:val="20"/>
          <w:szCs w:val="20"/>
          <w:color w:val="auto"/>
        </w:rPr>
      </w:pPr>
    </w:p>
    <w:p>
      <w:pPr>
        <w:ind w:left="678"/>
        <w:spacing w:after="0"/>
        <w:rPr>
          <w:sz w:val="20"/>
          <w:szCs w:val="20"/>
          <w:color w:val="auto"/>
        </w:rPr>
      </w:pPr>
      <w:r>
        <w:rPr>
          <w:rFonts w:ascii="Arial" w:cs="Arial" w:eastAsia="Arial" w:hAnsi="Arial"/>
          <w:sz w:val="20"/>
          <w:szCs w:val="20"/>
          <w:color w:val="auto"/>
        </w:rPr>
        <w:t>“United States” means the United States of America.</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18"/>
          <w:szCs w:val="18"/>
          <w:color w:val="auto"/>
        </w:rPr>
        <w:t>“Unrestricted” shall mean, when referring to cash and Cash Equivalents of Centuri and its Subsidiaries, that such cash and Cash</w:t>
      </w:r>
    </w:p>
    <w:p>
      <w:pPr>
        <w:spacing w:after="0" w:line="12"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Equivalents (a) do not appear or would not be required to appear as “restricted” on the financial statements of Centuri or any such Subsidiary (unless related to the Loan Documents or the Liens created thereunder), (b) are not subject to a Lien in favor of any Person</w:t>
      </w:r>
    </w:p>
    <w:p>
      <w:pPr>
        <w:spacing w:after="0" w:line="2" w:lineRule="exact"/>
        <w:rPr>
          <w:sz w:val="20"/>
          <w:szCs w:val="20"/>
          <w:color w:val="auto"/>
        </w:rPr>
      </w:pPr>
    </w:p>
    <w:p>
      <w:pPr>
        <w:jc w:val="both"/>
        <w:ind w:left="38" w:right="20"/>
        <w:spacing w:after="0" w:line="329" w:lineRule="auto"/>
        <w:rPr>
          <w:sz w:val="20"/>
          <w:szCs w:val="20"/>
          <w:color w:val="auto"/>
        </w:rPr>
      </w:pPr>
      <w:r>
        <w:rPr>
          <w:rFonts w:ascii="Arial" w:cs="Arial" w:eastAsia="Arial" w:hAnsi="Arial"/>
          <w:sz w:val="16"/>
          <w:szCs w:val="16"/>
          <w:color w:val="auto"/>
        </w:rPr>
        <w:t>other than the Administrative Agent under the Loan Documents, (c) are assets of Centuri or a Subsidiary that is a US Subsidiary and are held in bank accounts or securities accounts located in the United States or (d) are not otherwise unavailable to Centuri or such Subsidiary.</w:t>
      </w:r>
    </w:p>
    <w:p>
      <w:pPr>
        <w:spacing w:after="0" w:line="128" w:lineRule="exact"/>
        <w:rPr>
          <w:sz w:val="20"/>
          <w:szCs w:val="20"/>
          <w:color w:val="auto"/>
        </w:rPr>
      </w:pPr>
    </w:p>
    <w:p>
      <w:pPr>
        <w:ind w:left="678"/>
        <w:spacing w:after="0"/>
        <w:rPr>
          <w:sz w:val="20"/>
          <w:szCs w:val="20"/>
          <w:color w:val="auto"/>
        </w:rPr>
      </w:pPr>
      <w:r>
        <w:rPr>
          <w:rFonts w:ascii="Arial" w:cs="Arial" w:eastAsia="Arial" w:hAnsi="Arial"/>
          <w:sz w:val="20"/>
          <w:szCs w:val="20"/>
          <w:color w:val="auto"/>
        </w:rPr>
        <w:t>“USD LIBOR” means the London interbank offered rate for Dollars.</w:t>
      </w:r>
    </w:p>
    <w:p>
      <w:pPr>
        <w:spacing w:after="0" w:line="283" w:lineRule="exact"/>
        <w:rPr>
          <w:sz w:val="20"/>
          <w:szCs w:val="20"/>
          <w:color w:val="auto"/>
        </w:rPr>
      </w:pPr>
    </w:p>
    <w:p>
      <w:pPr>
        <w:ind w:left="38" w:right="20" w:firstLine="648"/>
        <w:spacing w:after="0" w:line="229" w:lineRule="auto"/>
        <w:rPr>
          <w:sz w:val="20"/>
          <w:szCs w:val="20"/>
          <w:color w:val="auto"/>
        </w:rPr>
      </w:pPr>
      <w:r>
        <w:rPr>
          <w:rFonts w:ascii="Arial" w:cs="Arial" w:eastAsia="Arial" w:hAnsi="Arial"/>
          <w:sz w:val="20"/>
          <w:szCs w:val="20"/>
          <w:color w:val="auto"/>
        </w:rPr>
        <w:t>“US Borrowers” means, collectively, Centuri and each Additional Borrower approved by the Lenders that becomes a party hereto as a US Borrower.</w:t>
      </w:r>
    </w:p>
    <w:p>
      <w:pPr>
        <w:spacing w:after="0" w:line="209" w:lineRule="exact"/>
        <w:rPr>
          <w:sz w:val="20"/>
          <w:szCs w:val="20"/>
          <w:color w:val="auto"/>
        </w:rPr>
      </w:pPr>
    </w:p>
    <w:p>
      <w:pPr>
        <w:ind w:left="38" w:right="20" w:firstLine="648"/>
        <w:spacing w:after="0" w:line="223" w:lineRule="auto"/>
        <w:rPr>
          <w:sz w:val="20"/>
          <w:szCs w:val="20"/>
          <w:color w:val="auto"/>
        </w:rPr>
      </w:pPr>
      <w:r>
        <w:rPr>
          <w:rFonts w:ascii="Arial" w:cs="Arial" w:eastAsia="Arial" w:hAnsi="Arial"/>
          <w:sz w:val="19"/>
          <w:szCs w:val="19"/>
          <w:color w:val="auto"/>
        </w:rPr>
        <w:t>“US Cash Management Bank” means any Person that, (a) at the time it enters into a Cash Management Agreement with a US Credit Party or any US Subsidiary thereof, is a Lender, an Affiliate of a Lender, the Administrative Agent or an Affiliate of the</w:t>
      </w:r>
    </w:p>
    <w:p>
      <w:pPr>
        <w:ind w:left="38"/>
        <w:spacing w:after="0" w:line="224" w:lineRule="auto"/>
        <w:rPr>
          <w:sz w:val="20"/>
          <w:szCs w:val="20"/>
          <w:color w:val="auto"/>
        </w:rPr>
      </w:pPr>
      <w:r>
        <w:rPr>
          <w:rFonts w:ascii="Arial" w:cs="Arial" w:eastAsia="Arial" w:hAnsi="Arial"/>
          <w:sz w:val="19"/>
          <w:szCs w:val="19"/>
          <w:color w:val="auto"/>
        </w:rPr>
        <w:t>Administrative Agent, or (b) at the time it (or its Affiliate) becomes a Lender (including on the Closing Date), is a party to a Cash</w:t>
      </w:r>
    </w:p>
    <w:p>
      <w:pPr>
        <w:ind w:left="38" w:right="20"/>
        <w:spacing w:after="0" w:line="220" w:lineRule="auto"/>
        <w:rPr>
          <w:sz w:val="20"/>
          <w:szCs w:val="20"/>
          <w:color w:val="auto"/>
        </w:rPr>
      </w:pPr>
      <w:r>
        <w:rPr>
          <w:rFonts w:ascii="Arial" w:cs="Arial" w:eastAsia="Arial" w:hAnsi="Arial"/>
          <w:sz w:val="20"/>
          <w:szCs w:val="20"/>
          <w:color w:val="auto"/>
        </w:rPr>
        <w:t>Management Agreement with a US Credit Party or any US Subsidiary thereof, in each case in its capacity as a party to such Cash Management Agreement.</w:t>
      </w:r>
    </w:p>
    <w:p>
      <w:pPr>
        <w:spacing w:after="0" w:line="210" w:lineRule="exact"/>
        <w:rPr>
          <w:sz w:val="20"/>
          <w:szCs w:val="20"/>
          <w:color w:val="auto"/>
        </w:rPr>
      </w:pPr>
    </w:p>
    <w:p>
      <w:pPr>
        <w:ind w:left="38" w:firstLine="648"/>
        <w:spacing w:after="0" w:line="236" w:lineRule="auto"/>
        <w:rPr>
          <w:sz w:val="20"/>
          <w:szCs w:val="20"/>
          <w:color w:val="auto"/>
        </w:rPr>
      </w:pPr>
      <w:r>
        <w:rPr>
          <w:rFonts w:ascii="Arial" w:cs="Arial" w:eastAsia="Arial" w:hAnsi="Arial"/>
          <w:sz w:val="18"/>
          <w:szCs w:val="18"/>
          <w:color w:val="auto"/>
        </w:rPr>
        <w:t>“US Collateral Agreement” means that certain Second Amended and Restated US Collateral Agreement of even date herewith executed by the US Credit Parties in favor of the Administrative Agent, for the ratable benefit of the US Secured Parties and the Canadian</w:t>
      </w:r>
    </w:p>
    <w:p>
      <w:pPr>
        <w:ind w:left="38"/>
        <w:spacing w:after="0"/>
        <w:rPr>
          <w:sz w:val="20"/>
          <w:szCs w:val="20"/>
          <w:color w:val="auto"/>
        </w:rPr>
      </w:pPr>
      <w:r>
        <w:rPr>
          <w:rFonts w:ascii="Arial" w:cs="Arial" w:eastAsia="Arial" w:hAnsi="Arial"/>
          <w:sz w:val="20"/>
          <w:szCs w:val="20"/>
          <w:color w:val="auto"/>
        </w:rPr>
        <w:t>Secured Parties.</w:t>
      </w:r>
    </w:p>
    <w:p>
      <w:pPr>
        <w:spacing w:after="0" w:line="20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“US Credit Parties” means, collectively, the US Borrowers and the US Subsidiary Guarantors.</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18"/>
          <w:szCs w:val="18"/>
          <w:color w:val="auto"/>
        </w:rPr>
        <w:t>“US Credit Party Guaranty Agreement” means that certain Second Amended and Restated US Credit Party Guaranty Agreement</w:t>
      </w:r>
    </w:p>
    <w:p>
      <w:pPr>
        <w:spacing w:after="0" w:line="12" w:lineRule="exact"/>
        <w:rPr>
          <w:sz w:val="20"/>
          <w:szCs w:val="20"/>
          <w:color w:val="auto"/>
        </w:rPr>
      </w:pPr>
    </w:p>
    <w:p>
      <w:pPr>
        <w:ind w:left="38" w:right="20"/>
        <w:spacing w:after="0" w:line="220" w:lineRule="auto"/>
        <w:rPr>
          <w:sz w:val="20"/>
          <w:szCs w:val="20"/>
          <w:color w:val="auto"/>
        </w:rPr>
      </w:pPr>
      <w:r>
        <w:rPr>
          <w:rFonts w:ascii="Arial" w:cs="Arial" w:eastAsia="Arial" w:hAnsi="Arial"/>
          <w:sz w:val="20"/>
          <w:szCs w:val="20"/>
          <w:color w:val="auto"/>
        </w:rPr>
        <w:t>of even date herewith executed by the US Credit Parties in favor of the Administrative Agent, for the ratable benefit of the US Secured Parties and the Canadian Secured Parties.</w:t>
      </w:r>
    </w:p>
    <w:p>
      <w:pPr>
        <w:spacing w:after="0" w:line="210" w:lineRule="exact"/>
        <w:rPr>
          <w:sz w:val="20"/>
          <w:szCs w:val="20"/>
          <w:color w:val="auto"/>
        </w:rPr>
      </w:pPr>
    </w:p>
    <w:p>
      <w:pPr>
        <w:ind w:left="38" w:firstLine="648"/>
        <w:spacing w:after="0" w:line="236" w:lineRule="auto"/>
        <w:rPr>
          <w:sz w:val="20"/>
          <w:szCs w:val="20"/>
          <w:color w:val="auto"/>
        </w:rPr>
      </w:pPr>
      <w:r>
        <w:rPr>
          <w:rFonts w:ascii="Arial" w:cs="Arial" w:eastAsia="Arial" w:hAnsi="Arial"/>
          <w:sz w:val="18"/>
          <w:szCs w:val="18"/>
          <w:color w:val="0000FF"/>
        </w:rPr>
        <w:t>“US Government Securities Business Day” means any day except for (a) a Saturday, (b) a Sunday or (c) a day on which the Securities Industry and Financial Markets Association recommends that the fixed income departments of its members be closed for the</w:t>
      </w:r>
    </w:p>
    <w:p>
      <w:pPr>
        <w:ind w:left="38"/>
        <w:spacing w:after="0" w:line="227" w:lineRule="auto"/>
        <w:rPr>
          <w:sz w:val="20"/>
          <w:szCs w:val="20"/>
          <w:color w:val="auto"/>
        </w:rPr>
      </w:pPr>
      <w:r>
        <w:rPr>
          <w:rFonts w:ascii="Arial" w:cs="Arial" w:eastAsia="Arial" w:hAnsi="Arial"/>
          <w:sz w:val="20"/>
          <w:szCs w:val="20"/>
          <w:color w:val="0000FF"/>
        </w:rPr>
        <w:t>entire day for purposes of trading in United States government securities; provided, that for purposes of notice requirements in Sections 2.3(a), 2.4(c) and 5.2, in each case, such day is also a Business Day.</w:t>
      </w:r>
    </w:p>
    <w:p>
      <w:pPr>
        <w:spacing w:after="0" w:line="264" w:lineRule="exact"/>
        <w:rPr>
          <w:sz w:val="20"/>
          <w:szCs w:val="20"/>
          <w:color w:val="auto"/>
        </w:rPr>
      </w:pPr>
    </w:p>
    <w:p>
      <w:pPr>
        <w:ind w:left="738" w:firstLine="465"/>
        <w:spacing w:after="0" w:line="265" w:lineRule="auto"/>
        <w:rPr>
          <w:sz w:val="20"/>
          <w:szCs w:val="20"/>
          <w:color w:val="auto"/>
        </w:rPr>
      </w:pPr>
      <w:r>
        <w:rPr>
          <w:rFonts w:ascii="Arial" w:cs="Arial" w:eastAsia="Arial" w:hAnsi="Arial"/>
          <w:sz w:val="16"/>
          <w:szCs w:val="16"/>
          <w:color w:val="auto"/>
        </w:rPr>
        <w:t>“US Hedge Bank” means any Person that, (a) at the time it enters into a Hedge Agreement with a US Credit Party or any US Subsidiary thereof permitted under Article IX, is a Lender, an Affiliate of a Lender, the Administrative Agent or an Affiliate of the</w:t>
      </w:r>
    </w:p>
    <w:p>
      <w:pPr>
        <w:spacing w:after="0" w:line="1" w:lineRule="exact"/>
        <w:rPr>
          <w:sz w:val="20"/>
          <w:szCs w:val="20"/>
          <w:color w:val="auto"/>
        </w:rPr>
      </w:pPr>
    </w:p>
    <w:p>
      <w:pPr>
        <w:jc w:val="right"/>
        <w:ind w:left="738"/>
        <w:spacing w:after="0" w:line="266" w:lineRule="auto"/>
        <w:rPr>
          <w:sz w:val="20"/>
          <w:szCs w:val="20"/>
          <w:color w:val="auto"/>
        </w:rPr>
      </w:pPr>
      <w:r>
        <w:rPr>
          <w:rFonts w:ascii="Arial" w:cs="Arial" w:eastAsia="Arial" w:hAnsi="Arial"/>
          <w:sz w:val="18"/>
          <w:szCs w:val="18"/>
          <w:color w:val="auto"/>
        </w:rPr>
        <w:t>Administrative Agent or (b) at the time it (or its Affiliate) becomes a Lender (including on the Closing Date), is a party to a Hedge Agreement with a US Credit Party or any US Subsidiary thereof, in each case in its capacity as a party to such Hedge Agreement.</w:t>
      </w:r>
    </w:p>
    <w:p>
      <w:pPr>
        <w:spacing w:after="0" w:line="173" w:lineRule="exact"/>
        <w:rPr>
          <w:sz w:val="20"/>
          <w:szCs w:val="20"/>
          <w:color w:val="auto"/>
        </w:rPr>
      </w:pPr>
    </w:p>
    <w:p>
      <w:pPr>
        <w:ind w:left="38" w:firstLine="648"/>
        <w:spacing w:after="0" w:line="236" w:lineRule="auto"/>
        <w:rPr>
          <w:sz w:val="20"/>
          <w:szCs w:val="20"/>
          <w:color w:val="auto"/>
        </w:rPr>
      </w:pPr>
      <w:r>
        <w:rPr>
          <w:rFonts w:ascii="Arial" w:cs="Arial" w:eastAsia="Arial" w:hAnsi="Arial"/>
          <w:sz w:val="18"/>
          <w:szCs w:val="18"/>
          <w:color w:val="auto"/>
        </w:rPr>
        <w:t>“US L/C Obligations” means at any time, an amount equal to the sum of (a) the aggregate undrawn and unexpired amount of the then outstanding US Letters of Credit and (b) the aggregate amount of drawings under US Letters of Credit which have not then been</w:t>
      </w:r>
    </w:p>
    <w:p>
      <w:pPr>
        <w:ind w:left="38"/>
        <w:spacing w:after="0"/>
        <w:rPr>
          <w:sz w:val="20"/>
          <w:szCs w:val="20"/>
          <w:color w:val="auto"/>
        </w:rPr>
      </w:pPr>
      <w:r>
        <w:rPr>
          <w:rFonts w:ascii="Arial" w:cs="Arial" w:eastAsia="Arial" w:hAnsi="Arial"/>
          <w:sz w:val="20"/>
          <w:szCs w:val="20"/>
          <w:color w:val="auto"/>
        </w:rPr>
        <w:t>reimbursed pursuant to Section 3.5.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3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5" w:name="page136"/>
    <w:bookmarkEnd w:id="135"/>
    <w:p>
      <w:pPr>
        <w:ind w:left="698"/>
        <w:spacing w:after="0"/>
        <w:rPr>
          <w:sz w:val="20"/>
          <w:szCs w:val="20"/>
          <w:color w:val="auto"/>
        </w:rPr>
      </w:pPr>
      <w:r>
        <w:rPr>
          <w:rFonts w:ascii="Arial" w:cs="Arial" w:eastAsia="Arial" w:hAnsi="Arial"/>
          <w:sz w:val="18"/>
          <w:szCs w:val="18"/>
          <w:color w:val="auto"/>
        </w:rPr>
        <w:t>“US Letters of Credit” means the collective reference to letters of credit denominated in Dollars pursuant to Section 3.1 (including</w:t>
      </w:r>
    </w:p>
    <w:p>
      <w:pPr>
        <w:spacing w:after="0" w:line="12" w:lineRule="exact"/>
        <w:rPr>
          <w:sz w:val="20"/>
          <w:szCs w:val="20"/>
          <w:color w:val="auto"/>
        </w:rPr>
      </w:pPr>
    </w:p>
    <w:p>
      <w:pPr>
        <w:ind w:left="58"/>
        <w:spacing w:after="0" w:line="215" w:lineRule="auto"/>
        <w:rPr>
          <w:sz w:val="20"/>
          <w:szCs w:val="20"/>
          <w:color w:val="auto"/>
        </w:rPr>
      </w:pPr>
      <w:r>
        <w:rPr>
          <w:rFonts w:ascii="Arial" w:cs="Arial" w:eastAsia="Arial" w:hAnsi="Arial"/>
          <w:sz w:val="19"/>
          <w:szCs w:val="19"/>
          <w:color w:val="auto"/>
        </w:rPr>
        <w:t>any applicable Existing Letters of Credit). Notwithstanding anything to the contrary contained herein, a letter of credit issued by any Issuing Lender (other than Wells Fargo at any time it is also acting as Administrative Agent) shall not be a “US Letter of Credit” for</w:t>
      </w:r>
    </w:p>
    <w:p>
      <w:pPr>
        <w:ind w:left="58" w:right="20"/>
        <w:spacing w:after="0" w:line="227" w:lineRule="auto"/>
        <w:rPr>
          <w:sz w:val="20"/>
          <w:szCs w:val="20"/>
          <w:color w:val="auto"/>
        </w:rPr>
      </w:pPr>
      <w:r>
        <w:rPr>
          <w:rFonts w:ascii="Arial" w:cs="Arial" w:eastAsia="Arial" w:hAnsi="Arial"/>
          <w:sz w:val="20"/>
          <w:szCs w:val="20"/>
          <w:color w:val="auto"/>
        </w:rPr>
        <w:t>purposes of the Loan Documents until such time as the Administrative Agent has been notified in writing of the issuance thereof by the applicable Issuing Lender.</w:t>
      </w:r>
    </w:p>
    <w:p>
      <w:pPr>
        <w:spacing w:after="0" w:line="197" w:lineRule="exact"/>
        <w:rPr>
          <w:sz w:val="20"/>
          <w:szCs w:val="20"/>
          <w:color w:val="auto"/>
        </w:rPr>
      </w:pPr>
    </w:p>
    <w:p>
      <w:pPr>
        <w:ind w:left="698"/>
        <w:spacing w:after="0"/>
        <w:rPr>
          <w:sz w:val="20"/>
          <w:szCs w:val="20"/>
          <w:color w:val="auto"/>
        </w:rPr>
      </w:pPr>
      <w:r>
        <w:rPr>
          <w:rFonts w:ascii="Arial" w:cs="Arial" w:eastAsia="Arial" w:hAnsi="Arial"/>
          <w:sz w:val="18"/>
          <w:szCs w:val="18"/>
          <w:color w:val="auto"/>
        </w:rPr>
        <w:t>“US Obligations” means, in each case, whether now in existence or hereafter arising: (a) the principal of and interest on (including</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interest accruing after the filing of any bankruptcy or similar petition) the Loans (other than the Canadian Revolving Credit Loans, the Canadian Swingline Loans and, to the extent applicable, any Incremental Term Loan made to the Canadian Borrowers), (b) the US L/C</w:t>
      </w:r>
    </w:p>
    <w:p>
      <w:pPr>
        <w:ind w:left="58"/>
        <w:spacing w:after="0" w:line="224" w:lineRule="auto"/>
        <w:rPr>
          <w:sz w:val="20"/>
          <w:szCs w:val="20"/>
          <w:color w:val="auto"/>
        </w:rPr>
      </w:pPr>
      <w:r>
        <w:rPr>
          <w:rFonts w:ascii="Arial" w:cs="Arial" w:eastAsia="Arial" w:hAnsi="Arial"/>
          <w:sz w:val="19"/>
          <w:szCs w:val="19"/>
          <w:color w:val="auto"/>
        </w:rPr>
        <w:t>Obligations and (c) all other fees and commissions (including attorneys’ fees), charges, indebtedness, loans, liabilities, financial</w:t>
      </w:r>
    </w:p>
    <w:p>
      <w:pPr>
        <w:jc w:val="both"/>
        <w:ind w:left="58"/>
        <w:spacing w:after="0" w:line="226" w:lineRule="auto"/>
        <w:rPr>
          <w:sz w:val="20"/>
          <w:szCs w:val="20"/>
          <w:color w:val="auto"/>
        </w:rPr>
      </w:pPr>
      <w:r>
        <w:rPr>
          <w:rFonts w:ascii="Arial" w:cs="Arial" w:eastAsia="Arial" w:hAnsi="Arial"/>
          <w:sz w:val="18"/>
          <w:szCs w:val="18"/>
          <w:color w:val="auto"/>
        </w:rPr>
        <w:t>accommodations, obligations, covenants and duties owing by the US Credit Parties to the Lenders, the Issuing Lenders or the Administrative Agent, in each case under any Loan Document, with respect to any Loan (other than any Canadian Revolving Credit Loan,</w:t>
      </w:r>
    </w:p>
    <w:p>
      <w:pPr>
        <w:ind w:left="58"/>
        <w:spacing w:after="0" w:line="236" w:lineRule="auto"/>
        <w:rPr>
          <w:sz w:val="20"/>
          <w:szCs w:val="20"/>
          <w:color w:val="auto"/>
        </w:rPr>
      </w:pPr>
      <w:r>
        <w:rPr>
          <w:rFonts w:ascii="Arial" w:cs="Arial" w:eastAsia="Arial" w:hAnsi="Arial"/>
          <w:sz w:val="18"/>
          <w:szCs w:val="18"/>
          <w:color w:val="auto"/>
        </w:rPr>
        <w:t>any Canadian Swingline Loan and, to the extent applicable, any Incremental Term Loan made to the Canadian Borrowers) or any US</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Letter of Credit of every kind, nature and description, direct or indirect, absolute or contingent, due or to become due, contractual or tortious, liquidated or unliquidated, and whether or not evidenced by any note and including interest and fees that accrue after the</w:t>
      </w:r>
    </w:p>
    <w:p>
      <w:pPr>
        <w:spacing w:after="0" w:line="2" w:lineRule="exact"/>
        <w:rPr>
          <w:sz w:val="20"/>
          <w:szCs w:val="20"/>
          <w:color w:val="auto"/>
        </w:rPr>
      </w:pPr>
    </w:p>
    <w:p>
      <w:pPr>
        <w:ind w:left="58"/>
        <w:spacing w:after="0" w:line="266" w:lineRule="auto"/>
        <w:rPr>
          <w:sz w:val="20"/>
          <w:szCs w:val="20"/>
          <w:color w:val="auto"/>
        </w:rPr>
      </w:pPr>
      <w:r>
        <w:rPr>
          <w:rFonts w:ascii="Arial" w:cs="Arial" w:eastAsia="Arial" w:hAnsi="Arial"/>
          <w:sz w:val="18"/>
          <w:szCs w:val="18"/>
          <w:color w:val="auto"/>
        </w:rPr>
        <w:t>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73" w:lineRule="exact"/>
        <w:rPr>
          <w:sz w:val="20"/>
          <w:szCs w:val="20"/>
          <w:color w:val="auto"/>
        </w:rPr>
      </w:pPr>
    </w:p>
    <w:p>
      <w:pPr>
        <w:ind w:left="698"/>
        <w:spacing w:after="0"/>
        <w:rPr>
          <w:sz w:val="20"/>
          <w:szCs w:val="20"/>
          <w:color w:val="auto"/>
        </w:rPr>
      </w:pPr>
      <w:r>
        <w:rPr>
          <w:rFonts w:ascii="Arial" w:cs="Arial" w:eastAsia="Arial" w:hAnsi="Arial"/>
          <w:sz w:val="20"/>
          <w:szCs w:val="20"/>
          <w:color w:val="auto"/>
        </w:rPr>
        <w:t>“U.S. Person” means any Person that is a “United States person” as defined in Section 7701(a)(30) of the Code.</w:t>
      </w:r>
    </w:p>
    <w:p>
      <w:pPr>
        <w:spacing w:after="0" w:line="216"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“US Revolving Credit Loans” means any revolving loan denominated in Dollars made to the US Borrowers pursuant to Section 2.1, and all such revolving loans collectively as the context requires, and shall include any Extended Revolving Credit Loans, any</w:t>
      </w:r>
    </w:p>
    <w:p>
      <w:pPr>
        <w:ind w:left="58"/>
        <w:spacing w:after="0" w:line="220" w:lineRule="auto"/>
        <w:rPr>
          <w:sz w:val="20"/>
          <w:szCs w:val="20"/>
          <w:color w:val="auto"/>
        </w:rPr>
      </w:pPr>
      <w:r>
        <w:rPr>
          <w:rFonts w:ascii="Arial" w:cs="Arial" w:eastAsia="Arial" w:hAnsi="Arial"/>
          <w:sz w:val="20"/>
          <w:szCs w:val="20"/>
          <w:color w:val="auto"/>
        </w:rPr>
        <w:t>Refinancing Revolving Loans and any loans made pursuant to an Incremental Revolving Credit Facility Increase, in each case, related to such loans.</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 xml:space="preserve">“US Revolving Credit Note” means a promissory note made by the US Borrowers in favor of a Revolving Credit Lender evidencing the Revolving Credit Loans made by such Revolving Credit Lender, substantially in the form attached as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and any</w:t>
      </w:r>
    </w:p>
    <w:p>
      <w:pPr>
        <w:ind w:left="58"/>
        <w:spacing w:after="0"/>
        <w:rPr>
          <w:sz w:val="20"/>
          <w:szCs w:val="20"/>
          <w:color w:val="auto"/>
        </w:rPr>
      </w:pPr>
      <w:r>
        <w:rPr>
          <w:rFonts w:ascii="Arial" w:cs="Arial" w:eastAsia="Arial" w:hAnsi="Arial"/>
          <w:sz w:val="20"/>
          <w:szCs w:val="20"/>
          <w:color w:val="auto"/>
        </w:rPr>
        <w:t>substitutes therefor, and any replacements, restatements, renewals or extension thereof, in whole or in part.</w:t>
      </w:r>
    </w:p>
    <w:p>
      <w:pPr>
        <w:spacing w:after="0" w:line="200" w:lineRule="exact"/>
        <w:rPr>
          <w:sz w:val="20"/>
          <w:szCs w:val="20"/>
          <w:color w:val="auto"/>
        </w:rPr>
      </w:pPr>
    </w:p>
    <w:p>
      <w:pPr>
        <w:ind w:left="698"/>
        <w:spacing w:after="0"/>
        <w:rPr>
          <w:sz w:val="20"/>
          <w:szCs w:val="20"/>
          <w:color w:val="auto"/>
        </w:rPr>
      </w:pPr>
      <w:r>
        <w:rPr>
          <w:rFonts w:ascii="Arial" w:cs="Arial" w:eastAsia="Arial" w:hAnsi="Arial"/>
          <w:sz w:val="18"/>
          <w:szCs w:val="18"/>
          <w:color w:val="auto"/>
        </w:rPr>
        <w:t>“US Secured Obligations” means, collectively, (a) the US Obligations and (b) all existing or future payment and other obligations</w:t>
      </w:r>
    </w:p>
    <w:p>
      <w:pPr>
        <w:spacing w:after="0" w:line="12"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owing by any US Credit Party or any US Subsidiary thereof under (i) any Secured Hedge Agreement with a US Hedge Bank and (ii) any Secured Cash Management Agreement with a US Cash Management Bank.</w:t>
      </w:r>
    </w:p>
    <w:p>
      <w:pPr>
        <w:spacing w:after="0" w:line="210" w:lineRule="exact"/>
        <w:rPr>
          <w:sz w:val="20"/>
          <w:szCs w:val="20"/>
          <w:color w:val="auto"/>
        </w:rPr>
      </w:pPr>
    </w:p>
    <w:p>
      <w:pPr>
        <w:ind w:left="58" w:firstLine="648"/>
        <w:spacing w:after="0" w:line="236" w:lineRule="auto"/>
        <w:rPr>
          <w:sz w:val="20"/>
          <w:szCs w:val="20"/>
          <w:color w:val="auto"/>
        </w:rPr>
      </w:pPr>
      <w:r>
        <w:rPr>
          <w:rFonts w:ascii="Arial" w:cs="Arial" w:eastAsia="Arial" w:hAnsi="Arial"/>
          <w:sz w:val="18"/>
          <w:szCs w:val="18"/>
          <w:color w:val="auto"/>
        </w:rPr>
        <w:t>“US Secured Parties” means, collectively, the Administrative Agent, the Lenders, the Issuing Lenders, the US Hedge Banks, the US Cash Management Banks, each co-agent or sub-agent appointed by the Administrative Agent from time to time pursuant to Section</w:t>
      </w:r>
    </w:p>
    <w:p>
      <w:pPr>
        <w:ind w:left="58"/>
        <w:spacing w:after="0" w:line="227" w:lineRule="auto"/>
        <w:rPr>
          <w:sz w:val="20"/>
          <w:szCs w:val="20"/>
          <w:color w:val="auto"/>
        </w:rPr>
      </w:pPr>
      <w:r>
        <w:rPr>
          <w:rFonts w:ascii="Arial" w:cs="Arial" w:eastAsia="Arial" w:hAnsi="Arial"/>
          <w:sz w:val="20"/>
          <w:szCs w:val="20"/>
          <w:color w:val="auto"/>
        </w:rPr>
        <w:t>12.5, any other holder from time to time of any US Secured Obligations and, in each case, their respective successors and permitted assigns.</w:t>
      </w:r>
    </w:p>
    <w:p>
      <w:pPr>
        <w:spacing w:after="0" w:line="197" w:lineRule="exact"/>
        <w:rPr>
          <w:sz w:val="20"/>
          <w:szCs w:val="20"/>
          <w:color w:val="auto"/>
        </w:rPr>
      </w:pPr>
    </w:p>
    <w:p>
      <w:pPr>
        <w:ind w:left="58" w:firstLine="648"/>
        <w:spacing w:after="0" w:line="236" w:lineRule="auto"/>
        <w:rPr>
          <w:sz w:val="20"/>
          <w:szCs w:val="20"/>
          <w:color w:val="auto"/>
        </w:rPr>
      </w:pPr>
      <w:r>
        <w:rPr>
          <w:rFonts w:ascii="Arial" w:cs="Arial" w:eastAsia="Arial" w:hAnsi="Arial"/>
          <w:sz w:val="20"/>
          <w:szCs w:val="20"/>
          <w:color w:val="auto"/>
        </w:rPr>
        <w:t>“US Subsidiary” means any Subsidiary that is organized under the laws of the United States, any State thereof or the District of Columbia.</w:t>
      </w:r>
    </w:p>
    <w:p>
      <w:pPr>
        <w:spacing w:after="0" w:line="196" w:lineRule="exact"/>
        <w:rPr>
          <w:sz w:val="20"/>
          <w:szCs w:val="20"/>
          <w:color w:val="auto"/>
        </w:rPr>
      </w:pPr>
    </w:p>
    <w:p>
      <w:pPr>
        <w:ind w:left="58" w:right="20" w:firstLine="648"/>
        <w:spacing w:after="0" w:line="236" w:lineRule="auto"/>
        <w:rPr>
          <w:sz w:val="20"/>
          <w:szCs w:val="20"/>
          <w:color w:val="auto"/>
        </w:rPr>
      </w:pPr>
      <w:r>
        <w:rPr>
          <w:rFonts w:ascii="Arial" w:cs="Arial" w:eastAsia="Arial" w:hAnsi="Arial"/>
          <w:sz w:val="20"/>
          <w:szCs w:val="20"/>
          <w:color w:val="auto"/>
        </w:rPr>
        <w:t>“US Subsidiary Guarantors” means, collectively, all US Subsidiaries in existence on the Closing Date or which become parties to the US Credit Party Guaranty Agreement pursuant to Section 8.14.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4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6" w:name="page137"/>
    <w:bookmarkEnd w:id="136"/>
    <w:p>
      <w:pPr>
        <w:ind w:left="38" w:firstLine="648"/>
        <w:spacing w:after="0" w:line="236" w:lineRule="auto"/>
        <w:rPr>
          <w:sz w:val="20"/>
          <w:szCs w:val="20"/>
          <w:color w:val="auto"/>
        </w:rPr>
      </w:pPr>
      <w:r>
        <w:rPr>
          <w:rFonts w:ascii="Arial" w:cs="Arial" w:eastAsia="Arial" w:hAnsi="Arial"/>
          <w:sz w:val="20"/>
          <w:szCs w:val="20"/>
          <w:color w:val="auto"/>
        </w:rPr>
        <w:t>“US Swingline Loan” means any swingline loan denominated in Dollars made by the applicable Swingline Lender to a US Borrower pursuant to Section 2.2, and all such swingline loans collectively as the context requires.</w:t>
      </w:r>
    </w:p>
    <w:p>
      <w:pPr>
        <w:spacing w:after="0" w:line="196" w:lineRule="exact"/>
        <w:rPr>
          <w:sz w:val="20"/>
          <w:szCs w:val="20"/>
          <w:color w:val="auto"/>
        </w:rPr>
      </w:pPr>
    </w:p>
    <w:p>
      <w:pPr>
        <w:ind w:left="678"/>
        <w:spacing w:after="0"/>
        <w:rPr>
          <w:sz w:val="20"/>
          <w:szCs w:val="20"/>
          <w:color w:val="auto"/>
        </w:rPr>
      </w:pPr>
      <w:r>
        <w:rPr>
          <w:rFonts w:ascii="Arial" w:cs="Arial" w:eastAsia="Arial" w:hAnsi="Arial"/>
          <w:sz w:val="18"/>
          <w:szCs w:val="18"/>
          <w:color w:val="auto"/>
        </w:rPr>
        <w:t>“US Swingline Note” means a promissory note made by the US Borrowers in favor of the applicable Swingline Lender evidencing</w:t>
      </w:r>
    </w:p>
    <w:p>
      <w:pPr>
        <w:spacing w:after="0" w:line="12" w:lineRule="exact"/>
        <w:rPr>
          <w:sz w:val="20"/>
          <w:szCs w:val="20"/>
          <w:color w:val="auto"/>
        </w:rPr>
      </w:pPr>
    </w:p>
    <w:p>
      <w:pPr>
        <w:ind w:left="38" w:right="20"/>
        <w:spacing w:after="0" w:line="220" w:lineRule="auto"/>
        <w:rPr>
          <w:sz w:val="20"/>
          <w:szCs w:val="20"/>
          <w:color w:val="auto"/>
        </w:rPr>
      </w:pPr>
      <w:r>
        <w:rPr>
          <w:rFonts w:ascii="Arial" w:cs="Arial" w:eastAsia="Arial" w:hAnsi="Arial"/>
          <w:sz w:val="20"/>
          <w:szCs w:val="20"/>
          <w:color w:val="auto"/>
        </w:rPr>
        <w:t xml:space="preserve">the Swingline Loans made by the applicable Swingline Lender, substantially in the form attached as </w:t>
      </w:r>
      <w:r>
        <w:rPr>
          <w:rFonts w:ascii="Arial" w:cs="Arial" w:eastAsia="Arial" w:hAnsi="Arial"/>
          <w:sz w:val="20"/>
          <w:szCs w:val="20"/>
          <w:b w:val="1"/>
          <w:bCs w:val="1"/>
          <w:i w:val="1"/>
          <w:iCs w:val="1"/>
          <w:color w:val="auto"/>
        </w:rPr>
        <w:t>Exhibit A-3</w:t>
      </w:r>
      <w:r>
        <w:rPr>
          <w:rFonts w:ascii="Arial" w:cs="Arial" w:eastAsia="Arial" w:hAnsi="Arial"/>
          <w:sz w:val="20"/>
          <w:szCs w:val="20"/>
          <w:color w:val="auto"/>
        </w:rPr>
        <w:t>, and any substitutes therefor, and any replacements, restatements, renewals or extension thereof, in whole or in part.</w:t>
      </w:r>
    </w:p>
    <w:p>
      <w:pPr>
        <w:spacing w:after="0" w:line="21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“U.S. Tax Compliance Certificate” has the meaning assigned thereto in Section 5.11(g).</w:t>
      </w:r>
    </w:p>
    <w:p>
      <w:pPr>
        <w:spacing w:after="0" w:line="283" w:lineRule="exact"/>
        <w:rPr>
          <w:sz w:val="20"/>
          <w:szCs w:val="20"/>
          <w:color w:val="auto"/>
        </w:rPr>
      </w:pPr>
    </w:p>
    <w:p>
      <w:pPr>
        <w:ind w:left="38" w:firstLine="648"/>
        <w:spacing w:after="0" w:line="236" w:lineRule="auto"/>
        <w:rPr>
          <w:sz w:val="20"/>
          <w:szCs w:val="20"/>
          <w:color w:val="auto"/>
        </w:rPr>
      </w:pPr>
      <w:r>
        <w:rPr>
          <w:rFonts w:ascii="Arial" w:cs="Arial" w:eastAsia="Arial" w:hAnsi="Arial"/>
          <w:sz w:val="18"/>
          <w:szCs w:val="18"/>
          <w:color w:val="auto"/>
        </w:rPr>
        <w:t xml:space="preserve">“US Term Loan Note” means a promissory note made by the US Borrowers in favor of a Term Loan Lender evidencing the portion of the Term Loans made by such Term Loan Lender to the US Borrowers, substantially in the form attached as </w:t>
      </w:r>
      <w:r>
        <w:rPr>
          <w:rFonts w:ascii="Arial" w:cs="Arial" w:eastAsia="Arial" w:hAnsi="Arial"/>
          <w:sz w:val="18"/>
          <w:szCs w:val="18"/>
          <w:b w:val="1"/>
          <w:bCs w:val="1"/>
          <w:i w:val="1"/>
          <w:iCs w:val="1"/>
          <w:color w:val="auto"/>
        </w:rPr>
        <w:t>Exhibit A-5</w:t>
      </w:r>
      <w:r>
        <w:rPr>
          <w:rFonts w:ascii="Arial" w:cs="Arial" w:eastAsia="Arial" w:hAnsi="Arial"/>
          <w:sz w:val="18"/>
          <w:szCs w:val="18"/>
          <w:color w:val="auto"/>
        </w:rPr>
        <w:t>, and any</w:t>
      </w:r>
    </w:p>
    <w:p>
      <w:pPr>
        <w:ind w:left="38"/>
        <w:spacing w:after="0"/>
        <w:rPr>
          <w:sz w:val="20"/>
          <w:szCs w:val="20"/>
          <w:color w:val="auto"/>
        </w:rPr>
      </w:pPr>
      <w:r>
        <w:rPr>
          <w:rFonts w:ascii="Arial" w:cs="Arial" w:eastAsia="Arial" w:hAnsi="Arial"/>
          <w:sz w:val="20"/>
          <w:szCs w:val="20"/>
          <w:color w:val="auto"/>
        </w:rPr>
        <w:t>substitutes therefor, and any replacements, restatements, renewals or extensions thereof, in whole or in part.</w:t>
      </w:r>
    </w:p>
    <w:p>
      <w:pPr>
        <w:spacing w:after="0" w:line="200" w:lineRule="exact"/>
        <w:rPr>
          <w:sz w:val="20"/>
          <w:szCs w:val="20"/>
          <w:color w:val="auto"/>
        </w:rPr>
      </w:pPr>
    </w:p>
    <w:p>
      <w:pPr>
        <w:ind w:left="678"/>
        <w:spacing w:after="0"/>
        <w:rPr>
          <w:sz w:val="20"/>
          <w:szCs w:val="20"/>
          <w:color w:val="auto"/>
        </w:rPr>
      </w:pPr>
      <w:r>
        <w:rPr>
          <w:rFonts w:ascii="Arial" w:cs="Arial" w:eastAsia="Arial" w:hAnsi="Arial"/>
          <w:sz w:val="18"/>
          <w:szCs w:val="18"/>
          <w:color w:val="auto"/>
        </w:rPr>
        <w:t>“Weighted Average Life to Maturity” means, when applied to any Indebtedness at any date, the number of years obtained by</w:t>
      </w:r>
    </w:p>
    <w:p>
      <w:pPr>
        <w:spacing w:after="0" w:line="12" w:lineRule="exact"/>
        <w:rPr>
          <w:sz w:val="20"/>
          <w:szCs w:val="20"/>
          <w:color w:val="auto"/>
        </w:rPr>
      </w:pPr>
    </w:p>
    <w:p>
      <w:pPr>
        <w:ind w:left="38"/>
        <w:spacing w:after="0" w:line="215" w:lineRule="auto"/>
        <w:rPr>
          <w:sz w:val="20"/>
          <w:szCs w:val="20"/>
          <w:color w:val="auto"/>
        </w:rPr>
      </w:pPr>
      <w:r>
        <w:rPr>
          <w:rFonts w:ascii="Arial" w:cs="Arial" w:eastAsia="Arial" w:hAnsi="Arial"/>
          <w:sz w:val="19"/>
          <w:szCs w:val="19"/>
          <w:color w:val="auto"/>
        </w:rPr>
        <w:t>dividing: (a) the sum of the products obtained by multiplying (i) the amount of each then remaining installment, sinking fund, serial maturity or other required payments of principal, including payment at final maturity, in respect thereof, by (ii) the number of years</w:t>
      </w:r>
    </w:p>
    <w:p>
      <w:pPr>
        <w:ind w:left="38"/>
        <w:spacing w:after="0" w:line="234" w:lineRule="auto"/>
        <w:rPr>
          <w:sz w:val="20"/>
          <w:szCs w:val="20"/>
          <w:color w:val="auto"/>
        </w:rPr>
      </w:pPr>
      <w:r>
        <w:rPr>
          <w:rFonts w:ascii="Arial" w:cs="Arial" w:eastAsia="Arial" w:hAnsi="Arial"/>
          <w:sz w:val="18"/>
          <w:szCs w:val="18"/>
          <w:color w:val="auto"/>
        </w:rPr>
        <w:t>(calculated to the nearest one-twelfth) that will elapse between such date and the making of such payment; by (b) the then outstanding</w:t>
      </w:r>
    </w:p>
    <w:p>
      <w:pPr>
        <w:spacing w:after="0" w:line="1" w:lineRule="exact"/>
        <w:rPr>
          <w:sz w:val="20"/>
          <w:szCs w:val="20"/>
          <w:color w:val="auto"/>
        </w:rPr>
      </w:pPr>
    </w:p>
    <w:p>
      <w:pPr>
        <w:ind w:left="38" w:right="20"/>
        <w:spacing w:after="0" w:line="220" w:lineRule="auto"/>
        <w:rPr>
          <w:sz w:val="20"/>
          <w:szCs w:val="20"/>
          <w:color w:val="auto"/>
        </w:rPr>
      </w:pPr>
      <w:r>
        <w:rPr>
          <w:rFonts w:ascii="Arial" w:cs="Arial" w:eastAsia="Arial" w:hAnsi="Arial"/>
          <w:sz w:val="20"/>
          <w:szCs w:val="20"/>
          <w:color w:val="auto"/>
        </w:rPr>
        <w:t>principal amount of such Indebtedness, in each case of clauses (a) and (b), without giving effect to the application of any prior prepayment to such installment, sinking fund, serial maturity or other required payment of principal.</w:t>
      </w:r>
    </w:p>
    <w:p>
      <w:pPr>
        <w:spacing w:after="0" w:line="210" w:lineRule="exact"/>
        <w:rPr>
          <w:sz w:val="20"/>
          <w:szCs w:val="20"/>
          <w:color w:val="auto"/>
        </w:rPr>
      </w:pPr>
    </w:p>
    <w:p>
      <w:pPr>
        <w:ind w:left="678"/>
        <w:spacing w:after="0"/>
        <w:rPr>
          <w:sz w:val="20"/>
          <w:szCs w:val="20"/>
          <w:color w:val="auto"/>
        </w:rPr>
      </w:pPr>
      <w:r>
        <w:rPr>
          <w:rFonts w:ascii="Arial" w:cs="Arial" w:eastAsia="Arial" w:hAnsi="Arial"/>
          <w:sz w:val="20"/>
          <w:szCs w:val="20"/>
          <w:color w:val="auto"/>
        </w:rPr>
        <w:t>“Wells Fargo” means Wells Fargo Bank, National Association, a national banking association.</w:t>
      </w:r>
    </w:p>
    <w:p>
      <w:pPr>
        <w:spacing w:after="0" w:line="283" w:lineRule="exact"/>
        <w:rPr>
          <w:sz w:val="20"/>
          <w:szCs w:val="20"/>
          <w:color w:val="auto"/>
        </w:rPr>
      </w:pPr>
    </w:p>
    <w:p>
      <w:pPr>
        <w:ind w:left="38" w:firstLine="648"/>
        <w:spacing w:after="0" w:line="236" w:lineRule="auto"/>
        <w:rPr>
          <w:sz w:val="20"/>
          <w:szCs w:val="20"/>
          <w:color w:val="auto"/>
        </w:rPr>
      </w:pPr>
      <w:r>
        <w:rPr>
          <w:rFonts w:ascii="Arial" w:cs="Arial" w:eastAsia="Arial" w:hAnsi="Arial"/>
          <w:sz w:val="18"/>
          <w:szCs w:val="18"/>
          <w:color w:val="auto"/>
        </w:rPr>
        <w:t>“Wholly-Owned” means, with respect to a Subsidiary, that all of the Equity Interests of such Subsidiary are, directly or indirectly, owned or controlled by Centuri and/or one or more of its Wholly- Owned Subsidiaries (except for directors’ qualifying shares or other</w:t>
      </w:r>
    </w:p>
    <w:p>
      <w:pPr>
        <w:ind w:left="38"/>
        <w:spacing w:after="0"/>
        <w:rPr>
          <w:sz w:val="20"/>
          <w:szCs w:val="20"/>
          <w:color w:val="auto"/>
        </w:rPr>
      </w:pPr>
      <w:r>
        <w:rPr>
          <w:rFonts w:ascii="Arial" w:cs="Arial" w:eastAsia="Arial" w:hAnsi="Arial"/>
          <w:sz w:val="18"/>
          <w:szCs w:val="18"/>
          <w:color w:val="auto"/>
        </w:rPr>
        <w:t>shares required by Applicable Law to be owned by a Person other than Centuri and/or one or more of its Wholly-Owned Subsidiaries).</w:t>
      </w:r>
    </w:p>
    <w:p>
      <w:pPr>
        <w:spacing w:after="0" w:line="223" w:lineRule="exact"/>
        <w:rPr>
          <w:sz w:val="20"/>
          <w:szCs w:val="20"/>
          <w:color w:val="auto"/>
        </w:rPr>
      </w:pPr>
    </w:p>
    <w:p>
      <w:pPr>
        <w:ind w:left="678"/>
        <w:spacing w:after="0"/>
        <w:rPr>
          <w:sz w:val="20"/>
          <w:szCs w:val="20"/>
          <w:color w:val="auto"/>
        </w:rPr>
      </w:pPr>
      <w:r>
        <w:rPr>
          <w:rFonts w:ascii="Arial" w:cs="Arial" w:eastAsia="Arial" w:hAnsi="Arial"/>
          <w:sz w:val="20"/>
          <w:szCs w:val="20"/>
          <w:color w:val="auto"/>
        </w:rPr>
        <w:t>“Withholding Agent” means any Credit Party and the Administrative Agent.</w:t>
      </w:r>
    </w:p>
    <w:p>
      <w:pPr>
        <w:spacing w:after="0" w:line="283" w:lineRule="exact"/>
        <w:rPr>
          <w:sz w:val="20"/>
          <w:szCs w:val="20"/>
          <w:color w:val="auto"/>
        </w:rPr>
      </w:pPr>
    </w:p>
    <w:p>
      <w:pPr>
        <w:ind w:left="678"/>
        <w:spacing w:after="0"/>
        <w:rPr>
          <w:sz w:val="20"/>
          <w:szCs w:val="20"/>
          <w:color w:val="auto"/>
        </w:rPr>
      </w:pPr>
      <w:r>
        <w:rPr>
          <w:rFonts w:ascii="Arial" w:cs="Arial" w:eastAsia="Arial" w:hAnsi="Arial"/>
          <w:sz w:val="18"/>
          <w:szCs w:val="18"/>
          <w:color w:val="auto"/>
        </w:rPr>
        <w:t>“Working Capital” means, for Centuri and its Subsidiaries on a Consolidated basis and calculated in accordance with GAAP, as of</w:t>
      </w:r>
    </w:p>
    <w:p>
      <w:pPr>
        <w:spacing w:after="0" w:line="12"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any date of determination, the excess of (a) current assets (other than cash, Cash Equivalents, taxes and deferred taxes) over (b) current liabilities, excluding, without duplication, (i) the current portion of any long-term Indebtedness, (ii) outstanding Revolving Credit Loans</w:t>
      </w:r>
    </w:p>
    <w:p>
      <w:pPr>
        <w:spacing w:after="0" w:line="2" w:lineRule="exact"/>
        <w:rPr>
          <w:sz w:val="20"/>
          <w:szCs w:val="20"/>
          <w:color w:val="auto"/>
        </w:rPr>
      </w:pPr>
    </w:p>
    <w:p>
      <w:pPr>
        <w:ind w:left="38" w:right="20"/>
        <w:spacing w:after="0" w:line="227" w:lineRule="auto"/>
        <w:rPr>
          <w:sz w:val="20"/>
          <w:szCs w:val="20"/>
          <w:color w:val="auto"/>
        </w:rPr>
      </w:pPr>
      <w:r>
        <w:rPr>
          <w:rFonts w:ascii="Arial" w:cs="Arial" w:eastAsia="Arial" w:hAnsi="Arial"/>
          <w:sz w:val="20"/>
          <w:szCs w:val="20"/>
          <w:color w:val="auto"/>
        </w:rPr>
        <w:t>and Swingline Loans, (iii) the current portion of current taxes and deferred income taxes and (iv) the current portion of accrued Consolidated Interest Expense.</w:t>
      </w:r>
    </w:p>
    <w:p>
      <w:pPr>
        <w:spacing w:after="0" w:line="197" w:lineRule="exact"/>
        <w:rPr>
          <w:sz w:val="20"/>
          <w:szCs w:val="20"/>
          <w:color w:val="auto"/>
        </w:rPr>
      </w:pPr>
    </w:p>
    <w:p>
      <w:pPr>
        <w:ind w:left="678"/>
        <w:spacing w:after="0"/>
        <w:rPr>
          <w:sz w:val="20"/>
          <w:szCs w:val="20"/>
          <w:color w:val="auto"/>
        </w:rPr>
      </w:pPr>
      <w:r>
        <w:rPr>
          <w:rFonts w:ascii="Arial" w:cs="Arial" w:eastAsia="Arial" w:hAnsi="Arial"/>
          <w:sz w:val="18"/>
          <w:szCs w:val="18"/>
          <w:color w:val="auto"/>
        </w:rPr>
        <w:t>“Write-Down and Conversion Powers” means (a) with respect to any EEA Resolution Authority, the write-down and conversion</w:t>
      </w:r>
    </w:p>
    <w:p>
      <w:pPr>
        <w:spacing w:after="0" w:line="12" w:lineRule="exact"/>
        <w:rPr>
          <w:sz w:val="20"/>
          <w:szCs w:val="20"/>
          <w:color w:val="auto"/>
        </w:rPr>
      </w:pPr>
    </w:p>
    <w:p>
      <w:pPr>
        <w:ind w:left="38"/>
        <w:spacing w:after="0" w:line="215" w:lineRule="auto"/>
        <w:rPr>
          <w:sz w:val="20"/>
          <w:szCs w:val="20"/>
          <w:color w:val="auto"/>
        </w:rPr>
      </w:pPr>
      <w:r>
        <w:rPr>
          <w:rFonts w:ascii="Arial" w:cs="Arial" w:eastAsia="Arial" w:hAnsi="Arial"/>
          <w:sz w:val="19"/>
          <w:szCs w:val="19"/>
          <w:color w:val="auto"/>
        </w:rPr>
        <w:t>powers of such EEA Resolution Authority from time to time under the Bail- In Legislation for the applicable EEA Member Country, which write-down and conversion powers are described in the EU Bail-In Legislation Schedule and (b) with respect to the United</w:t>
      </w:r>
    </w:p>
    <w:p>
      <w:pPr>
        <w:ind w:left="38"/>
        <w:spacing w:after="0" w:line="234" w:lineRule="auto"/>
        <w:rPr>
          <w:sz w:val="20"/>
          <w:szCs w:val="20"/>
          <w:color w:val="auto"/>
        </w:rPr>
      </w:pPr>
      <w:r>
        <w:rPr>
          <w:rFonts w:ascii="Arial" w:cs="Arial" w:eastAsia="Arial" w:hAnsi="Arial"/>
          <w:sz w:val="18"/>
          <w:szCs w:val="18"/>
          <w:color w:val="auto"/>
        </w:rPr>
        <w:t>Kingdom, any powers of the applicable Resolution Authority under the Bail-In Legislation to cancel, reduce, modify or change the form of</w:t>
      </w:r>
    </w:p>
    <w:p>
      <w:pPr>
        <w:spacing w:after="0" w:line="1"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w:t>
      </w:r>
    </w:p>
    <w:p>
      <w:pPr>
        <w:spacing w:after="0" w:line="2" w:lineRule="exact"/>
        <w:rPr>
          <w:sz w:val="20"/>
          <w:szCs w:val="20"/>
          <w:color w:val="auto"/>
        </w:rPr>
      </w:pPr>
    </w:p>
    <w:p>
      <w:pPr>
        <w:ind w:left="38"/>
        <w:spacing w:after="0" w:line="227" w:lineRule="auto"/>
        <w:rPr>
          <w:sz w:val="20"/>
          <w:szCs w:val="20"/>
          <w:color w:val="auto"/>
        </w:rPr>
      </w:pPr>
      <w:r>
        <w:rPr>
          <w:rFonts w:ascii="Arial" w:cs="Arial" w:eastAsia="Arial" w:hAnsi="Arial"/>
          <w:sz w:val="20"/>
          <w:szCs w:val="20"/>
          <w:color w:val="auto"/>
        </w:rPr>
        <w:t>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4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7" w:name="page138"/>
    <w:bookmarkEnd w:id="137"/>
    <w:p>
      <w:pPr>
        <w:ind w:left="698"/>
        <w:spacing w:after="0"/>
        <w:tabs>
          <w:tab w:leader="none" w:pos="2018"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color w:val="auto"/>
        </w:rPr>
        <w:t>Other Definitions and Provisions</w:t>
      </w:r>
    </w:p>
    <w:p>
      <w:pPr>
        <w:spacing w:after="0" w:line="283" w:lineRule="exact"/>
        <w:rPr>
          <w:sz w:val="20"/>
          <w:szCs w:val="20"/>
          <w:color w:val="auto"/>
        </w:rPr>
      </w:pPr>
    </w:p>
    <w:p>
      <w:pPr>
        <w:jc w:val="both"/>
        <w:ind w:left="58" w:hanging="4"/>
        <w:spacing w:after="0" w:line="219" w:lineRule="auto"/>
        <w:tabs>
          <w:tab w:leader="none" w:pos="16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w:t>
      </w:r>
    </w:p>
    <w:p>
      <w:pPr>
        <w:spacing w:after="0" w:line="7" w:lineRule="exact"/>
        <w:rPr>
          <w:sz w:val="20"/>
          <w:szCs w:val="20"/>
          <w:color w:val="auto"/>
        </w:rPr>
      </w:pPr>
    </w:p>
    <w:p>
      <w:pPr>
        <w:jc w:val="both"/>
        <w:ind w:left="58" w:right="20" w:hanging="4"/>
        <w:spacing w:after="0" w:line="216" w:lineRule="auto"/>
        <w:tabs>
          <w:tab w:leader="none" w:pos="58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96" w:lineRule="exact"/>
        <w:rPr>
          <w:sz w:val="20"/>
          <w:szCs w:val="20"/>
          <w:color w:val="auto"/>
        </w:rPr>
      </w:pPr>
    </w:p>
    <w:p>
      <w:pPr>
        <w:ind w:left="698"/>
        <w:spacing w:after="0"/>
        <w:tabs>
          <w:tab w:leader="none" w:pos="1998"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color w:val="auto"/>
        </w:rPr>
        <w:t>Accounting Terms.</w:t>
      </w:r>
    </w:p>
    <w:p>
      <w:pPr>
        <w:spacing w:after="0" w:line="283" w:lineRule="exact"/>
        <w:rPr>
          <w:sz w:val="20"/>
          <w:szCs w:val="20"/>
          <w:color w:val="auto"/>
        </w:rPr>
      </w:pPr>
    </w:p>
    <w:p>
      <w:pPr>
        <w:jc w:val="both"/>
        <w:ind w:left="58" w:firstLine="644"/>
        <w:spacing w:after="0" w:line="238" w:lineRule="auto"/>
        <w:tabs>
          <w:tab w:leader="none" w:pos="123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Section 8.1(a), except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196" w:lineRule="exact"/>
        <w:rPr>
          <w:rFonts w:ascii="Arial" w:cs="Arial" w:eastAsia="Arial" w:hAnsi="Arial"/>
          <w:sz w:val="18"/>
          <w:szCs w:val="18"/>
          <w:color w:val="auto"/>
        </w:rPr>
      </w:pPr>
    </w:p>
    <w:p>
      <w:pPr>
        <w:jc w:val="both"/>
        <w:ind w:left="58" w:firstLine="644"/>
        <w:spacing w:after="0" w:line="221" w:lineRule="auto"/>
        <w:tabs>
          <w:tab w:leader="none" w:pos="123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w:t>
      </w:r>
    </w:p>
    <w:p>
      <w:pPr>
        <w:spacing w:after="0" w:line="218"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6"/>
          <w:szCs w:val="16"/>
          <w:color w:val="auto"/>
        </w:rPr>
        <w:t>UCC and PPSA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4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38" w:name="page139"/>
    <w:bookmarkEnd w:id="138"/>
    <w:p>
      <w:pPr>
        <w:spacing w:after="0" w:line="209" w:lineRule="exact"/>
        <w:rPr>
          <w:sz w:val="20"/>
          <w:szCs w:val="20"/>
          <w:color w:val="auto"/>
        </w:rPr>
      </w:pPr>
    </w:p>
    <w:p>
      <w:pPr>
        <w:jc w:val="both"/>
        <w:ind w:left="58" w:hanging="4"/>
        <w:spacing w:after="0" w:line="231" w:lineRule="auto"/>
        <w:tabs>
          <w:tab w:leader="none" w:pos="18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Terms defined in the UCC and/or the PPSA in effect on the Closing Date and not otherwise defined herein shall, unless the context otherwise indicates, have the meanings provided in the UCC and/or the PPSA, as applicable; provided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98"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color w:val="auto"/>
        </w:rPr>
        <w:t>Rounding</w:t>
      </w:r>
    </w:p>
    <w:p>
      <w:pPr>
        <w:spacing w:after="0" w:line="283" w:lineRule="exact"/>
        <w:rPr>
          <w:sz w:val="20"/>
          <w:szCs w:val="20"/>
          <w:color w:val="auto"/>
        </w:rPr>
      </w:pPr>
    </w:p>
    <w:p>
      <w:pPr>
        <w:jc w:val="both"/>
        <w:ind w:left="58" w:hanging="4"/>
        <w:spacing w:after="0" w:line="259" w:lineRule="auto"/>
        <w:tabs>
          <w:tab w:leader="none" w:pos="16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80"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6"/>
          <w:szCs w:val="16"/>
          <w:color w:val="auto"/>
        </w:rPr>
        <w:t>References to Agreement and Laws</w:t>
      </w:r>
    </w:p>
    <w:p>
      <w:pPr>
        <w:spacing w:after="0" w:line="283" w:lineRule="exact"/>
        <w:rPr>
          <w:sz w:val="20"/>
          <w:szCs w:val="20"/>
          <w:color w:val="auto"/>
        </w:rPr>
      </w:pPr>
    </w:p>
    <w:p>
      <w:pPr>
        <w:jc w:val="both"/>
        <w:ind w:left="58" w:hanging="4"/>
        <w:spacing w:after="0" w:line="235" w:lineRule="auto"/>
        <w:tabs>
          <w:tab w:leader="none" w:pos="17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215"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color w:val="auto"/>
        </w:rPr>
        <w:t>Times of Day</w:t>
      </w:r>
    </w:p>
    <w:p>
      <w:pPr>
        <w:spacing w:after="0" w:line="283" w:lineRule="exact"/>
        <w:rPr>
          <w:sz w:val="20"/>
          <w:szCs w:val="20"/>
          <w:color w:val="auto"/>
        </w:rPr>
      </w:pPr>
    </w:p>
    <w:p>
      <w:pPr>
        <w:ind w:left="58"/>
        <w:spacing w:after="0"/>
        <w:rPr>
          <w:sz w:val="20"/>
          <w:szCs w:val="20"/>
          <w:color w:val="auto"/>
        </w:rPr>
      </w:pP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23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color w:val="auto"/>
        </w:rPr>
        <w:t>Letter of Credit Amounts</w:t>
      </w:r>
    </w:p>
    <w:p>
      <w:pPr>
        <w:spacing w:after="0" w:line="283" w:lineRule="exact"/>
        <w:rPr>
          <w:sz w:val="20"/>
          <w:szCs w:val="20"/>
          <w:color w:val="auto"/>
        </w:rPr>
      </w:pPr>
    </w:p>
    <w:p>
      <w:pPr>
        <w:ind w:left="58"/>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58" w:right="20" w:firstLine="644"/>
        <w:spacing w:after="0" w:line="218" w:lineRule="auto"/>
        <w:tabs>
          <w:tab w:leader="none" w:pos="123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197" w:lineRule="exact"/>
        <w:rPr>
          <w:rFonts w:ascii="Arial" w:cs="Arial" w:eastAsia="Arial" w:hAnsi="Arial"/>
          <w:sz w:val="20"/>
          <w:szCs w:val="20"/>
          <w:color w:val="auto"/>
        </w:rPr>
      </w:pPr>
    </w:p>
    <w:p>
      <w:pPr>
        <w:ind w:left="58" w:right="20" w:firstLine="644"/>
        <w:spacing w:after="0" w:line="236" w:lineRule="auto"/>
        <w:tabs>
          <w:tab w:leader="none" w:pos="123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For purposes of Articles II, III and V, the applicable outstanding amount of all Canadian Letters of Credit and Canadian L/C Obligations shall be deemed to refer to the Dollar Amount thereof.</w:t>
      </w:r>
    </w:p>
    <w:p>
      <w:pPr>
        <w:spacing w:after="0" w:line="196"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6"/>
          <w:szCs w:val="16"/>
          <w:color w:val="auto"/>
        </w:rPr>
        <w:t>Guarantees/Earn-Outs</w:t>
      </w:r>
    </w:p>
    <w:p>
      <w:pPr>
        <w:spacing w:after="0" w:line="283" w:lineRule="exact"/>
        <w:rPr>
          <w:sz w:val="20"/>
          <w:szCs w:val="20"/>
          <w:color w:val="auto"/>
        </w:rPr>
      </w:pPr>
    </w:p>
    <w:p>
      <w:pPr>
        <w:jc w:val="both"/>
        <w:ind w:left="58" w:hanging="4"/>
        <w:spacing w:after="0" w:line="223" w:lineRule="auto"/>
        <w:tabs>
          <w:tab w:leader="none" w:pos="18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8"/>
        <w:spacing w:after="0"/>
        <w:rPr>
          <w:sz w:val="20"/>
          <w:szCs w:val="20"/>
          <w:color w:val="auto"/>
        </w:rPr>
      </w:pPr>
      <w:r>
        <w:rPr>
          <w:rFonts w:ascii="Arial" w:cs="Arial" w:eastAsia="Arial" w:hAnsi="Arial"/>
          <w:sz w:val="14"/>
          <w:szCs w:val="14"/>
          <w:color w:val="FF0000"/>
          <w:strike w:val="1"/>
        </w:rPr>
        <w:t>146960219_6</w:t>
      </w:r>
    </w:p>
    <w:p>
      <w:pPr>
        <w:ind w:left="338" w:hanging="338"/>
        <w:spacing w:after="0" w:line="227" w:lineRule="auto"/>
        <w:tabs>
          <w:tab w:leader="none" w:pos="338" w:val="left"/>
        </w:tabs>
        <w:numPr>
          <w:ilvl w:val="0"/>
          <w:numId w:val="15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39" w:name="page140"/>
    <w:bookmarkEnd w:id="139"/>
    <w:p>
      <w:pPr>
        <w:ind w:left="58" w:right="260"/>
        <w:spacing w:after="0" w:line="236" w:lineRule="auto"/>
        <w:rPr>
          <w:sz w:val="20"/>
          <w:szCs w:val="20"/>
          <w:color w:val="auto"/>
        </w:rPr>
      </w:pPr>
      <w:r>
        <w:rPr>
          <w:rFonts w:ascii="Arial" w:cs="Arial" w:eastAsia="Arial" w:hAnsi="Arial"/>
          <w:sz w:val="20"/>
          <w:szCs w:val="20"/>
          <w:color w:val="auto"/>
        </w:rPr>
        <w:t>earn-out or similar obligation shall be the amount of such obligation as reflected on the balance sheet of such Person in accordance with GAAP.</w:t>
      </w:r>
    </w:p>
    <w:p>
      <w:pPr>
        <w:spacing w:after="0" w:line="196" w:lineRule="exact"/>
        <w:rPr>
          <w:sz w:val="20"/>
          <w:szCs w:val="20"/>
          <w:color w:val="auto"/>
        </w:rPr>
      </w:pPr>
    </w:p>
    <w:p>
      <w:pPr>
        <w:ind w:left="698"/>
        <w:spacing w:after="0"/>
        <w:tabs>
          <w:tab w:leader="none" w:pos="2098"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8"/>
          <w:szCs w:val="18"/>
          <w:color w:val="auto"/>
        </w:rPr>
        <w:t>Alternative Currency Matters</w:t>
      </w:r>
    </w:p>
    <w:p>
      <w:pPr>
        <w:spacing w:after="0" w:line="283" w:lineRule="exact"/>
        <w:rPr>
          <w:sz w:val="20"/>
          <w:szCs w:val="20"/>
          <w:color w:val="auto"/>
        </w:rPr>
      </w:pPr>
    </w:p>
    <w:p>
      <w:pPr>
        <w:ind w:left="58"/>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58" w:firstLine="644"/>
        <w:spacing w:after="0" w:line="237" w:lineRule="auto"/>
        <w:tabs>
          <w:tab w:leader="none" w:pos="123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Covenant Compliance Generally. For purposes of determining compliance under Sections 9.1, 9.2, 9.3, 9.5 and 9.6, any amount in a currency other than Dollars will be converted to Dollars in a manner consistent with that used in calculating Consolidated Net Income in the most recent annual financial statements of the Consolidated Companies delivered pursuant to Section 8.1(a). Notwithstanding the foregoing, for purposes of determining compliance with Sections 9.1, 9.2 and 9.3,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provided that for the avoidance of doubt, the foregoing provisions of this Section 1.10 shall otherwise apply to such Sections, including with respect to determining whether any Indebtedness or Investment may be incurred at any time under such Sections.</w:t>
      </w:r>
    </w:p>
    <w:p>
      <w:pPr>
        <w:spacing w:after="0" w:line="200" w:lineRule="exact"/>
        <w:rPr>
          <w:rFonts w:ascii="Arial" w:cs="Arial" w:eastAsia="Arial" w:hAnsi="Arial"/>
          <w:sz w:val="18"/>
          <w:szCs w:val="18"/>
          <w:color w:val="auto"/>
        </w:rPr>
      </w:pPr>
    </w:p>
    <w:p>
      <w:pPr>
        <w:jc w:val="both"/>
        <w:ind w:left="58" w:right="20" w:firstLine="644"/>
        <w:spacing w:after="0" w:line="246" w:lineRule="auto"/>
        <w:tabs>
          <w:tab w:leader="none" w:pos="123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Amount of Obligations. Unless otherwise specified, for purposes of this Agreement, any determination of the amount of any outstanding Canadian Revolving Credit Loans, Canadian Swingline Loans, Incremental Term Loans denominated in Canadian Dollars or Canadian Obligations shall be based upon the Dollar Amount of such Canadian Revolving Credit Loans, Canadian Swingline Loans, Incremental Term Loans denominated in Canadian Dollars or Canadian Obligations, as the case may be.</w:t>
      </w:r>
    </w:p>
    <w:p>
      <w:pPr>
        <w:spacing w:after="0" w:line="190" w:lineRule="exact"/>
        <w:rPr>
          <w:rFonts w:ascii="Arial" w:cs="Arial" w:eastAsia="Arial" w:hAnsi="Arial"/>
          <w:sz w:val="18"/>
          <w:szCs w:val="18"/>
          <w:color w:val="auto"/>
        </w:rPr>
      </w:pPr>
    </w:p>
    <w:p>
      <w:pPr>
        <w:jc w:val="both"/>
        <w:ind w:left="58" w:firstLine="644"/>
        <w:spacing w:after="0" w:line="220" w:lineRule="auto"/>
        <w:tabs>
          <w:tab w:leader="none" w:pos="123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Exchange Rates.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210" w:lineRule="exact"/>
        <w:rPr>
          <w:sz w:val="20"/>
          <w:szCs w:val="20"/>
          <w:color w:val="auto"/>
        </w:rPr>
      </w:pPr>
    </w:p>
    <w:p>
      <w:pPr>
        <w:ind w:left="698"/>
        <w:spacing w:after="0"/>
        <w:tabs>
          <w:tab w:leader="none" w:pos="2098"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color w:val="auto"/>
        </w:rPr>
        <w:t>Rates</w:t>
      </w:r>
    </w:p>
    <w:p>
      <w:pPr>
        <w:spacing w:after="0" w:line="258" w:lineRule="exact"/>
        <w:rPr>
          <w:sz w:val="20"/>
          <w:szCs w:val="20"/>
          <w:color w:val="auto"/>
        </w:rPr>
      </w:pPr>
    </w:p>
    <w:p>
      <w:pPr>
        <w:ind w:left="58"/>
        <w:spacing w:after="0"/>
        <w:rPr>
          <w:sz w:val="20"/>
          <w:szCs w:val="20"/>
          <w:color w:val="auto"/>
        </w:rPr>
      </w:pPr>
      <w:r>
        <w:rPr>
          <w:rFonts w:ascii="Arial" w:cs="Arial" w:eastAsia="Arial" w:hAnsi="Arial"/>
          <w:sz w:val="20"/>
          <w:szCs w:val="20"/>
          <w:color w:val="auto"/>
        </w:rPr>
        <w:t>. The interest rate on LIBOR Rate Loans and Base Rate Loans (when determined by reference to clause</w:t>
      </w:r>
    </w:p>
    <w:p>
      <w:pPr>
        <w:jc w:val="both"/>
        <w:ind w:left="58" w:hanging="4"/>
        <w:spacing w:after="0" w:line="232" w:lineRule="auto"/>
        <w:tabs>
          <w:tab w:leader="none" w:pos="5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of the definition of Base Rate) may be determined by reference to LIBOR, which is derived from the London interbank offered rate. The London interbank offered rate is intended to represent the rate at which contributing banks may obtain short-term borrowings from each other in the London interbank market. On March 5, 2021, ICE Benchmark Administration (“IBA”), the administrator of the London interbank offered rate, and the Financial Conduct Authority (the “FCA”), the regulatory supervisor of IBA, announced in public statements (the “Announcements”) that the final publication or representativeness date for the London interbank offered rate for Dollars for: (a) 1-week and 2-month tenor settings will be December 31, 2021 and (b) overnight, 1-month, 3-month, 6-month and 12-month tenor settings will be June 30, 2023. No successor administrator for IBA was identified in such Announcements. As a result, it is possible that commencing immediately after such dates, the London interbank offered rate for such tenors may no longer be available or may no longer be deemed a representative reference rate upon which to determine the interest rate on LIBOR Rate Loans or Base Rate Loans (when determined by reference to clause (c) of the definition of Base Rate).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5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40" w:name="page141"/>
    <w:bookmarkEnd w:id="140"/>
    <w:p>
      <w:pPr>
        <w:spacing w:after="0" w:line="209" w:lineRule="exact"/>
        <w:rPr>
          <w:sz w:val="20"/>
          <w:szCs w:val="20"/>
          <w:color w:val="auto"/>
        </w:rPr>
      </w:pPr>
    </w:p>
    <w:p>
      <w:pPr>
        <w:ind w:left="58" w:firstLine="40"/>
        <w:spacing w:after="0" w:line="244" w:lineRule="auto"/>
        <w:rPr>
          <w:sz w:val="20"/>
          <w:szCs w:val="20"/>
          <w:color w:val="auto"/>
        </w:rPr>
      </w:pPr>
      <w:r>
        <w:rPr>
          <w:rFonts w:ascii="Arial" w:cs="Arial" w:eastAsia="Arial" w:hAnsi="Arial"/>
          <w:sz w:val="18"/>
          <w:szCs w:val="18"/>
          <w:color w:val="auto"/>
        </w:rPr>
        <w:t>be used in place of the London interbank offered rate. In the event that the London interbank offered rate or any other then-current Benchmark is no longer available or in certain other circumstances set forth in Section 5.8(c), such Section 5.8(c) provides a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-179070</wp:posOffset>
            </wp:positionV>
            <wp:extent cx="25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8">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ind w:left="58"/>
        <w:spacing w:after="0" w:line="226" w:lineRule="auto"/>
        <w:rPr>
          <w:sz w:val="20"/>
          <w:szCs w:val="20"/>
          <w:color w:val="auto"/>
        </w:rPr>
      </w:pPr>
      <w:r>
        <w:rPr>
          <w:rFonts w:ascii="Arial" w:cs="Arial" w:eastAsia="Arial" w:hAnsi="Arial"/>
          <w:sz w:val="18"/>
          <w:szCs w:val="18"/>
          <w:color w:val="auto"/>
        </w:rPr>
        <w:t>for determining an alternative rate of interest. The Administrative Agent will notify Centuri, pursuant to Section 5.8(c), of any change to the reference rate upon which the interest rate on LIBOR Rate Loans and Base Rate Loans (when determined by reference to clause (c) of</w:t>
      </w:r>
    </w:p>
    <w:p>
      <w:pPr>
        <w:ind w:left="58"/>
        <w:spacing w:after="0" w:line="236" w:lineRule="auto"/>
        <w:rPr>
          <w:sz w:val="20"/>
          <w:szCs w:val="20"/>
          <w:color w:val="auto"/>
        </w:rPr>
      </w:pPr>
      <w:r>
        <w:rPr>
          <w:rFonts w:ascii="Arial" w:cs="Arial" w:eastAsia="Arial" w:hAnsi="Arial"/>
          <w:sz w:val="18"/>
          <w:szCs w:val="18"/>
          <w:color w:val="auto"/>
        </w:rPr>
        <w:t>the definition of Base Rate) is based. However, the Administrative Agent does not warrant or accept any responsibility for, and shall not</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 xml:space="preserve">have any liability with respect to, (i) the continuation of, administration of, submission of, calculation of or any other matter related to </w:t>
      </w:r>
      <w:r>
        <w:rPr>
          <w:rFonts w:ascii="Arial" w:cs="Arial" w:eastAsia="Arial" w:hAnsi="Arial"/>
          <w:sz w:val="18"/>
          <w:szCs w:val="18"/>
          <w:color w:val="0000FF"/>
        </w:rPr>
        <w:t>the</w:t>
      </w:r>
      <w:r>
        <w:rPr>
          <w:rFonts w:ascii="Arial" w:cs="Arial" w:eastAsia="Arial" w:hAnsi="Arial"/>
          <w:sz w:val="18"/>
          <w:szCs w:val="18"/>
          <w:color w:val="auto"/>
        </w:rPr>
        <w:t xml:space="preserve"> </w:t>
      </w:r>
      <w:r>
        <w:rPr>
          <w:rFonts w:ascii="Arial" w:cs="Arial" w:eastAsia="Arial" w:hAnsi="Arial"/>
          <w:sz w:val="18"/>
          <w:szCs w:val="18"/>
          <w:color w:val="0000FF"/>
        </w:rPr>
        <w:t xml:space="preserve">Term SOFR Reference Rate, Adjusted Terms SOFR, Term SOFR, </w:t>
      </w:r>
      <w:r>
        <w:rPr>
          <w:rFonts w:ascii="Arial" w:cs="Arial" w:eastAsia="Arial" w:hAnsi="Arial"/>
          <w:sz w:val="18"/>
          <w:szCs w:val="18"/>
          <w:color w:val="000000"/>
        </w:rPr>
        <w:t>the London interbank offered rate or other rates in</w:t>
      </w:r>
      <w:r>
        <w:rPr>
          <w:rFonts w:ascii="Arial" w:cs="Arial" w:eastAsia="Arial" w:hAnsi="Arial"/>
          <w:sz w:val="18"/>
          <w:szCs w:val="18"/>
          <w:color w:val="0000FF"/>
        </w:rPr>
        <w:t xml:space="preserve"> </w:t>
      </w:r>
      <w:r>
        <w:rPr>
          <w:rFonts w:ascii="Arial" w:cs="Arial" w:eastAsia="Arial" w:hAnsi="Arial"/>
          <w:sz w:val="18"/>
          <w:szCs w:val="18"/>
          <w:color w:val="FF0000"/>
          <w:strike w:val="1"/>
        </w:rPr>
        <w:t>the</w:t>
      </w:r>
      <w:r>
        <w:rPr>
          <w:rFonts w:ascii="Arial" w:cs="Arial" w:eastAsia="Arial" w:hAnsi="Arial"/>
          <w:sz w:val="18"/>
          <w:szCs w:val="18"/>
          <w:color w:val="0000FF"/>
        </w:rPr>
        <w:t>any such</w:t>
      </w:r>
    </w:p>
    <w:p>
      <w:pPr>
        <w:ind w:left="58"/>
        <w:spacing w:after="0" w:line="236" w:lineRule="auto"/>
        <w:rPr>
          <w:sz w:val="20"/>
          <w:szCs w:val="20"/>
          <w:color w:val="auto"/>
        </w:rPr>
      </w:pPr>
      <w:r>
        <w:rPr>
          <w:rFonts w:ascii="Arial" w:cs="Arial" w:eastAsia="Arial" w:hAnsi="Arial"/>
          <w:sz w:val="18"/>
          <w:szCs w:val="18"/>
          <w:color w:val="auto"/>
        </w:rPr>
        <w:t xml:space="preserve">definition </w:t>
      </w:r>
      <w:r>
        <w:rPr>
          <w:rFonts w:ascii="Arial" w:cs="Arial" w:eastAsia="Arial" w:hAnsi="Arial"/>
          <w:sz w:val="18"/>
          <w:szCs w:val="18"/>
          <w:color w:val="FF0000"/>
          <w:strike w:val="1"/>
        </w:rPr>
        <w:t>of “LIBOR”</w:t>
      </w:r>
      <w:r>
        <w:rPr>
          <w:rFonts w:ascii="Arial" w:cs="Arial" w:eastAsia="Arial" w:hAnsi="Arial"/>
          <w:sz w:val="18"/>
          <w:szCs w:val="18"/>
          <w:color w:val="auto"/>
        </w:rPr>
        <w:t xml:space="preserve"> or with respect to any alternative, successor or replacement rate thereto (including any then-current Benchmark or</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any Benchmark Replacement), including whether the composition or characteristics of any such alternative, successor or replacement rate (including any Benchmark Replacement), as it may or may not be adjusted pursuant to Section 5.8(c), will be similar to, or produce the</w:t>
      </w:r>
    </w:p>
    <w:p>
      <w:pPr>
        <w:ind w:left="58"/>
        <w:spacing w:after="0" w:line="236" w:lineRule="auto"/>
        <w:rPr>
          <w:sz w:val="20"/>
          <w:szCs w:val="20"/>
          <w:color w:val="auto"/>
        </w:rPr>
      </w:pPr>
      <w:r>
        <w:rPr>
          <w:rFonts w:ascii="Arial" w:cs="Arial" w:eastAsia="Arial" w:hAnsi="Arial"/>
          <w:sz w:val="18"/>
          <w:szCs w:val="18"/>
          <w:color w:val="auto"/>
        </w:rPr>
        <w:t xml:space="preserve">same value or economic equivalence of, LIBOR or any other Benchmark, or have the same volume or liquidity as did </w:t>
      </w:r>
      <w:r>
        <w:rPr>
          <w:rFonts w:ascii="Arial" w:cs="Arial" w:eastAsia="Arial" w:hAnsi="Arial"/>
          <w:sz w:val="18"/>
          <w:szCs w:val="18"/>
          <w:color w:val="0000FF"/>
        </w:rPr>
        <w:t>the Term SOFR</w:t>
      </w:r>
    </w:p>
    <w:p>
      <w:pPr>
        <w:spacing w:after="0" w:line="1"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0000FF"/>
        </w:rPr>
        <w:t xml:space="preserve">Reference Rate, Adjusted Term SOFR, Term SOFR or </w:t>
      </w:r>
      <w:r>
        <w:rPr>
          <w:rFonts w:ascii="Arial" w:cs="Arial" w:eastAsia="Arial" w:hAnsi="Arial"/>
          <w:sz w:val="18"/>
          <w:szCs w:val="18"/>
          <w:color w:val="000000"/>
        </w:rPr>
        <w:t>the London interbank offered rate or any other Benchmark prior to its</w:t>
      </w:r>
      <w:r>
        <w:rPr>
          <w:rFonts w:ascii="Arial" w:cs="Arial" w:eastAsia="Arial" w:hAnsi="Arial"/>
          <w:sz w:val="18"/>
          <w:szCs w:val="18"/>
          <w:color w:val="0000FF"/>
        </w:rPr>
        <w:t xml:space="preserve"> </w:t>
      </w:r>
      <w:r>
        <w:rPr>
          <w:rFonts w:ascii="Arial" w:cs="Arial" w:eastAsia="Arial" w:hAnsi="Arial"/>
          <w:sz w:val="18"/>
          <w:szCs w:val="18"/>
          <w:color w:val="000000"/>
        </w:rPr>
        <w:t>discontinuance or unavailability, or (ii) the effect, implementation or composition of any Benchmark Replacement Conforming Changes.</w:t>
      </w:r>
    </w:p>
    <w:p>
      <w:pPr>
        <w:ind w:left="58"/>
        <w:spacing w:after="0" w:line="236" w:lineRule="auto"/>
        <w:rPr>
          <w:sz w:val="20"/>
          <w:szCs w:val="20"/>
          <w:color w:val="auto"/>
        </w:rPr>
      </w:pPr>
      <w:r>
        <w:rPr>
          <w:rFonts w:ascii="Arial" w:cs="Arial" w:eastAsia="Arial" w:hAnsi="Arial"/>
          <w:sz w:val="18"/>
          <w:szCs w:val="18"/>
          <w:color w:val="auto"/>
        </w:rPr>
        <w:t xml:space="preserve">The Administrative Agent and its Affiliates or other related entities may engage in transactions that affect the calculation of </w:t>
      </w:r>
      <w:r>
        <w:rPr>
          <w:rFonts w:ascii="Arial" w:cs="Arial" w:eastAsia="Arial" w:hAnsi="Arial"/>
          <w:sz w:val="18"/>
          <w:szCs w:val="18"/>
          <w:color w:val="FF0000"/>
          <w:strike w:val="1"/>
        </w:rPr>
        <w:t>a</w:t>
      </w:r>
      <w:r>
        <w:rPr>
          <w:rFonts w:ascii="Arial" w:cs="Arial" w:eastAsia="Arial" w:hAnsi="Arial"/>
          <w:sz w:val="18"/>
          <w:szCs w:val="18"/>
          <w:color w:val="0000FF"/>
        </w:rPr>
        <w:t>the Term</w:t>
      </w:r>
    </w:p>
    <w:p>
      <w:pPr>
        <w:spacing w:after="0" w:line="1" w:lineRule="exact"/>
        <w:rPr>
          <w:sz w:val="20"/>
          <w:szCs w:val="20"/>
          <w:color w:val="auto"/>
        </w:rPr>
      </w:pPr>
    </w:p>
    <w:p>
      <w:pPr>
        <w:ind w:left="58"/>
        <w:spacing w:after="0" w:line="255" w:lineRule="auto"/>
        <w:rPr>
          <w:sz w:val="20"/>
          <w:szCs w:val="20"/>
          <w:color w:val="auto"/>
        </w:rPr>
      </w:pPr>
      <w:r>
        <w:rPr>
          <w:rFonts w:ascii="Arial" w:cs="Arial" w:eastAsia="Arial" w:hAnsi="Arial"/>
          <w:sz w:val="16"/>
          <w:szCs w:val="16"/>
          <w:color w:val="0000FF"/>
        </w:rPr>
        <w:t xml:space="preserve">SOFR Reference Rate, Adjusted Term SOFR, Term SOFR, any other </w:t>
      </w:r>
      <w:r>
        <w:rPr>
          <w:rFonts w:ascii="Arial" w:cs="Arial" w:eastAsia="Arial" w:hAnsi="Arial"/>
          <w:sz w:val="16"/>
          <w:szCs w:val="16"/>
          <w:color w:val="000000"/>
        </w:rPr>
        <w:t>Benchmark</w:t>
      </w:r>
      <w:r>
        <w:rPr>
          <w:rFonts w:ascii="Arial" w:cs="Arial" w:eastAsia="Arial" w:hAnsi="Arial"/>
          <w:sz w:val="16"/>
          <w:szCs w:val="16"/>
          <w:color w:val="FF0000"/>
        </w:rPr>
        <w:t>,</w:t>
      </w:r>
      <w:r>
        <w:rPr>
          <w:rFonts w:ascii="Arial" w:cs="Arial" w:eastAsia="Arial" w:hAnsi="Arial"/>
          <w:sz w:val="16"/>
          <w:szCs w:val="16"/>
          <w:color w:val="0000FF"/>
        </w:rPr>
        <w:t xml:space="preserve"> or </w:t>
      </w:r>
      <w:r>
        <w:rPr>
          <w:rFonts w:ascii="Arial" w:cs="Arial" w:eastAsia="Arial" w:hAnsi="Arial"/>
          <w:sz w:val="16"/>
          <w:szCs w:val="16"/>
          <w:color w:val="000000"/>
        </w:rPr>
        <w:t>any alternative, successor or replacement rate</w:t>
      </w:r>
      <w:r>
        <w:rPr>
          <w:rFonts w:ascii="Arial" w:cs="Arial" w:eastAsia="Arial" w:hAnsi="Arial"/>
          <w:sz w:val="16"/>
          <w:szCs w:val="16"/>
          <w:color w:val="0000FF"/>
        </w:rPr>
        <w:t xml:space="preserve"> </w:t>
      </w:r>
      <w:r>
        <w:rPr>
          <w:rFonts w:ascii="Arial" w:cs="Arial" w:eastAsia="Arial" w:hAnsi="Arial"/>
          <w:sz w:val="16"/>
          <w:szCs w:val="16"/>
          <w:color w:val="000000"/>
        </w:rPr>
        <w:t>(including any Benchmark Replacement) or any relevant adjustments thereto and such transactions may be adverse to the Borrowers. The</w:t>
      </w:r>
    </w:p>
    <w:p>
      <w:pPr>
        <w:ind w:left="58"/>
        <w:spacing w:after="0" w:line="235" w:lineRule="auto"/>
        <w:rPr>
          <w:sz w:val="20"/>
          <w:szCs w:val="20"/>
          <w:color w:val="auto"/>
        </w:rPr>
      </w:pPr>
      <w:r>
        <w:rPr>
          <w:rFonts w:ascii="Arial" w:cs="Arial" w:eastAsia="Arial" w:hAnsi="Arial"/>
          <w:sz w:val="18"/>
          <w:szCs w:val="18"/>
          <w:color w:val="auto"/>
        </w:rPr>
        <w:t xml:space="preserve">Administrative Agent may select information sources or services in its reasonable discretion to ascertain </w:t>
      </w:r>
      <w:r>
        <w:rPr>
          <w:rFonts w:ascii="Arial" w:cs="Arial" w:eastAsia="Arial" w:hAnsi="Arial"/>
          <w:sz w:val="18"/>
          <w:szCs w:val="18"/>
          <w:color w:val="0000FF"/>
        </w:rPr>
        <w:t>the Term SOFR Reference Rate,</w:t>
      </w:r>
    </w:p>
    <w:p>
      <w:pPr>
        <w:ind w:left="58"/>
        <w:spacing w:after="0" w:line="226" w:lineRule="auto"/>
        <w:rPr>
          <w:sz w:val="20"/>
          <w:szCs w:val="20"/>
          <w:color w:val="auto"/>
        </w:rPr>
      </w:pPr>
      <w:r>
        <w:rPr>
          <w:rFonts w:ascii="Arial" w:cs="Arial" w:eastAsia="Arial" w:hAnsi="Arial"/>
          <w:sz w:val="18"/>
          <w:szCs w:val="18"/>
          <w:color w:val="0000FF"/>
        </w:rPr>
        <w:t xml:space="preserve">Adjusted Term SOFR, Term SOFR, or </w:t>
      </w:r>
      <w:r>
        <w:rPr>
          <w:rFonts w:ascii="Arial" w:cs="Arial" w:eastAsia="Arial" w:hAnsi="Arial"/>
          <w:sz w:val="18"/>
          <w:szCs w:val="18"/>
          <w:color w:val="000000"/>
        </w:rPr>
        <w:t>any</w:t>
      </w:r>
      <w:r>
        <w:rPr>
          <w:rFonts w:ascii="Arial" w:cs="Arial" w:eastAsia="Arial" w:hAnsi="Arial"/>
          <w:sz w:val="18"/>
          <w:szCs w:val="18"/>
          <w:color w:val="0000FF"/>
        </w:rPr>
        <w:t xml:space="preserve"> other </w:t>
      </w:r>
      <w:r>
        <w:rPr>
          <w:rFonts w:ascii="Arial" w:cs="Arial" w:eastAsia="Arial" w:hAnsi="Arial"/>
          <w:sz w:val="18"/>
          <w:szCs w:val="18"/>
          <w:color w:val="000000"/>
        </w:rPr>
        <w:t>Benchmark, any component definition thereof or rates referenced in the definition</w:t>
      </w:r>
      <w:r>
        <w:rPr>
          <w:rFonts w:ascii="Arial" w:cs="Arial" w:eastAsia="Arial" w:hAnsi="Arial"/>
          <w:sz w:val="18"/>
          <w:szCs w:val="18"/>
          <w:color w:val="0000FF"/>
        </w:rPr>
        <w:t xml:space="preserve"> </w:t>
      </w:r>
      <w:r>
        <w:rPr>
          <w:rFonts w:ascii="Arial" w:cs="Arial" w:eastAsia="Arial" w:hAnsi="Arial"/>
          <w:sz w:val="18"/>
          <w:szCs w:val="18"/>
          <w:color w:val="000000"/>
        </w:rPr>
        <w:t>thereof, in each case pursuant to the terms of this Agreement, and shall have no liability to the Borrowers, any Lender or any other person</w:t>
      </w:r>
    </w:p>
    <w:p>
      <w:pPr>
        <w:ind w:left="58"/>
        <w:spacing w:after="0" w:line="236" w:lineRule="auto"/>
        <w:rPr>
          <w:sz w:val="20"/>
          <w:szCs w:val="20"/>
          <w:color w:val="auto"/>
        </w:rPr>
      </w:pPr>
      <w:r>
        <w:rPr>
          <w:rFonts w:ascii="Arial" w:cs="Arial" w:eastAsia="Arial" w:hAnsi="Arial"/>
          <w:sz w:val="18"/>
          <w:szCs w:val="18"/>
          <w:color w:val="auto"/>
        </w:rPr>
        <w:t>or entity for damages of any kind, including direct or indirect, special, punitive, incidental or consequential damages, costs, losses or</w:t>
      </w:r>
    </w:p>
    <w:p>
      <w:pPr>
        <w:spacing w:after="0" w:line="1" w:lineRule="exact"/>
        <w:rPr>
          <w:sz w:val="20"/>
          <w:szCs w:val="20"/>
          <w:color w:val="auto"/>
        </w:rPr>
      </w:pPr>
    </w:p>
    <w:p>
      <w:pPr>
        <w:ind w:left="58"/>
        <w:spacing w:after="0" w:line="220" w:lineRule="auto"/>
        <w:rPr>
          <w:sz w:val="20"/>
          <w:szCs w:val="20"/>
          <w:color w:val="auto"/>
        </w:rPr>
      </w:pPr>
      <w:r>
        <w:rPr>
          <w:rFonts w:ascii="Arial" w:cs="Arial" w:eastAsia="Arial" w:hAnsi="Arial"/>
          <w:sz w:val="20"/>
          <w:szCs w:val="20"/>
          <w:color w:val="auto"/>
        </w:rPr>
        <w:t>expenses (whether in tort, contract or otherwise and whether at law or in equity), for any error or calculation of any such rate (or component thereof) provided by any such information source or service.</w:t>
      </w:r>
    </w:p>
    <w:p>
      <w:pPr>
        <w:spacing w:after="0" w:line="210"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color w:val="auto"/>
        </w:rPr>
        <w:t>Limited Condition Acquisitions</w:t>
      </w:r>
    </w:p>
    <w:p>
      <w:pPr>
        <w:spacing w:after="0" w:line="270" w:lineRule="exact"/>
        <w:rPr>
          <w:sz w:val="20"/>
          <w:szCs w:val="20"/>
          <w:color w:val="auto"/>
        </w:rPr>
      </w:pPr>
    </w:p>
    <w:p>
      <w:pPr>
        <w:jc w:val="both"/>
        <w:ind w:left="58" w:hanging="4"/>
        <w:spacing w:after="0" w:line="246" w:lineRule="auto"/>
        <w:tabs>
          <w:tab w:leader="none" w:pos="16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that Centuri notifies the Administrative Agent in writing that any proposed Acquisition is a Limited Condition Acquisition and that Centuri wishes to test the conditions to such Acquisition and any Incremental Term Loan or Incremental Equivalent Indebtedness that is to be used to finance such Acquisition in accordance with this Section 1.12, then, so long as agreed to by the Administrative Agent and the lenders providing such Incremental Term Loan or such Incremental Equivalent Indebtedness, the following provisions shall apply:</w:t>
      </w:r>
    </w:p>
    <w:p>
      <w:pPr>
        <w:spacing w:after="0" w:line="204" w:lineRule="exact"/>
        <w:rPr>
          <w:rFonts w:ascii="Arial" w:cs="Arial" w:eastAsia="Arial" w:hAnsi="Arial"/>
          <w:sz w:val="18"/>
          <w:szCs w:val="18"/>
          <w:color w:val="auto"/>
        </w:rPr>
      </w:pPr>
    </w:p>
    <w:p>
      <w:pPr>
        <w:jc w:val="both"/>
        <w:ind w:left="58" w:firstLine="644"/>
        <w:spacing w:after="0" w:line="223" w:lineRule="auto"/>
        <w:tabs>
          <w:tab w:leader="none" w:pos="1237"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any condition to such Limited Condition Acquisition, such Incremental Term Loan or such Incremental Equivalent Indebtedness that requires that no Default or Event of Default shall have occurred and be continuing at the time of such Limited Condition Acquisition or the incurrence of such Incremental Term Loan or Incremental Equivalent Indebtedness, shall be satisfied if (i) no Default or Event of Default shall have occurred and be continuing at the time of the execution of the definitive purchase agreement, merger agreement or other acquisition agreement governing such Limited Condition Acquisition (the “LCA Test Date”) and (ii) no Event of Default under any of Section 10.1(a), 10.1(b), 10.1(i) or 10.1(j) shall have occurred and be continuing both immediately before and immediately after giving effect to such Limited Condition Acquisition and any Indebtedness incurred in connection therewith (including any such additional Incremental Term Loan or Incremental Equivalent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56"/>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1" w:name="page142"/>
    <w:bookmarkEnd w:id="141"/>
    <w:p>
      <w:pPr>
        <w:spacing w:after="0" w:line="209" w:lineRule="exact"/>
        <w:rPr>
          <w:sz w:val="20"/>
          <w:szCs w:val="20"/>
          <w:color w:val="auto"/>
        </w:rPr>
      </w:pPr>
    </w:p>
    <w:p>
      <w:pPr>
        <w:jc w:val="both"/>
        <w:ind w:left="58" w:firstLine="644"/>
        <w:spacing w:after="0" w:line="233" w:lineRule="auto"/>
        <w:tabs>
          <w:tab w:leader="none" w:pos="123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condition to such Limited Condition Acquisition, such Incremental Term Loan or such Incremental Equivalent Indebtedness that the representations and warranties in this Agreement and the other Loan Documents shall be true and correct at the time of consummation of such Limited Condition Acquisition or the incurrence of such Incremental Term Loan or Incremental Equivalent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Incremental Term Loan or Incremental Equivalent Indebtedness shall be true and correct, but only to the extent that Centuri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Incremental Term Loan or Incremental Equivalent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200" w:lineRule="exact"/>
        <w:rPr>
          <w:rFonts w:ascii="Arial" w:cs="Arial" w:eastAsia="Arial" w:hAnsi="Arial"/>
          <w:sz w:val="18"/>
          <w:szCs w:val="18"/>
          <w:color w:val="auto"/>
        </w:rPr>
      </w:pPr>
    </w:p>
    <w:p>
      <w:pPr>
        <w:jc w:val="both"/>
        <w:ind w:left="58" w:firstLine="644"/>
        <w:spacing w:after="0" w:line="223" w:lineRule="auto"/>
        <w:tabs>
          <w:tab w:leader="none" w:pos="123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any financial ratio test or condition to be tested in connection with such Limited Condition Acquisition and the availability of such Incremental Term Loan or Incremental Equivalent Indebtedness will be tested as of the LCA Test Date, in each case, after giving effect to the relevant Limited Condition Acquisition and related incurrence of Incremental Term Loan or Incremental Equivalent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Centuri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spacing w:after="0" w:line="210" w:lineRule="exact"/>
        <w:rPr>
          <w:rFonts w:ascii="Arial" w:cs="Arial" w:eastAsia="Arial" w:hAnsi="Arial"/>
          <w:sz w:val="19"/>
          <w:szCs w:val="19"/>
          <w:color w:val="auto"/>
        </w:rPr>
      </w:pPr>
    </w:p>
    <w:p>
      <w:pPr>
        <w:jc w:val="both"/>
        <w:ind w:left="58" w:firstLine="643"/>
        <w:spacing w:after="0" w:line="220" w:lineRule="auto"/>
        <w:tabs>
          <w:tab w:leader="none" w:pos="12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provided that any calculation of any such ratio or basket under Section 9.6 and Section 9.9 shall be calculated (i)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and (ii) assuming such Limited Condition Acquisition and other transactions in connection therewith (including the incurrence or assumption of the applicable Incremental Term Loan, Incremental Equivalent Indebtedness or any other applicable Indebtedness) have not been consummated. Notwithstanding the foregoing, any calculation of a ratio in connection with determining the Applicable Margin and determining whether or not the Borrower is in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5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2" w:name="page143"/>
    <w:bookmarkEnd w:id="142"/>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financial covenants set forth in Section 9.13 shall, in each case be calculated assuming such Limited Condition Acquisition and other</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transactions in connection therewith (including the incurrence or assumption of the applicable Incremental Term Loan, Incremental Equivalent Indebtedness or any other applicable Indebtedness to be incurred or assumed in connection with such Acquisition) have not</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been consummated.</w:t>
      </w:r>
    </w:p>
    <w:p>
      <w:pPr>
        <w:spacing w:after="0" w:line="200" w:lineRule="exact"/>
        <w:rPr>
          <w:sz w:val="20"/>
          <w:szCs w:val="20"/>
          <w:color w:val="auto"/>
        </w:rPr>
      </w:pPr>
    </w:p>
    <w:p>
      <w:pPr>
        <w:ind w:left="58" w:right="60" w:firstLine="648"/>
        <w:spacing w:after="0" w:line="236"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Acquisitions such that each of the possible scenarios is separately tested.</w:t>
      </w:r>
    </w:p>
    <w:p>
      <w:pPr>
        <w:spacing w:after="0" w:line="196"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9"/>
          <w:szCs w:val="19"/>
          <w:color w:val="auto"/>
        </w:rPr>
        <w:t>Divisions</w:t>
      </w:r>
    </w:p>
    <w:p>
      <w:pPr>
        <w:spacing w:after="0" w:line="283" w:lineRule="exact"/>
        <w:rPr>
          <w:sz w:val="20"/>
          <w:szCs w:val="20"/>
          <w:color w:val="auto"/>
        </w:rPr>
      </w:pPr>
    </w:p>
    <w:p>
      <w:pPr>
        <w:jc w:val="both"/>
        <w:ind w:left="58" w:hanging="4"/>
        <w:spacing w:after="0" w:line="235" w:lineRule="auto"/>
        <w:tabs>
          <w:tab w:leader="none" w:pos="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rFonts w:ascii="Arial" w:cs="Arial" w:eastAsia="Arial" w:hAnsi="Arial"/>
          <w:sz w:val="18"/>
          <w:szCs w:val="18"/>
          <w:color w:val="auto"/>
        </w:rPr>
      </w:pPr>
    </w:p>
    <w:p>
      <w:pPr>
        <w:ind w:left="58"/>
        <w:spacing w:after="0" w:line="227" w:lineRule="auto"/>
        <w:rPr>
          <w:rFonts w:ascii="Arial" w:cs="Arial" w:eastAsia="Arial" w:hAnsi="Arial"/>
          <w:sz w:val="18"/>
          <w:szCs w:val="18"/>
          <w:color w:val="auto"/>
        </w:rPr>
      </w:pPr>
      <w:r>
        <w:rPr>
          <w:rFonts w:ascii="Arial" w:cs="Arial" w:eastAsia="Arial" w:hAnsi="Arial"/>
          <w:sz w:val="20"/>
          <w:szCs w:val="20"/>
          <w:color w:val="auto"/>
        </w:rPr>
        <w:t>(b) if any new Person comes into existence, such new Person shall be deemed to have been organized on the first date of its existence by the holders of its Equity Interests at such time.</w:t>
      </w:r>
    </w:p>
    <w:p>
      <w:pPr>
        <w:spacing w:after="0" w:line="332" w:lineRule="exact"/>
        <w:rPr>
          <w:sz w:val="20"/>
          <w:szCs w:val="20"/>
          <w:color w:val="auto"/>
        </w:rPr>
      </w:pPr>
    </w:p>
    <w:p>
      <w:pPr>
        <w:ind w:left="698" w:right="3440" w:firstLine="3054"/>
        <w:spacing w:after="0" w:line="373" w:lineRule="auto"/>
        <w:rPr>
          <w:sz w:val="20"/>
          <w:szCs w:val="20"/>
          <w:color w:val="auto"/>
        </w:rPr>
      </w:pPr>
      <w:r>
        <w:rPr>
          <w:rFonts w:ascii="Arial" w:cs="Arial" w:eastAsia="Arial" w:hAnsi="Arial"/>
          <w:sz w:val="20"/>
          <w:szCs w:val="20"/>
          <w:color w:val="auto"/>
        </w:rPr>
        <w:t>ARTICLE II REVOLVING CREDIT FACILITY SECTION 2.1 Revolving Credit Loans</w:t>
      </w:r>
    </w:p>
    <w:p>
      <w:pPr>
        <w:spacing w:after="0" w:line="149" w:lineRule="exact"/>
        <w:rPr>
          <w:sz w:val="20"/>
          <w:szCs w:val="20"/>
          <w:color w:val="auto"/>
        </w:rPr>
      </w:pPr>
    </w:p>
    <w:p>
      <w:pPr>
        <w:jc w:val="both"/>
        <w:ind w:left="58" w:hanging="4"/>
        <w:spacing w:after="0" w:line="212" w:lineRule="auto"/>
        <w:tabs>
          <w:tab w:leader="none" w:pos="185" w:val="left"/>
        </w:tabs>
        <w:numPr>
          <w:ilvl w:val="0"/>
          <w:numId w:val="160"/>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w:t>
      </w:r>
    </w:p>
    <w:p>
      <w:pPr>
        <w:spacing w:after="0" w:line="1" w:lineRule="exact"/>
        <w:rPr>
          <w:sz w:val="20"/>
          <w:szCs w:val="20"/>
          <w:color w:val="auto"/>
        </w:rPr>
      </w:pPr>
    </w:p>
    <w:p>
      <w:pPr>
        <w:jc w:val="both"/>
        <w:ind w:left="58" w:hanging="4"/>
        <w:spacing w:after="0" w:line="210" w:lineRule="auto"/>
        <w:tabs>
          <w:tab w:leader="none" w:pos="58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Canadian Revolving Credit Loans to the Canadian Borrowers, in each case, from time to time from the Closing Date through, but not including, the Revolving Credit Maturity Date as requested by a US Borrower or a Canadian Borrower, as applicable, in accordance with the terms of Section 2.3; provided, that, (i) on the Closing Date, the aggregate Revolving Credit Outstandings, excluding the aggregate undrawn and unexpired amount of the Existing Letters of Credit, shall not exceed $125,000,000, (ii) after the Closing Date,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19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color w:val="auto"/>
        </w:rPr>
        <w:t>Swingline Loans.</w:t>
      </w:r>
    </w:p>
    <w:p>
      <w:pPr>
        <w:spacing w:after="0" w:line="283" w:lineRule="exact"/>
        <w:rPr>
          <w:sz w:val="20"/>
          <w:szCs w:val="20"/>
          <w:color w:val="auto"/>
        </w:rPr>
      </w:pPr>
    </w:p>
    <w:p>
      <w:pPr>
        <w:jc w:val="both"/>
        <w:ind w:left="58" w:firstLine="644"/>
        <w:spacing w:after="0" w:line="212" w:lineRule="auto"/>
        <w:tabs>
          <w:tab w:leader="none" w:pos="1236"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Availability. Subject to the terms and conditions of this Agreement and the other Loan Documents, and in reliance upon the representations and warranties set forth in this Agreement and the other Loan Documents, (a) the Swingline Lender shall make US Swingline Loans to the US Borrowers and</w:t>
      </w:r>
    </w:p>
    <w:p>
      <w:pPr>
        <w:jc w:val="both"/>
        <w:ind w:left="58" w:hanging="4"/>
        <w:spacing w:after="0"/>
        <w:tabs>
          <w:tab w:leader="none" w:pos="58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Swingline Lender shall make Canadian Swingline Loans to the Canadian Borrowers, in each case, from time to time from the Closing Date through, but not including, the Revolving Credit Maturity Date; provided,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16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3" w:name="page144"/>
    <w:bookmarkEnd w:id="143"/>
    <w:p>
      <w:pPr>
        <w:ind w:left="1238" w:hanging="713"/>
        <w:spacing w:after="0"/>
        <w:tabs>
          <w:tab w:leader="none" w:pos="1238" w:val="left"/>
        </w:tabs>
        <w:numPr>
          <w:ilvl w:val="0"/>
          <w:numId w:val="165"/>
        </w:numPr>
        <w:rPr>
          <w:rFonts w:ascii="Arial" w:cs="Arial" w:eastAsia="Arial" w:hAnsi="Arial"/>
          <w:sz w:val="20"/>
          <w:szCs w:val="20"/>
          <w:color w:val="auto"/>
        </w:rPr>
      </w:pPr>
      <w:r>
        <w:rPr>
          <w:rFonts w:ascii="Arial" w:cs="Arial" w:eastAsia="Arial" w:hAnsi="Arial"/>
          <w:sz w:val="20"/>
          <w:szCs w:val="20"/>
          <w:color w:val="auto"/>
        </w:rPr>
        <w:t>Refunding.</w:t>
      </w:r>
    </w:p>
    <w:p>
      <w:pPr>
        <w:spacing w:after="0" w:line="283" w:lineRule="exact"/>
        <w:rPr>
          <w:rFonts w:ascii="Arial" w:cs="Arial" w:eastAsia="Arial" w:hAnsi="Arial"/>
          <w:sz w:val="20"/>
          <w:szCs w:val="20"/>
          <w:color w:val="auto"/>
        </w:rPr>
      </w:pPr>
    </w:p>
    <w:p>
      <w:pPr>
        <w:jc w:val="both"/>
        <w:ind w:left="678" w:firstLine="654"/>
        <w:spacing w:after="0" w:line="235" w:lineRule="auto"/>
        <w:tabs>
          <w:tab w:leader="none" w:pos="18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200" w:lineRule="exact"/>
        <w:rPr>
          <w:rFonts w:ascii="Arial" w:cs="Arial" w:eastAsia="Arial" w:hAnsi="Arial"/>
          <w:sz w:val="18"/>
          <w:szCs w:val="18"/>
          <w:color w:val="auto"/>
        </w:rPr>
      </w:pPr>
    </w:p>
    <w:p>
      <w:pPr>
        <w:jc w:val="both"/>
        <w:ind w:left="678" w:firstLine="654"/>
        <w:spacing w:after="0" w:line="233" w:lineRule="auto"/>
        <w:tabs>
          <w:tab w:leader="none" w:pos="18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applicable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 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Section 11.3 and which such Event of Default has not been waived by the Required Lenders or the Lenders, as applicable).</w:t>
      </w:r>
    </w:p>
    <w:p>
      <w:pPr>
        <w:spacing w:after="0" w:line="198" w:lineRule="exact"/>
        <w:rPr>
          <w:rFonts w:ascii="Arial" w:cs="Arial" w:eastAsia="Arial" w:hAnsi="Arial"/>
          <w:sz w:val="18"/>
          <w:szCs w:val="18"/>
          <w:color w:val="auto"/>
        </w:rPr>
      </w:pPr>
    </w:p>
    <w:p>
      <w:pPr>
        <w:jc w:val="both"/>
        <w:ind w:left="678" w:firstLine="654"/>
        <w:spacing w:after="0" w:line="212" w:lineRule="auto"/>
        <w:tabs>
          <w:tab w:leader="none" w:pos="188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Each Revolving Credit Lender acknowledges and agrees that its obligation to refund Swingline Loans in accordance with the terms of this Section is absolute and unconditional and shall not be affected by any circumstance whatsoever, including, without limitation, non- satisfaction of the conditions set forth in Article VI. Further, each Revolving Credit Lender agrees and acknowledges that if prior to the refunding of any outstanding Swingline Loans pursuant to this Section, one of the events described in Section 10.1(i) or (j)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applicable Swingline Lender, in immediately available funds, the amount of its participation and upon receipt thereof such Swingline Lender will deliver to such Revolving Credit Lender a certificate evidencing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66"/>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44" w:name="page145"/>
    <w:bookmarkEnd w:id="144"/>
    <w:p>
      <w:pPr>
        <w:ind w:left="698"/>
        <w:spacing w:after="0"/>
        <w:rPr>
          <w:sz w:val="20"/>
          <w:szCs w:val="20"/>
          <w:color w:val="auto"/>
        </w:rPr>
      </w:pPr>
      <w:r>
        <w:rPr>
          <w:rFonts w:ascii="Arial" w:cs="Arial" w:eastAsia="Arial" w:hAnsi="Arial"/>
          <w:sz w:val="19"/>
          <w:szCs w:val="19"/>
          <w:color w:val="auto"/>
        </w:rPr>
        <w:t>such participation dated the date of receipt of such funds and for such amount. Whenever, at any time after the applicable</w:t>
      </w:r>
    </w:p>
    <w:p>
      <w:pPr>
        <w:ind w:left="698"/>
        <w:spacing w:after="0" w:line="226" w:lineRule="auto"/>
        <w:rPr>
          <w:sz w:val="20"/>
          <w:szCs w:val="20"/>
          <w:color w:val="auto"/>
        </w:rPr>
      </w:pPr>
      <w:r>
        <w:rPr>
          <w:rFonts w:ascii="Arial" w:cs="Arial" w:eastAsia="Arial" w:hAnsi="Arial"/>
          <w:sz w:val="18"/>
          <w:szCs w:val="18"/>
          <w:color w:val="auto"/>
        </w:rPr>
        <w:t>Swingline Lender has received from any Revolving Credit Lender such Revolving Credit Lender’s participating interest in a Swingline Loan, the applicable Swingline Lender receives any payment on account thereof, the applicable Swingline Lender will</w:t>
      </w:r>
    </w:p>
    <w:p>
      <w:pPr>
        <w:ind w:left="698"/>
        <w:spacing w:after="0" w:line="236" w:lineRule="auto"/>
        <w:rPr>
          <w:sz w:val="20"/>
          <w:szCs w:val="20"/>
          <w:color w:val="auto"/>
        </w:rPr>
      </w:pPr>
      <w:r>
        <w:rPr>
          <w:rFonts w:ascii="Arial" w:cs="Arial" w:eastAsia="Arial" w:hAnsi="Arial"/>
          <w:sz w:val="18"/>
          <w:szCs w:val="18"/>
          <w:color w:val="auto"/>
        </w:rPr>
        <w:t>distribute to such Revolving Credit Lender its participating interest in such amount (appropriately adjusted, in the case of interest</w:t>
      </w:r>
    </w:p>
    <w:p>
      <w:pPr>
        <w:spacing w:after="0" w:line="1" w:lineRule="exact"/>
        <w:rPr>
          <w:sz w:val="20"/>
          <w:szCs w:val="20"/>
          <w:color w:val="auto"/>
        </w:rPr>
      </w:pPr>
    </w:p>
    <w:p>
      <w:pPr>
        <w:ind w:left="698" w:right="20"/>
        <w:spacing w:after="0" w:line="220" w:lineRule="auto"/>
        <w:rPr>
          <w:sz w:val="20"/>
          <w:szCs w:val="20"/>
          <w:color w:val="auto"/>
        </w:rPr>
      </w:pPr>
      <w:r>
        <w:rPr>
          <w:rFonts w:ascii="Arial" w:cs="Arial" w:eastAsia="Arial" w:hAnsi="Arial"/>
          <w:sz w:val="20"/>
          <w:szCs w:val="20"/>
          <w:color w:val="auto"/>
        </w:rPr>
        <w:t>payments, to reflect the period of time during which such Revolving Credit Lender’s participating interest was outstanding and funded).</w:t>
      </w:r>
    </w:p>
    <w:p>
      <w:pPr>
        <w:spacing w:after="0" w:line="210" w:lineRule="exact"/>
        <w:rPr>
          <w:sz w:val="20"/>
          <w:szCs w:val="20"/>
          <w:color w:val="auto"/>
        </w:rPr>
      </w:pPr>
    </w:p>
    <w:p>
      <w:pPr>
        <w:ind w:left="58" w:right="520" w:firstLine="430"/>
        <w:spacing w:after="0" w:line="229" w:lineRule="auto"/>
        <w:tabs>
          <w:tab w:leader="none" w:pos="124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Defaulting Lenders. Notwithstanding anything to the contrary contained in this Agreement, this Section 2.2 shall be subject to the terms and conditions of Section 5.14 and Section 5.15.</w:t>
      </w:r>
    </w:p>
    <w:p>
      <w:pPr>
        <w:spacing w:after="0" w:line="263" w:lineRule="exact"/>
        <w:rPr>
          <w:sz w:val="20"/>
          <w:szCs w:val="20"/>
          <w:color w:val="auto"/>
        </w:rPr>
      </w:pPr>
    </w:p>
    <w:p>
      <w:pPr>
        <w:jc w:val="both"/>
        <w:ind w:left="58" w:firstLine="440"/>
        <w:spacing w:after="0" w:line="217" w:lineRule="auto"/>
        <w:tabs>
          <w:tab w:leader="none" w:pos="123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Resignation of Swingline Lender. In connection with (i) any Refinancing Revolving Credit Commitments or (ii) any Extension of Revolving Credit Commitments, that has not been consented to by the applicable Swingline Lender, such Swingline Lender may, in connection with such Refinancing Revolving Credit Commitments or Extension resign as a Swingline Lender hereunder upon not less than five (5) Business Days’ prior notice to Centuri and the Administrative Agent (or such shorter period of time as may be acceptable to Centuri and the Administrative Agent). Following such notice of resignation, such Swingline Lender shall have no further obligations to make Swingline Loans pursuant to this Agreement.</w:t>
      </w:r>
    </w:p>
    <w:p>
      <w:pPr>
        <w:spacing w:after="0" w:line="197"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color w:val="auto"/>
        </w:rPr>
        <w:t>Procedure for Advances of Revolving Credit Loans and Swingline Loans.</w:t>
      </w:r>
    </w:p>
    <w:p>
      <w:pPr>
        <w:spacing w:after="0" w:line="283" w:lineRule="exact"/>
        <w:rPr>
          <w:sz w:val="20"/>
          <w:szCs w:val="20"/>
          <w:color w:val="auto"/>
        </w:rPr>
      </w:pPr>
    </w:p>
    <w:p>
      <w:pPr>
        <w:jc w:val="both"/>
        <w:ind w:left="58" w:firstLine="644"/>
        <w:spacing w:after="0" w:line="230" w:lineRule="auto"/>
        <w:tabs>
          <w:tab w:leader="none" w:pos="123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Requests for Borrowing. The applicable Borrower shall give the Administrative Agent irrevocable prior written notice substantially in the form of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xml:space="preserve"> (a “Notice of Borrowing”) not later than 11:00 a.m. (i) on the same Business Day as each Base Rate Loan, each US Swingline Loan and each Canadian Swingline Loan, (ii) at least one (1) Business Day before each Canadian Base Rate Loan (other than Canadian Swingline Loans), (iii) at least three (3) </w:t>
      </w:r>
      <w:r>
        <w:rPr>
          <w:rFonts w:ascii="Arial" w:cs="Arial" w:eastAsia="Arial" w:hAnsi="Arial"/>
          <w:sz w:val="18"/>
          <w:szCs w:val="18"/>
          <w:color w:val="0000FF"/>
        </w:rPr>
        <w:t>US Government Securities</w:t>
      </w:r>
      <w:r>
        <w:rPr>
          <w:rFonts w:ascii="Arial" w:cs="Arial" w:eastAsia="Arial" w:hAnsi="Arial"/>
          <w:sz w:val="18"/>
          <w:szCs w:val="18"/>
          <w:color w:val="auto"/>
        </w:rPr>
        <w:t xml:space="preserve"> Business Days before each </w:t>
      </w:r>
      <w:r>
        <w:rPr>
          <w:rFonts w:ascii="Arial" w:cs="Arial" w:eastAsia="Arial" w:hAnsi="Arial"/>
          <w:sz w:val="18"/>
          <w:szCs w:val="18"/>
          <w:color w:val="FF0000"/>
          <w:strike w:val="1"/>
        </w:rPr>
        <w:t>LIBOR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and (iv) at least four (4) Business Days before each CDOR Rate Loan, of its intention to borrow, specifying (A) the date</w:t>
      </w:r>
      <w:r>
        <w:rPr>
          <w:rFonts w:ascii="Arial" w:cs="Arial" w:eastAsia="Arial" w:hAnsi="Arial"/>
          <w:sz w:val="18"/>
          <w:szCs w:val="18"/>
          <w:color w:val="FF0000"/>
        </w:rPr>
        <w:t xml:space="preserve"> </w:t>
      </w:r>
      <w:r>
        <w:rPr>
          <w:rFonts w:ascii="Arial" w:cs="Arial" w:eastAsia="Arial" w:hAnsi="Arial"/>
          <w:sz w:val="18"/>
          <w:szCs w:val="18"/>
          <w:color w:val="000000"/>
        </w:rPr>
        <w:t xml:space="preserve">of such borrowing, which shall be a Business Day, (B) the amount of such borrowing, which shall be, (x) with respect to Base Rate Loans (other than Swingline Loans) and Canadian Revolving Credit Loans in an aggregate principal amount of $2,000,000 (or C$2,000,000) or a whole multiple of $500,000 (or C$500,000) in excess thereof, (y) with respect to </w:t>
      </w:r>
      <w:r>
        <w:rPr>
          <w:rFonts w:ascii="Arial" w:cs="Arial" w:eastAsia="Arial" w:hAnsi="Arial"/>
          <w:sz w:val="18"/>
          <w:szCs w:val="18"/>
          <w:color w:val="FF0000"/>
          <w:strike w:val="1"/>
        </w:rPr>
        <w:t>LIBOR Rate</w:t>
      </w:r>
      <w:r>
        <w:rPr>
          <w:rFonts w:ascii="Arial" w:cs="Arial" w:eastAsia="Arial" w:hAnsi="Arial"/>
          <w:sz w:val="18"/>
          <w:szCs w:val="18"/>
          <w:color w:val="0000FF"/>
        </w:rPr>
        <w:t>SOFR</w:t>
      </w:r>
      <w:r>
        <w:rPr>
          <w:rFonts w:ascii="Arial" w:cs="Arial" w:eastAsia="Arial" w:hAnsi="Arial"/>
          <w:sz w:val="18"/>
          <w:szCs w:val="18"/>
          <w:color w:val="000000"/>
        </w:rPr>
        <w:t xml:space="preserve"> Loans, in an aggregate principal amount of $2,000,000 or a whole multiple of $500,000 in excess thereof and (z) with respect to Swingline Loans in an aggregate principal amount of $500,000 (or C$500,000) or a whole multiple of $100,000 (or C$100,000) in excess thereof, (C) whether such Loan is to be a US Revolving Credit Loan, Canadian Revolving Credit Loan, US Swingline Loan or Canadian Swingline Loan,</w:t>
      </w:r>
    </w:p>
    <w:p>
      <w:pPr>
        <w:spacing w:after="0" w:line="7" w:lineRule="exact"/>
        <w:rPr>
          <w:rFonts w:ascii="Arial" w:cs="Arial" w:eastAsia="Arial" w:hAnsi="Arial"/>
          <w:sz w:val="18"/>
          <w:szCs w:val="18"/>
          <w:color w:val="auto"/>
        </w:rPr>
      </w:pPr>
    </w:p>
    <w:p>
      <w:pPr>
        <w:jc w:val="both"/>
        <w:ind w:left="58" w:right="20" w:hanging="4"/>
        <w:spacing w:after="0" w:line="239" w:lineRule="auto"/>
        <w:tabs>
          <w:tab w:leader="none" w:pos="38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 the case of a US Revolving Credit Loan, whether the Loans are to be </w:t>
      </w:r>
      <w:r>
        <w:rPr>
          <w:rFonts w:ascii="Arial" w:cs="Arial" w:eastAsia="Arial" w:hAnsi="Arial"/>
          <w:sz w:val="18"/>
          <w:szCs w:val="18"/>
          <w:color w:val="FF0000"/>
          <w:strike w:val="1"/>
        </w:rPr>
        <w:t>LIBOR Rate</w:t>
      </w:r>
      <w:r>
        <w:rPr>
          <w:rFonts w:ascii="Arial" w:cs="Arial" w:eastAsia="Arial" w:hAnsi="Arial"/>
          <w:sz w:val="18"/>
          <w:szCs w:val="18"/>
          <w:color w:val="0000FF"/>
        </w:rPr>
        <w:t>SOFR</w:t>
      </w:r>
      <w:r>
        <w:rPr>
          <w:rFonts w:ascii="Arial" w:cs="Arial" w:eastAsia="Arial" w:hAnsi="Arial"/>
          <w:sz w:val="18"/>
          <w:szCs w:val="18"/>
          <w:color w:val="auto"/>
        </w:rPr>
        <w:t xml:space="preserve"> Loans or Base Rate Loans, (E) in the case of a Canadian Revolving Credit Loan, whether the Loans are to be CDOR Rate Loans or Canadian Base Rate Loans, and (F) in the case of a </w:t>
      </w:r>
      <w:r>
        <w:rPr>
          <w:rFonts w:ascii="Arial" w:cs="Arial" w:eastAsia="Arial" w:hAnsi="Arial"/>
          <w:sz w:val="18"/>
          <w:szCs w:val="18"/>
          <w:color w:val="FF0000"/>
          <w:strike w:val="1"/>
        </w:rPr>
        <w:t>LIBOR Rate</w:t>
      </w:r>
      <w:r>
        <w:rPr>
          <w:rFonts w:ascii="Arial" w:cs="Arial" w:eastAsia="Arial" w:hAnsi="Arial"/>
          <w:sz w:val="18"/>
          <w:szCs w:val="18"/>
          <w:color w:val="0000FF"/>
        </w:rPr>
        <w:t>SOFR</w:t>
      </w:r>
      <w:r>
        <w:rPr>
          <w:rFonts w:ascii="Arial" w:cs="Arial" w:eastAsia="Arial" w:hAnsi="Arial"/>
          <w:sz w:val="18"/>
          <w:szCs w:val="18"/>
          <w:color w:val="auto"/>
        </w:rPr>
        <w:t xml:space="preserve"> Loan or a CDOR Rate Loan, the duration of the Interest Period applicable thereto. A Notice of Borrowing received after 11:00 a.m. shall be deemed received on the next Business Day </w:t>
      </w:r>
      <w:r>
        <w:rPr>
          <w:rFonts w:ascii="Arial" w:cs="Arial" w:eastAsia="Arial" w:hAnsi="Arial"/>
          <w:sz w:val="18"/>
          <w:szCs w:val="18"/>
          <w:color w:val="0000FF"/>
        </w:rPr>
        <w:t>or US Government Securities Business Day, as applicable</w:t>
      </w:r>
      <w:r>
        <w:rPr>
          <w:rFonts w:ascii="Arial" w:cs="Arial" w:eastAsia="Arial" w:hAnsi="Arial"/>
          <w:sz w:val="18"/>
          <w:szCs w:val="18"/>
          <w:color w:val="auto"/>
        </w:rPr>
        <w:t>. The Administrative Agent shall promptly notify the Revolving Credit Lenders of each Notice of Borrowing.</w:t>
      </w:r>
    </w:p>
    <w:p>
      <w:pPr>
        <w:spacing w:after="0" w:line="195" w:lineRule="exact"/>
        <w:rPr>
          <w:rFonts w:ascii="Arial" w:cs="Arial" w:eastAsia="Arial" w:hAnsi="Arial"/>
          <w:sz w:val="18"/>
          <w:szCs w:val="18"/>
          <w:color w:val="auto"/>
        </w:rPr>
      </w:pPr>
    </w:p>
    <w:p>
      <w:pPr>
        <w:jc w:val="both"/>
        <w:ind w:left="58" w:firstLine="644"/>
        <w:spacing w:after="0" w:line="223" w:lineRule="auto"/>
        <w:tabs>
          <w:tab w:leader="none" w:pos="123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Disbursement of Revolving Credit and Swingline Loans. Not later than (i) 1:00 p.m. on the proposed borrowing date, each Revolving Credit Lender will make available to the Administrative Agent, for the account of the US Borrowers, at the office of the Administrative Agent in funds immediately available to the Administrative Agent (in Dollars), such Revolving Credit Lender’s Revolving Credit Commitment Percentage of the US Revolving Credit Loans to be made on such borrowing date, (ii) 11:00</w:t>
      </w:r>
    </w:p>
    <w:p>
      <w:pPr>
        <w:ind w:left="58"/>
        <w:spacing w:after="0" w:line="220" w:lineRule="auto"/>
        <w:rPr>
          <w:rFonts w:ascii="Arial" w:cs="Arial" w:eastAsia="Arial" w:hAnsi="Arial"/>
          <w:sz w:val="19"/>
          <w:szCs w:val="19"/>
          <w:color w:val="auto"/>
        </w:rPr>
      </w:pPr>
      <w:r>
        <w:rPr>
          <w:rFonts w:ascii="Arial" w:cs="Arial" w:eastAsia="Arial" w:hAnsi="Arial"/>
          <w:sz w:val="20"/>
          <w:szCs w:val="20"/>
          <w:color w:val="auto"/>
        </w:rPr>
        <w:t>a.m. on the proposed borrowing date, each Revolving Credit Lender will make available to the Administrative Agent, for the account of the Canadian Borrowers, at the office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7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45" w:name="page146"/>
    <w:bookmarkEnd w:id="145"/>
    <w:p>
      <w:pPr>
        <w:ind w:left="38"/>
        <w:spacing w:after="0"/>
        <w:rPr>
          <w:sz w:val="20"/>
          <w:szCs w:val="20"/>
          <w:color w:val="auto"/>
        </w:rPr>
      </w:pPr>
      <w:r>
        <w:rPr>
          <w:rFonts w:ascii="Arial" w:cs="Arial" w:eastAsia="Arial" w:hAnsi="Arial"/>
          <w:sz w:val="19"/>
          <w:szCs w:val="19"/>
          <w:color w:val="auto"/>
        </w:rPr>
        <w:t>in funds immediately available to the Administrative Agent (in Canadian Dollars), such Revolving Credit Lender’s Revolving Credit</w:t>
      </w:r>
    </w:p>
    <w:p>
      <w:pPr>
        <w:ind w:left="38"/>
        <w:spacing w:after="0" w:line="226" w:lineRule="auto"/>
        <w:rPr>
          <w:sz w:val="20"/>
          <w:szCs w:val="20"/>
          <w:color w:val="auto"/>
        </w:rPr>
      </w:pPr>
      <w:r>
        <w:rPr>
          <w:rFonts w:ascii="Arial" w:cs="Arial" w:eastAsia="Arial" w:hAnsi="Arial"/>
          <w:sz w:val="18"/>
          <w:szCs w:val="18"/>
          <w:color w:val="auto"/>
        </w:rPr>
        <w:t>Commitment Percentage of the Canadian Revolving Credit Loans to be made on such borrowing date and (iii) 1:00 p.m. on the proposed borrowing date, the applicable Swingline Lender will make available to the Administrative Agent, for the account of the applicable</w:t>
      </w:r>
    </w:p>
    <w:p>
      <w:pPr>
        <w:ind w:left="38"/>
        <w:spacing w:after="0" w:line="224" w:lineRule="auto"/>
        <w:rPr>
          <w:sz w:val="20"/>
          <w:szCs w:val="20"/>
          <w:color w:val="auto"/>
        </w:rPr>
      </w:pPr>
      <w:r>
        <w:rPr>
          <w:rFonts w:ascii="Arial" w:cs="Arial" w:eastAsia="Arial" w:hAnsi="Arial"/>
          <w:sz w:val="19"/>
          <w:szCs w:val="19"/>
          <w:color w:val="auto"/>
        </w:rPr>
        <w:t>Borrower, at the office of the Administrative Agent in funds immediately available to the Administrative Agent (in the applicable</w:t>
      </w:r>
    </w:p>
    <w:p>
      <w:pPr>
        <w:ind w:left="38" w:right="20"/>
        <w:spacing w:after="0" w:line="226" w:lineRule="auto"/>
        <w:rPr>
          <w:sz w:val="20"/>
          <w:szCs w:val="20"/>
          <w:color w:val="auto"/>
        </w:rPr>
      </w:pPr>
      <w:r>
        <w:rPr>
          <w:rFonts w:ascii="Arial" w:cs="Arial" w:eastAsia="Arial" w:hAnsi="Arial"/>
          <w:sz w:val="18"/>
          <w:szCs w:val="18"/>
          <w:color w:val="auto"/>
        </w:rPr>
        <w:t>currency), the Swingline Loans to be made on such borrowing date. Each Borrower hereby irrevocably authorizes the Administrative Agent to disburse the proceeds of each borrowing requested pursuant to this Section in immediately available funds by crediting or wiring</w:t>
      </w:r>
    </w:p>
    <w:p>
      <w:pPr>
        <w:ind w:left="38"/>
        <w:spacing w:after="0" w:line="236" w:lineRule="auto"/>
        <w:rPr>
          <w:sz w:val="20"/>
          <w:szCs w:val="20"/>
          <w:color w:val="auto"/>
        </w:rPr>
      </w:pPr>
      <w:r>
        <w:rPr>
          <w:rFonts w:ascii="Arial" w:cs="Arial" w:eastAsia="Arial" w:hAnsi="Arial"/>
          <w:sz w:val="18"/>
          <w:szCs w:val="18"/>
          <w:color w:val="auto"/>
        </w:rPr>
        <w:t xml:space="preserve">such proceeds to the deposit account of such Borrower identified in the most recent notice substantially in the form attached as </w:t>
      </w:r>
      <w:r>
        <w:rPr>
          <w:rFonts w:ascii="Arial" w:cs="Arial" w:eastAsia="Arial" w:hAnsi="Arial"/>
          <w:sz w:val="18"/>
          <w:szCs w:val="18"/>
          <w:b w:val="1"/>
          <w:bCs w:val="1"/>
          <w:i w:val="1"/>
          <w:iCs w:val="1"/>
          <w:color w:val="auto"/>
        </w:rPr>
        <w:t>Exhibit C</w:t>
      </w:r>
    </w:p>
    <w:p>
      <w:pPr>
        <w:spacing w:after="0" w:line="1"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(a “Notice of Account Designation”) delivered by such Borrower to the Administrative Agent or as may be otherwise agreed upon by such Borrower and the Administrative Agent from time to time. Subject to Section 5.7 hereof, the Administrative Agent shall not be obligated</w:t>
      </w:r>
    </w:p>
    <w:p>
      <w:pPr>
        <w:ind w:left="38"/>
        <w:spacing w:after="0" w:line="236" w:lineRule="auto"/>
        <w:rPr>
          <w:sz w:val="20"/>
          <w:szCs w:val="20"/>
          <w:color w:val="auto"/>
        </w:rPr>
      </w:pPr>
      <w:r>
        <w:rPr>
          <w:rFonts w:ascii="Arial" w:cs="Arial" w:eastAsia="Arial" w:hAnsi="Arial"/>
          <w:sz w:val="18"/>
          <w:szCs w:val="18"/>
          <w:color w:val="auto"/>
        </w:rPr>
        <w:t>to disburse the portion of the proceeds of any Revolving Credit Loan requested pursuant to this Section to the extent that any Revolving</w:t>
      </w:r>
    </w:p>
    <w:p>
      <w:pPr>
        <w:spacing w:after="0" w:line="1" w:lineRule="exact"/>
        <w:rPr>
          <w:sz w:val="20"/>
          <w:szCs w:val="20"/>
          <w:color w:val="auto"/>
        </w:rPr>
      </w:pPr>
    </w:p>
    <w:p>
      <w:pPr>
        <w:ind w:left="38"/>
        <w:spacing w:after="0" w:line="226" w:lineRule="auto"/>
        <w:rPr>
          <w:sz w:val="20"/>
          <w:szCs w:val="20"/>
          <w:color w:val="auto"/>
        </w:rPr>
      </w:pPr>
      <w:r>
        <w:rPr>
          <w:rFonts w:ascii="Arial" w:cs="Arial" w:eastAsia="Arial" w:hAnsi="Arial"/>
          <w:sz w:val="18"/>
          <w:szCs w:val="18"/>
          <w:color w:val="auto"/>
        </w:rPr>
        <w:t>Credit Lender has not made available to the Administrative Agent its Revolving Credit Commitment Percentage of such Loan. Revolving Credit Loans to be made for the purpose of refunding Swingline Loans shall be made by the Revolving Credit Lenders as provided in</w:t>
      </w:r>
    </w:p>
    <w:p>
      <w:pPr>
        <w:spacing w:after="0" w:line="2" w:lineRule="exact"/>
        <w:rPr>
          <w:sz w:val="20"/>
          <w:szCs w:val="20"/>
          <w:color w:val="auto"/>
        </w:rPr>
      </w:pPr>
    </w:p>
    <w:p>
      <w:pPr>
        <w:ind w:left="38"/>
        <w:spacing w:after="0"/>
        <w:rPr>
          <w:sz w:val="20"/>
          <w:szCs w:val="20"/>
          <w:color w:val="auto"/>
        </w:rPr>
      </w:pPr>
      <w:r>
        <w:rPr>
          <w:rFonts w:ascii="Arial" w:cs="Arial" w:eastAsia="Arial" w:hAnsi="Arial"/>
          <w:sz w:val="20"/>
          <w:szCs w:val="20"/>
          <w:color w:val="auto"/>
        </w:rPr>
        <w:t>Section 2.2(b).</w:t>
      </w:r>
    </w:p>
    <w:p>
      <w:pPr>
        <w:spacing w:after="0" w:line="267" w:lineRule="exact"/>
        <w:rPr>
          <w:sz w:val="20"/>
          <w:szCs w:val="20"/>
          <w:color w:val="auto"/>
        </w:rPr>
      </w:pPr>
    </w:p>
    <w:p>
      <w:pPr>
        <w:ind w:left="678"/>
        <w:spacing w:after="0"/>
        <w:tabs>
          <w:tab w:leader="none" w:pos="1998"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6"/>
          <w:szCs w:val="16"/>
          <w:color w:val="auto"/>
        </w:rPr>
        <w:t>Repayment and Prepayment of Revolving Credit and Swingline Loans.</w:t>
      </w:r>
    </w:p>
    <w:p>
      <w:pPr>
        <w:spacing w:after="0" w:line="283" w:lineRule="exact"/>
        <w:rPr>
          <w:sz w:val="20"/>
          <w:szCs w:val="20"/>
          <w:color w:val="auto"/>
        </w:rPr>
      </w:pPr>
    </w:p>
    <w:p>
      <w:pPr>
        <w:jc w:val="both"/>
        <w:ind w:left="38" w:firstLine="541"/>
        <w:spacing w:after="0" w:line="220" w:lineRule="auto"/>
        <w:tabs>
          <w:tab w:leader="none" w:pos="12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Repayment on Termination Date. Each Borrower hereby agrees to repay the outstanding principal amount of (i) all Revolving Credit Loans made to such Borrower in full on the Revolving Credit Maturity Date, and (ii) all Swingline Loans made to such Borrower in accordance with Section 2.2(b) (but, in any event, no later than the Revolving Credit Maturity Date), together, in each case, with all accrued but unpaid interest thereon.</w:t>
      </w:r>
    </w:p>
    <w:p>
      <w:pPr>
        <w:spacing w:after="0" w:line="196" w:lineRule="exact"/>
        <w:rPr>
          <w:rFonts w:ascii="Arial" w:cs="Arial" w:eastAsia="Arial" w:hAnsi="Arial"/>
          <w:sz w:val="20"/>
          <w:szCs w:val="20"/>
          <w:color w:val="auto"/>
        </w:rPr>
      </w:pPr>
    </w:p>
    <w:p>
      <w:pPr>
        <w:ind w:left="1338" w:hanging="813"/>
        <w:spacing w:after="0"/>
        <w:tabs>
          <w:tab w:leader="none" w:pos="133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Mandatory Prepayments.</w:t>
      </w:r>
    </w:p>
    <w:p>
      <w:pPr>
        <w:spacing w:after="0" w:line="283" w:lineRule="exact"/>
        <w:rPr>
          <w:rFonts w:ascii="Arial" w:cs="Arial" w:eastAsia="Arial" w:hAnsi="Arial"/>
          <w:sz w:val="20"/>
          <w:szCs w:val="20"/>
          <w:color w:val="auto"/>
        </w:rPr>
      </w:pPr>
    </w:p>
    <w:p>
      <w:pPr>
        <w:jc w:val="both"/>
        <w:ind w:left="678" w:firstLine="654"/>
        <w:spacing w:after="0" w:line="234" w:lineRule="auto"/>
        <w:tabs>
          <w:tab w:leader="none" w:pos="1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first, to the principal amount of outstanding US Swingline Loans, second, to the principal amount of outstanding Canadian Swingline Loans, third to the principal amount of outstanding US Revolving Credit Loans, fourth, to the principal amount of outstanding Canadian Revolving Credit Loans and fifth,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Section 10.2(b)); provided that if any US Borrower is required to make a payment of Cash Collateral pursuant to the terms of this Section 2.4(b)(i) as a result of any such excess, such amount (to the extent not applied in accordance with Section 10.2(b)) shall be returned to such US Borrower within three Business Days after such excess ceases to exist.</w:t>
      </w:r>
    </w:p>
    <w:p>
      <w:pPr>
        <w:spacing w:after="0" w:line="210" w:lineRule="exact"/>
        <w:rPr>
          <w:rFonts w:ascii="Arial" w:cs="Arial" w:eastAsia="Arial" w:hAnsi="Arial"/>
          <w:sz w:val="18"/>
          <w:szCs w:val="18"/>
          <w:color w:val="auto"/>
        </w:rPr>
      </w:pPr>
    </w:p>
    <w:p>
      <w:pPr>
        <w:ind w:left="1958" w:hanging="626"/>
        <w:spacing w:after="0"/>
        <w:tabs>
          <w:tab w:leader="none" w:pos="1958" w:val="left"/>
        </w:tabs>
        <w:numPr>
          <w:ilvl w:val="1"/>
          <w:numId w:val="172"/>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left="678" w:right="20" w:firstLine="653"/>
        <w:spacing w:after="0" w:line="252" w:lineRule="auto"/>
        <w:tabs>
          <w:tab w:leader="none" w:pos="18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7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46" w:name="page147"/>
    <w:bookmarkEnd w:id="146"/>
    <w:p>
      <w:pPr>
        <w:spacing w:after="0" w:line="209" w:lineRule="exact"/>
        <w:rPr>
          <w:sz w:val="20"/>
          <w:szCs w:val="20"/>
          <w:color w:val="auto"/>
        </w:rPr>
      </w:pPr>
    </w:p>
    <w:p>
      <w:pPr>
        <w:ind w:left="678"/>
        <w:spacing w:after="0" w:line="236" w:lineRule="auto"/>
        <w:rPr>
          <w:sz w:val="20"/>
          <w:szCs w:val="20"/>
          <w:color w:val="auto"/>
        </w:rPr>
      </w:pPr>
      <w:r>
        <w:rPr>
          <w:rFonts w:ascii="Arial" w:cs="Arial" w:eastAsia="Arial" w:hAnsi="Arial"/>
          <w:sz w:val="20"/>
          <w:szCs w:val="20"/>
          <w:color w:val="auto"/>
        </w:rPr>
        <w:t>Swingline Lender, Swingline Loans in an amount equal to such excess with each such repayment applied ratably to the outstanding Swingline Loans.</w:t>
      </w:r>
    </w:p>
    <w:p>
      <w:pPr>
        <w:spacing w:after="0" w:line="196" w:lineRule="exact"/>
        <w:rPr>
          <w:sz w:val="20"/>
          <w:szCs w:val="20"/>
          <w:color w:val="auto"/>
        </w:rPr>
      </w:pPr>
    </w:p>
    <w:p>
      <w:pPr>
        <w:jc w:val="both"/>
        <w:ind w:left="678" w:firstLine="654"/>
        <w:spacing w:after="0" w:line="226" w:lineRule="auto"/>
        <w:tabs>
          <w:tab w:leader="none" w:pos="188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Section 10.2(b)); provided that if any Borrower is required to make a payment of Cash Collateral pursuant to the terms of this Section 2.4(b)(iv) as a result of any such excess, such amount (to the extent not applied in accordance with Section 10.2(b)) shall be returned to such Borrower within three Business Days after such excess ceases to exist.</w:t>
      </w:r>
    </w:p>
    <w:p>
      <w:pPr>
        <w:spacing w:after="0" w:line="210" w:lineRule="exact"/>
        <w:rPr>
          <w:rFonts w:ascii="Arial" w:cs="Arial" w:eastAsia="Arial" w:hAnsi="Arial"/>
          <w:sz w:val="19"/>
          <w:szCs w:val="19"/>
          <w:color w:val="auto"/>
        </w:rPr>
      </w:pPr>
    </w:p>
    <w:p>
      <w:pPr>
        <w:jc w:val="both"/>
        <w:ind w:left="38" w:firstLine="432"/>
        <w:spacing w:after="0" w:line="219" w:lineRule="auto"/>
        <w:tabs>
          <w:tab w:leader="none" w:pos="12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Optional Prepayments.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Arial" w:cs="Arial" w:eastAsia="Arial" w:hAnsi="Arial"/>
          <w:sz w:val="19"/>
          <w:szCs w:val="19"/>
          <w:b w:val="1"/>
          <w:bCs w:val="1"/>
          <w:i w:val="1"/>
          <w:iCs w:val="1"/>
          <w:color w:val="auto"/>
        </w:rPr>
        <w:t>Exhibit D</w:t>
      </w:r>
      <w:r>
        <w:rPr>
          <w:rFonts w:ascii="Arial" w:cs="Arial" w:eastAsia="Arial" w:hAnsi="Arial"/>
          <w:sz w:val="19"/>
          <w:szCs w:val="19"/>
          <w:color w:val="auto"/>
        </w:rPr>
        <w:t xml:space="preserve"> (a “Notice of Prepayment”) given not later than 11:00 a.m. (i) on the same Business Day as each Base Rate Loan, each Canadian Swingline Loan and each US Swingline Loan, (ii) at least one (1) Business Day before each Canadian Base Rate Loan, (iii) at least three (3) </w:t>
      </w:r>
      <w:r>
        <w:rPr>
          <w:rFonts w:ascii="Arial" w:cs="Arial" w:eastAsia="Arial" w:hAnsi="Arial"/>
          <w:sz w:val="19"/>
          <w:szCs w:val="19"/>
          <w:color w:val="0000FF"/>
        </w:rPr>
        <w:t>US Government Securities</w:t>
      </w:r>
      <w:r>
        <w:rPr>
          <w:rFonts w:ascii="Arial" w:cs="Arial" w:eastAsia="Arial" w:hAnsi="Arial"/>
          <w:sz w:val="19"/>
          <w:szCs w:val="19"/>
          <w:color w:val="auto"/>
        </w:rPr>
        <w:t xml:space="preserve"> Business Days before each </w:t>
      </w:r>
      <w:r>
        <w:rPr>
          <w:rFonts w:ascii="Arial" w:cs="Arial" w:eastAsia="Arial" w:hAnsi="Arial"/>
          <w:sz w:val="19"/>
          <w:szCs w:val="19"/>
          <w:color w:val="FF0000"/>
          <w:strike w:val="1"/>
        </w:rPr>
        <w:t>LIBOR Rate</w:t>
      </w:r>
      <w:r>
        <w:rPr>
          <w:rFonts w:ascii="Arial" w:cs="Arial" w:eastAsia="Arial" w:hAnsi="Arial"/>
          <w:sz w:val="19"/>
          <w:szCs w:val="19"/>
          <w:color w:val="0000FF"/>
        </w:rPr>
        <w:t>SOFR</w:t>
      </w:r>
      <w:r>
        <w:rPr>
          <w:rFonts w:ascii="Arial" w:cs="Arial" w:eastAsia="Arial" w:hAnsi="Arial"/>
          <w:sz w:val="19"/>
          <w:szCs w:val="19"/>
          <w:color w:val="auto"/>
        </w:rPr>
        <w:t xml:space="preserve"> Loan and (iv) at least four (4) Business Days before each CDOR Rate Loan, specifying the date and amount of prepayment and whether the prepayment is of </w:t>
      </w:r>
      <w:r>
        <w:rPr>
          <w:rFonts w:ascii="Arial" w:cs="Arial" w:eastAsia="Arial" w:hAnsi="Arial"/>
          <w:sz w:val="19"/>
          <w:szCs w:val="19"/>
          <w:color w:val="FF0000"/>
          <w:strike w:val="1"/>
        </w:rPr>
        <w:t>LIBOR Rate</w:t>
      </w:r>
      <w:r>
        <w:rPr>
          <w:rFonts w:ascii="Arial" w:cs="Arial" w:eastAsia="Arial" w:hAnsi="Arial"/>
          <w:sz w:val="19"/>
          <w:szCs w:val="19"/>
          <w:color w:val="0000FF"/>
        </w:rPr>
        <w:t>SOFR</w:t>
      </w:r>
      <w:r>
        <w:rPr>
          <w:rFonts w:ascii="Arial" w:cs="Arial" w:eastAsia="Arial" w:hAnsi="Arial"/>
          <w:sz w:val="19"/>
          <w:szCs w:val="19"/>
          <w:color w:val="auto"/>
        </w:rPr>
        <w:t xml:space="preserve"> Loans, Base Rate Loans, Canadian Base Rate Loans, CDOR Rate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C$1,000,000) or a whole multiple of $500,000 (or C$500,000) in excess thereof with respect to Base Rate Loans (other than Swingline Loans) and Canadian Revolving Credit Loans, $2,000,000 or a whole multiple of $500,000 in excess thereof with respect to </w:t>
      </w:r>
      <w:r>
        <w:rPr>
          <w:rFonts w:ascii="Arial" w:cs="Arial" w:eastAsia="Arial" w:hAnsi="Arial"/>
          <w:sz w:val="19"/>
          <w:szCs w:val="19"/>
          <w:color w:val="FF0000"/>
          <w:strike w:val="1"/>
        </w:rPr>
        <w:t>LIBOR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Loans and $100,000 (or C$100,000) or a whole multiple of $100,000 (or C$100,000) in excess thereof with respect to</w:t>
      </w:r>
      <w:r>
        <w:rPr>
          <w:rFonts w:ascii="Arial" w:cs="Arial" w:eastAsia="Arial" w:hAnsi="Arial"/>
          <w:sz w:val="19"/>
          <w:szCs w:val="19"/>
          <w:color w:val="FF0000"/>
        </w:rPr>
        <w:t xml:space="preserve"> </w:t>
      </w:r>
      <w:r>
        <w:rPr>
          <w:rFonts w:ascii="Arial" w:cs="Arial" w:eastAsia="Arial" w:hAnsi="Arial"/>
          <w:sz w:val="19"/>
          <w:szCs w:val="19"/>
          <w:color w:val="000000"/>
        </w:rPr>
        <w:t xml:space="preserve">Swingline Loans. A Notice of Prepayment received after 11:00 a.m. shall be deemed received on the next Business Day </w:t>
      </w:r>
      <w:r>
        <w:rPr>
          <w:rFonts w:ascii="Arial" w:cs="Arial" w:eastAsia="Arial" w:hAnsi="Arial"/>
          <w:sz w:val="19"/>
          <w:szCs w:val="19"/>
          <w:color w:val="0000FF"/>
        </w:rPr>
        <w:t>or US Government</w:t>
      </w:r>
      <w:r>
        <w:rPr>
          <w:rFonts w:ascii="Arial" w:cs="Arial" w:eastAsia="Arial" w:hAnsi="Arial"/>
          <w:sz w:val="19"/>
          <w:szCs w:val="19"/>
          <w:color w:val="000000"/>
        </w:rPr>
        <w:t xml:space="preserve"> </w:t>
      </w:r>
      <w:r>
        <w:rPr>
          <w:rFonts w:ascii="Arial" w:cs="Arial" w:eastAsia="Arial" w:hAnsi="Arial"/>
          <w:sz w:val="19"/>
          <w:szCs w:val="19"/>
          <w:color w:val="0000FF"/>
        </w:rPr>
        <w:t>Securities Business Day, as applicable</w:t>
      </w:r>
      <w:r>
        <w:rPr>
          <w:rFonts w:ascii="Arial" w:cs="Arial" w:eastAsia="Arial" w:hAnsi="Arial"/>
          <w:sz w:val="19"/>
          <w:szCs w:val="19"/>
          <w:color w:val="000000"/>
        </w:rPr>
        <w:t>. Each such repayment shall be accompanied by any amount required to be paid pursuant to Section</w:t>
      </w:r>
      <w:r>
        <w:rPr>
          <w:rFonts w:ascii="Arial" w:cs="Arial" w:eastAsia="Arial" w:hAnsi="Arial"/>
          <w:sz w:val="19"/>
          <w:szCs w:val="19"/>
          <w:color w:val="0000FF"/>
        </w:rPr>
        <w:t xml:space="preserve"> </w:t>
      </w:r>
      <w:r>
        <w:rPr>
          <w:rFonts w:ascii="Arial" w:cs="Arial" w:eastAsia="Arial" w:hAnsi="Arial"/>
          <w:sz w:val="19"/>
          <w:szCs w:val="19"/>
          <w:color w:val="000000"/>
        </w:rPr>
        <w:t>5.9 hereof. Notwithstanding the foregoing, any Notice of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(provided that the failure of such contingency shall not relieve any Borrower from its obligations in respect thereof under Section 5.9).</w:t>
      </w:r>
    </w:p>
    <w:p>
      <w:pPr>
        <w:spacing w:after="0" w:line="279" w:lineRule="exact"/>
        <w:rPr>
          <w:sz w:val="20"/>
          <w:szCs w:val="20"/>
          <w:color w:val="auto"/>
        </w:rPr>
      </w:pPr>
    </w:p>
    <w:p>
      <w:pPr>
        <w:jc w:val="both"/>
        <w:ind w:left="38" w:firstLine="442"/>
        <w:spacing w:after="0" w:line="220" w:lineRule="auto"/>
        <w:tabs>
          <w:tab w:leader="none" w:pos="122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Prepayment of Excess Proceeds. In the event proceeds remain after the prepayments of Term Loan Facility pursuant to Section 4.4(b), the amount of such excess proceeds shall be used on the date of the required prepayment under Section 4.4(b) to prepay the outstanding principal amount of the Revolving Credit Loans, without a corresponding reduction of the Revolving Credit Commitment, with remaining proceeds, if any, refunded to the Borrowers.</w:t>
      </w:r>
    </w:p>
    <w:p>
      <w:pPr>
        <w:spacing w:after="0" w:line="196" w:lineRule="exact"/>
        <w:rPr>
          <w:rFonts w:ascii="Arial" w:cs="Arial" w:eastAsia="Arial" w:hAnsi="Arial"/>
          <w:sz w:val="20"/>
          <w:szCs w:val="20"/>
          <w:color w:val="auto"/>
        </w:rPr>
      </w:pPr>
    </w:p>
    <w:p>
      <w:pPr>
        <w:jc w:val="both"/>
        <w:ind w:left="38" w:firstLine="497"/>
        <w:spacing w:after="0" w:line="223" w:lineRule="auto"/>
        <w:tabs>
          <w:tab w:leader="none" w:pos="122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Limitation on Prepayment of </w:t>
      </w:r>
      <w:r>
        <w:rPr>
          <w:rFonts w:ascii="Arial" w:cs="Arial" w:eastAsia="Arial" w:hAnsi="Arial"/>
          <w:sz w:val="20"/>
          <w:szCs w:val="20"/>
          <w:color w:val="FF0000"/>
          <w:strike w:val="1"/>
        </w:rPr>
        <w:t>LIBOR Rate</w:t>
      </w:r>
      <w:r>
        <w:rPr>
          <w:rFonts w:ascii="Arial" w:cs="Arial" w:eastAsia="Arial" w:hAnsi="Arial"/>
          <w:sz w:val="20"/>
          <w:szCs w:val="20"/>
          <w:color w:val="0000FF"/>
        </w:rPr>
        <w:t>SOFR</w:t>
      </w:r>
      <w:r>
        <w:rPr>
          <w:rFonts w:ascii="Arial" w:cs="Arial" w:eastAsia="Arial" w:hAnsi="Arial"/>
          <w:sz w:val="20"/>
          <w:szCs w:val="20"/>
          <w:color w:val="auto"/>
        </w:rPr>
        <w:t xml:space="preserve"> Loans. The Borrowers may not prepay any </w:t>
      </w:r>
      <w:r>
        <w:rPr>
          <w:rFonts w:ascii="Arial" w:cs="Arial" w:eastAsia="Arial" w:hAnsi="Arial"/>
          <w:sz w:val="20"/>
          <w:szCs w:val="20"/>
          <w:color w:val="FF0000"/>
          <w:strike w:val="1"/>
        </w:rPr>
        <w:t>LIBOR Rate</w:t>
      </w:r>
      <w:r>
        <w:rPr>
          <w:rFonts w:ascii="Arial" w:cs="Arial" w:eastAsia="Arial" w:hAnsi="Arial"/>
          <w:sz w:val="20"/>
          <w:szCs w:val="20"/>
          <w:color w:val="0000FF"/>
        </w:rPr>
        <w:t>SOFR</w:t>
      </w:r>
      <w:r>
        <w:rPr>
          <w:rFonts w:ascii="Arial" w:cs="Arial" w:eastAsia="Arial" w:hAnsi="Arial"/>
          <w:sz w:val="20"/>
          <w:szCs w:val="20"/>
          <w:color w:val="auto"/>
        </w:rPr>
        <w:t xml:space="preserve"> Loan on any day other than on the last day of the Interest Period applicable thereto unless such prepayment is accompanied by any amount required to be paid pursuant to Section 5.9 hereof.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7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7" w:name="page148"/>
    <w:bookmarkEnd w:id="147"/>
    <w:p>
      <w:pPr>
        <w:ind w:left="58" w:right="20" w:firstLine="440"/>
        <w:spacing w:after="0" w:line="236" w:lineRule="auto"/>
        <w:tabs>
          <w:tab w:leader="none" w:pos="124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Hedge Agreements. No repayment or prepayment of the Loans pursuant to this Section shall affect any of the Borrowers’ obligations under any Hedge Agreement entered into with respect to the Loans.</w:t>
      </w:r>
    </w:p>
    <w:p>
      <w:pPr>
        <w:spacing w:after="0" w:line="196"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color w:val="auto"/>
        </w:rPr>
        <w:t>Permanent Reduction of the Revolving Credit Commitment.</w:t>
      </w:r>
    </w:p>
    <w:p>
      <w:pPr>
        <w:spacing w:after="0" w:line="283" w:lineRule="exact"/>
        <w:rPr>
          <w:sz w:val="20"/>
          <w:szCs w:val="20"/>
          <w:color w:val="auto"/>
        </w:rPr>
      </w:pPr>
    </w:p>
    <w:p>
      <w:pPr>
        <w:jc w:val="both"/>
        <w:ind w:left="58" w:firstLine="644"/>
        <w:spacing w:after="0" w:line="234" w:lineRule="auto"/>
        <w:tabs>
          <w:tab w:leader="none" w:pos="123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Voluntary Reduction. The Borrowers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(provided that the failure of such contingency shall not relieve any Borrower from its obligations in respect thereof under Section 5.9).</w:t>
      </w:r>
    </w:p>
    <w:p>
      <w:pPr>
        <w:spacing w:after="0" w:line="264" w:lineRule="exact"/>
        <w:rPr>
          <w:rFonts w:ascii="Arial" w:cs="Arial" w:eastAsia="Arial" w:hAnsi="Arial"/>
          <w:sz w:val="18"/>
          <w:szCs w:val="18"/>
          <w:color w:val="auto"/>
        </w:rPr>
      </w:pPr>
    </w:p>
    <w:p>
      <w:pPr>
        <w:jc w:val="both"/>
        <w:ind w:left="58" w:firstLine="644"/>
        <w:spacing w:after="0" w:line="235" w:lineRule="auto"/>
        <w:tabs>
          <w:tab w:leader="none" w:pos="12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Corresponding Payment.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applicable Borrower shall be required to deposit Cash Collateral in a Cash Collateral account opened by the Administrative Agent in an amount equal to such excess. Such Cash Collateral shall be applied in accordance with Section 10.2(b).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w:t>
      </w:r>
      <w:r>
        <w:rPr>
          <w:rFonts w:ascii="Arial" w:cs="Arial" w:eastAsia="Arial" w:hAnsi="Arial"/>
          <w:sz w:val="18"/>
          <w:szCs w:val="18"/>
          <w:color w:val="FF0000"/>
          <w:strike w:val="1"/>
        </w:rPr>
        <w:t>LIBOR Rate</w:t>
      </w:r>
      <w:r>
        <w:rPr>
          <w:rFonts w:ascii="Arial" w:cs="Arial" w:eastAsia="Arial" w:hAnsi="Arial"/>
          <w:sz w:val="18"/>
          <w:szCs w:val="18"/>
          <w:color w:val="0000FF"/>
        </w:rPr>
        <w:t>SOFR</w:t>
      </w:r>
      <w:r>
        <w:rPr>
          <w:rFonts w:ascii="Arial" w:cs="Arial" w:eastAsia="Arial" w:hAnsi="Arial"/>
          <w:sz w:val="18"/>
          <w:szCs w:val="18"/>
          <w:color w:val="auto"/>
        </w:rPr>
        <w:t xml:space="preserve"> Loan, such repayment shall be accompanied by any amount required to be paid pursuant to Section 5.9 hereof.</w:t>
      </w:r>
    </w:p>
    <w:p>
      <w:pPr>
        <w:spacing w:after="0" w:line="268"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8"/>
          <w:szCs w:val="18"/>
          <w:color w:val="auto"/>
        </w:rPr>
        <w:t>Termination of Revolving Credit Facility</w:t>
      </w:r>
    </w:p>
    <w:p>
      <w:pPr>
        <w:spacing w:after="0" w:line="283" w:lineRule="exact"/>
        <w:rPr>
          <w:sz w:val="20"/>
          <w:szCs w:val="20"/>
          <w:color w:val="auto"/>
        </w:rPr>
      </w:pPr>
    </w:p>
    <w:p>
      <w:pPr>
        <w:ind w:left="58" w:right="520" w:hanging="4"/>
        <w:spacing w:after="0" w:line="229" w:lineRule="auto"/>
        <w:tabs>
          <w:tab w:leader="none" w:pos="15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Revolving Credit Facility and the Revolving Credit Commitments shall terminate on the Revolving Credit Maturity Date (after giving effect to any Extension).</w:t>
      </w:r>
    </w:p>
    <w:p>
      <w:pPr>
        <w:spacing w:after="0" w:line="209" w:lineRule="exact"/>
        <w:rPr>
          <w:sz w:val="20"/>
          <w:szCs w:val="20"/>
          <w:color w:val="auto"/>
        </w:rPr>
      </w:pPr>
    </w:p>
    <w:p>
      <w:pPr>
        <w:jc w:val="center"/>
        <w:ind w:right="-57"/>
        <w:spacing w:after="0"/>
        <w:rPr>
          <w:sz w:val="20"/>
          <w:szCs w:val="20"/>
          <w:color w:val="auto"/>
        </w:rPr>
      </w:pPr>
      <w:r>
        <w:rPr>
          <w:rFonts w:ascii="Arial" w:cs="Arial" w:eastAsia="Arial" w:hAnsi="Arial"/>
          <w:sz w:val="20"/>
          <w:szCs w:val="20"/>
          <w:color w:val="auto"/>
        </w:rPr>
        <w:t>ARTICLE III</w:t>
      </w:r>
    </w:p>
    <w:p>
      <w:pPr>
        <w:spacing w:after="0" w:line="202" w:lineRule="exact"/>
        <w:rPr>
          <w:sz w:val="20"/>
          <w:szCs w:val="20"/>
          <w:color w:val="auto"/>
        </w:rPr>
      </w:pPr>
    </w:p>
    <w:p>
      <w:pPr>
        <w:jc w:val="center"/>
        <w:ind w:right="-57"/>
        <w:spacing w:after="0"/>
        <w:rPr>
          <w:sz w:val="20"/>
          <w:szCs w:val="20"/>
          <w:color w:val="auto"/>
        </w:rPr>
      </w:pPr>
      <w:r>
        <w:rPr>
          <w:rFonts w:ascii="Arial" w:cs="Arial" w:eastAsia="Arial" w:hAnsi="Arial"/>
          <w:sz w:val="20"/>
          <w:szCs w:val="20"/>
          <w:color w:val="auto"/>
        </w:rPr>
        <w:t>LETTER OF CREDIT FACILITY</w:t>
      </w:r>
    </w:p>
    <w:p>
      <w:pPr>
        <w:spacing w:after="0" w:line="22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9"/>
          <w:szCs w:val="19"/>
          <w:color w:val="auto"/>
        </w:rPr>
        <w:t>L/C Facility.</w:t>
      </w:r>
    </w:p>
    <w:p>
      <w:pPr>
        <w:spacing w:after="0" w:line="283" w:lineRule="exact"/>
        <w:rPr>
          <w:sz w:val="20"/>
          <w:szCs w:val="20"/>
          <w:color w:val="auto"/>
        </w:rPr>
      </w:pPr>
    </w:p>
    <w:p>
      <w:pPr>
        <w:jc w:val="both"/>
        <w:ind w:left="58" w:firstLine="644"/>
        <w:spacing w:after="0" w:line="223" w:lineRule="auto"/>
        <w:tabs>
          <w:tab w:leader="none" w:pos="123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Availability. Subject to the terms and conditions hereof, each applicable Issuing Lender, in reliance on the agreements of the Revolving Credit Lenders set forth in Section 3.4(a), agrees to issue (i) standby or commercial US Letters of Credit in an aggregate amount not to exceed its L/C Commitment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8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48" w:name="page149"/>
    <w:bookmarkEnd w:id="148"/>
    <w:p>
      <w:pPr>
        <w:spacing w:after="0" w:line="222" w:lineRule="exact"/>
        <w:rPr>
          <w:sz w:val="20"/>
          <w:szCs w:val="20"/>
          <w:color w:val="auto"/>
        </w:rPr>
      </w:pPr>
    </w:p>
    <w:p>
      <w:pPr>
        <w:jc w:val="both"/>
        <w:ind w:left="58"/>
        <w:spacing w:after="0" w:line="266" w:lineRule="auto"/>
        <w:rPr>
          <w:sz w:val="20"/>
          <w:szCs w:val="20"/>
          <w:color w:val="auto"/>
        </w:rPr>
      </w:pPr>
      <w:r>
        <w:rPr>
          <w:rFonts w:ascii="Arial" w:cs="Arial" w:eastAsia="Arial" w:hAnsi="Arial"/>
          <w:sz w:val="18"/>
          <w:szCs w:val="18"/>
          <w:color w:val="auto"/>
        </w:rPr>
        <w:t>the account of the US Borrowers or, subject to Section 3.10,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Borrowers or, subject to Section 3.10, any Canadian Subsidiary or Affiliate thereof that is organized under the laws of Canada or any province or territory thereof, in each case, on any Business Day from the Closing Date through but not including the thirtieth (30</w:t>
      </w:r>
      <w:r>
        <w:rPr>
          <w:rFonts w:ascii="Arial" w:cs="Arial" w:eastAsia="Arial" w:hAnsi="Arial"/>
          <w:sz w:val="11"/>
          <w:szCs w:val="11"/>
          <w:color w:val="auto"/>
        </w:rPr>
        <w:t>th</w:t>
      </w:r>
      <w:r>
        <w:rPr>
          <w:rFonts w:ascii="Arial" w:cs="Arial" w:eastAsia="Arial" w:hAnsi="Arial"/>
          <w:sz w:val="18"/>
          <w:szCs w:val="18"/>
          <w:color w:val="auto"/>
        </w:rPr>
        <w:t>) Business Day prior to the Revolving Credit Maturity Date in such form as may be approved from time to time by the applicable Issuing Lender; provided, that no Issuing Lender shall issue any Letter of Credit if, after giving effect to such issuance, (A) the L/C Obligations would exceed the L/C Sublimit, (B) the Revolving Credit Outstandings would exceed the Revolving Credit Commitment or (C) the L/C Obligations with respect to Letters of Credit issued by such Issuing Lender would exceed such Issuing Lender’s L/C Commitment. Each Letter of Credit (1) (x)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 to the Revolving Credit Maturity Date), (4) with respect to each US Letter of Credit, shall be subject to the Uniform Customs, in 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Borrowers.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w:t>
      </w:r>
    </w:p>
    <w:p>
      <w:pPr>
        <w:spacing w:after="0" w:line="6" w:lineRule="exact"/>
        <w:rPr>
          <w:sz w:val="20"/>
          <w:szCs w:val="20"/>
          <w:color w:val="auto"/>
        </w:rPr>
      </w:pPr>
    </w:p>
    <w:p>
      <w:pPr>
        <w:jc w:val="both"/>
        <w:ind w:left="58" w:hanging="4"/>
        <w:spacing w:after="0"/>
        <w:tabs>
          <w:tab w:leader="none" w:pos="41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conditions set forth in Section 6.2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8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9" w:name="page150"/>
    <w:bookmarkEnd w:id="149"/>
    <w:p>
      <w:pPr>
        <w:spacing w:after="0" w:line="209" w:lineRule="exact"/>
        <w:rPr>
          <w:sz w:val="20"/>
          <w:szCs w:val="20"/>
          <w:color w:val="auto"/>
        </w:rPr>
      </w:pPr>
    </w:p>
    <w:p>
      <w:pPr>
        <w:ind w:left="58" w:right="160" w:firstLine="644"/>
        <w:spacing w:after="0" w:line="236" w:lineRule="auto"/>
        <w:tabs>
          <w:tab w:leader="none" w:pos="123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Defaulting Lenders. Notwithstanding anything to the contrary contained in this Agreement, Article III shall be subject to the terms and conditions of Section 5.14 and Section 5.15.</w:t>
      </w:r>
    </w:p>
    <w:p>
      <w:pPr>
        <w:spacing w:after="0" w:line="263"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6"/>
          <w:szCs w:val="16"/>
          <w:color w:val="auto"/>
        </w:rPr>
        <w:t>Procedure for Issuance of Letters of Credit</w:t>
      </w:r>
    </w:p>
    <w:p>
      <w:pPr>
        <w:spacing w:after="0" w:line="283" w:lineRule="exact"/>
        <w:rPr>
          <w:sz w:val="20"/>
          <w:szCs w:val="20"/>
          <w:color w:val="auto"/>
        </w:rPr>
      </w:pPr>
    </w:p>
    <w:p>
      <w:pPr>
        <w:jc w:val="both"/>
        <w:ind w:left="58" w:hanging="4"/>
        <w:spacing w:after="0" w:line="233" w:lineRule="auto"/>
        <w:tabs>
          <w:tab w:leader="none" w:pos="17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 US Borrowers may from time to time request that any Issuing Lender issue a US Letter of Credit and (b) Canadian Borrowers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Section 3.1 and Article VI,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97"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color w:val="auto"/>
        </w:rPr>
        <w:t>Commissions and Other Charges.</w:t>
      </w:r>
    </w:p>
    <w:p>
      <w:pPr>
        <w:spacing w:after="0" w:line="283" w:lineRule="exact"/>
        <w:rPr>
          <w:sz w:val="20"/>
          <w:szCs w:val="20"/>
          <w:color w:val="auto"/>
        </w:rPr>
      </w:pPr>
    </w:p>
    <w:p>
      <w:pPr>
        <w:jc w:val="both"/>
        <w:ind w:left="58" w:firstLine="644"/>
        <w:spacing w:after="0" w:line="214" w:lineRule="auto"/>
        <w:tabs>
          <w:tab w:leader="none" w:pos="123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Letter of Credit Commissions. Subject to Section 5.15(a)(iii)(B), Centuri shall pay to the Administrative Agent, for the account of the applicable Issuing Lender and the L/C Participants, a letter of credit commission with respect to each Letter of Credit in the amount equal to the daily amount available to be drawn under such Letters of Credit times 50% of the Applicable Margin with respect to Revolving Credit Loans that are </w:t>
      </w:r>
      <w:r>
        <w:rPr>
          <w:rFonts w:ascii="Arial" w:cs="Arial" w:eastAsia="Arial" w:hAnsi="Arial"/>
          <w:sz w:val="20"/>
          <w:szCs w:val="20"/>
          <w:color w:val="FF0000"/>
          <w:strike w:val="1"/>
        </w:rPr>
        <w:t>LIBOR Rate</w:t>
      </w:r>
      <w:r>
        <w:rPr>
          <w:rFonts w:ascii="Arial" w:cs="Arial" w:eastAsia="Arial" w:hAnsi="Arial"/>
          <w:sz w:val="20"/>
          <w:szCs w:val="20"/>
          <w:color w:val="0000FF"/>
        </w:rPr>
        <w:t>SOFR</w:t>
      </w:r>
      <w:r>
        <w:rPr>
          <w:rFonts w:ascii="Arial" w:cs="Arial" w:eastAsia="Arial" w:hAnsi="Arial"/>
          <w:sz w:val="20"/>
          <w:szCs w:val="20"/>
          <w:color w:val="auto"/>
        </w:rPr>
        <w:t xml:space="preserv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Section 3.3 in accordance with their respective Revolving Credit Commitment Percentages.</w:t>
      </w:r>
    </w:p>
    <w:p>
      <w:pPr>
        <w:spacing w:after="0" w:line="195" w:lineRule="exact"/>
        <w:rPr>
          <w:rFonts w:ascii="Arial" w:cs="Arial" w:eastAsia="Arial" w:hAnsi="Arial"/>
          <w:sz w:val="20"/>
          <w:szCs w:val="20"/>
          <w:color w:val="auto"/>
        </w:rPr>
      </w:pPr>
    </w:p>
    <w:p>
      <w:pPr>
        <w:jc w:val="both"/>
        <w:ind w:left="58" w:firstLine="644"/>
        <w:spacing w:after="0" w:line="226" w:lineRule="auto"/>
        <w:tabs>
          <w:tab w:leader="none" w:pos="123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Issuance Fee.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210" w:lineRule="exact"/>
        <w:rPr>
          <w:rFonts w:ascii="Arial" w:cs="Arial" w:eastAsia="Arial" w:hAnsi="Arial"/>
          <w:sz w:val="19"/>
          <w:szCs w:val="19"/>
          <w:color w:val="auto"/>
        </w:rPr>
      </w:pPr>
    </w:p>
    <w:p>
      <w:pPr>
        <w:jc w:val="both"/>
        <w:ind w:left="58" w:right="20" w:firstLine="644"/>
        <w:spacing w:after="0" w:line="252" w:lineRule="auto"/>
        <w:tabs>
          <w:tab w:leader="none" w:pos="123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Other Fees, Costs, Charges and Expenses.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18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0" w:name="page151"/>
    <w:bookmarkEnd w:id="150"/>
    <w:p>
      <w:pPr>
        <w:spacing w:after="0" w:line="20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color w:val="auto"/>
        </w:rPr>
        <w:t>L/C Participations.</w:t>
      </w:r>
    </w:p>
    <w:p>
      <w:pPr>
        <w:spacing w:after="0" w:line="283" w:lineRule="exact"/>
        <w:rPr>
          <w:sz w:val="20"/>
          <w:szCs w:val="20"/>
          <w:color w:val="auto"/>
        </w:rPr>
      </w:pPr>
    </w:p>
    <w:p>
      <w:pPr>
        <w:jc w:val="both"/>
        <w:ind w:left="58" w:firstLine="644"/>
        <w:spacing w:after="0" w:line="235"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200" w:lineRule="exact"/>
        <w:rPr>
          <w:rFonts w:ascii="Arial" w:cs="Arial" w:eastAsia="Arial" w:hAnsi="Arial"/>
          <w:sz w:val="18"/>
          <w:szCs w:val="18"/>
          <w:color w:val="auto"/>
        </w:rPr>
      </w:pPr>
    </w:p>
    <w:p>
      <w:pPr>
        <w:jc w:val="both"/>
        <w:ind w:left="58" w:firstLine="643"/>
        <w:spacing w:after="0" w:line="221" w:lineRule="auto"/>
        <w:tabs>
          <w:tab w:leader="none" w:pos="123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Upon becoming aware of any amount required to be paid by any L/C Participant to any Issuing Lender pursuant to Section 3.4(a)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times (ii) the daily average Federal Funds Rate as determined by the Administrative Agent during the period from and including the date such payment is due to the date on which such payment is immediately available to such Issuing Lender, times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207" w:lineRule="exact"/>
        <w:rPr>
          <w:rFonts w:ascii="Arial" w:cs="Arial" w:eastAsia="Arial" w:hAnsi="Arial"/>
          <w:sz w:val="19"/>
          <w:szCs w:val="19"/>
          <w:color w:val="auto"/>
        </w:rPr>
      </w:pPr>
    </w:p>
    <w:p>
      <w:pPr>
        <w:jc w:val="both"/>
        <w:ind w:left="58" w:firstLine="644"/>
        <w:spacing w:after="0" w:line="238"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 interest on account thereof, such Issuing Lender will distribute to such L/C Participant its pro rata share thereof; provided,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213"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color w:val="auto"/>
        </w:rPr>
        <w:t>Reimbursement Obligation of the Borrowers</w:t>
      </w:r>
    </w:p>
    <w:p>
      <w:pPr>
        <w:spacing w:after="0" w:line="270" w:lineRule="exact"/>
        <w:rPr>
          <w:sz w:val="20"/>
          <w:szCs w:val="20"/>
          <w:color w:val="auto"/>
        </w:rPr>
      </w:pPr>
    </w:p>
    <w:p>
      <w:pPr>
        <w:jc w:val="both"/>
        <w:ind w:left="58" w:hanging="4"/>
        <w:spacing w:after="0" w:line="246" w:lineRule="auto"/>
        <w:tabs>
          <w:tab w:leader="none" w:pos="1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of any drawing under any Letter of Credit, the applicable Borrower agrees to reimburse (either with the proceeds of a Revolving Credit Loan as provided for in this Section or with funds from other sources), in same day funds, the applicable Issuing Lender on each date on which such Issuing Lender notifies the applicable Borrower of the date and amount of a draft paid by it under any Letter of Credit for the amount of (a) such draft so paid and (b) any amounts referred to in Section 3.3(c) incurred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9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1" w:name="page152"/>
    <w:bookmarkEnd w:id="151"/>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Issuing Lender in connection with such payment. Unless the applicable Borrower shall immediately notify such Issuing Lender that such</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Borrower intends to reimburse such Issuing Lender for such drawing from other sources or funds, such Borrower shall be deemed to have timely given a Notice of Borrowing to the Administrative Agent requesting that the Revolving Credit Lenders make a Revolving Credit</w:t>
      </w:r>
    </w:p>
    <w:p>
      <w:pPr>
        <w:ind w:left="58"/>
        <w:spacing w:after="0" w:line="236" w:lineRule="auto"/>
        <w:rPr>
          <w:sz w:val="20"/>
          <w:szCs w:val="20"/>
          <w:color w:val="auto"/>
        </w:rPr>
      </w:pPr>
      <w:r>
        <w:rPr>
          <w:rFonts w:ascii="Arial" w:cs="Arial" w:eastAsia="Arial" w:hAnsi="Arial"/>
          <w:sz w:val="18"/>
          <w:szCs w:val="18"/>
          <w:color w:val="auto"/>
        </w:rPr>
        <w:t>Loan bearing interest at the Base Rate on the applicable repayment date in the amount of (i) such draft so paid and (ii) any amounts</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referred to in Section 3.3(c) incurred by such Issuing Lender in connection with such payment, and the Revolving Credit Lenders shall make a Revolving Credit Loan bearing interest at the Base Rate in such amount, the proceeds of which shall be applied to reimburse such</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6"/>
          <w:szCs w:val="16"/>
          <w:color w:val="auto"/>
        </w:rPr>
        <w:t>Issuing Lender for the amount of the related drawing and such fees and expenses. Each Revolving Credit Lender acknowledges and agrees</w:t>
      </w:r>
    </w:p>
    <w:p>
      <w:pPr>
        <w:spacing w:after="0" w:line="19" w:lineRule="exact"/>
        <w:rPr>
          <w:sz w:val="20"/>
          <w:szCs w:val="20"/>
          <w:color w:val="auto"/>
        </w:rPr>
      </w:pPr>
    </w:p>
    <w:p>
      <w:pPr>
        <w:jc w:val="both"/>
        <w:ind w:left="58" w:right="20"/>
        <w:spacing w:after="0" w:line="226" w:lineRule="auto"/>
        <w:rPr>
          <w:sz w:val="20"/>
          <w:szCs w:val="20"/>
          <w:color w:val="auto"/>
        </w:rPr>
      </w:pPr>
      <w:r>
        <w:rPr>
          <w:rFonts w:ascii="Arial" w:cs="Arial" w:eastAsia="Arial" w:hAnsi="Arial"/>
          <w:sz w:val="18"/>
          <w:szCs w:val="18"/>
          <w:color w:val="auto"/>
        </w:rPr>
        <w:t>that its obligation to fund a Revolving Credit Loan in accordance with this Section to reimburse such Issuing Lender for any draft paid under a Letter of Credit issued by it is absolute and unconditional and shall not be affected by any circumstance whatsoever, including,</w:t>
      </w:r>
    </w:p>
    <w:p>
      <w:pPr>
        <w:ind w:left="58"/>
        <w:spacing w:after="0" w:line="236" w:lineRule="auto"/>
        <w:rPr>
          <w:sz w:val="20"/>
          <w:szCs w:val="20"/>
          <w:color w:val="auto"/>
        </w:rPr>
      </w:pPr>
      <w:r>
        <w:rPr>
          <w:rFonts w:ascii="Arial" w:cs="Arial" w:eastAsia="Arial" w:hAnsi="Arial"/>
          <w:sz w:val="18"/>
          <w:szCs w:val="18"/>
          <w:color w:val="auto"/>
        </w:rPr>
        <w:t>without limitation, non-satisfaction of the conditions set forth in Section 2.3(a) or Article VI. If a Borrower has elected to pay the amount</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of such drawing with funds from other sources and shall fail to reimburse such Issuing Lender as provided above, the unreimbursed amount of such drawing shall bear interest at the rate which would be payable on any outstanding Base Rate Loans which were then</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8"/>
          <w:szCs w:val="18"/>
          <w:color w:val="auto"/>
        </w:rPr>
        <w:t>overdue from the date such amounts become payable (whether at stated maturity, by acceleration or otherwise) until payment in full.</w:t>
      </w:r>
    </w:p>
    <w:p>
      <w:pPr>
        <w:spacing w:after="0" w:line="223"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3.6</w:t>
      </w:r>
      <w:r>
        <w:rPr>
          <w:sz w:val="20"/>
          <w:szCs w:val="20"/>
          <w:color w:val="auto"/>
        </w:rPr>
        <w:tab/>
      </w:r>
      <w:r>
        <w:rPr>
          <w:rFonts w:ascii="Arial" w:cs="Arial" w:eastAsia="Arial" w:hAnsi="Arial"/>
          <w:sz w:val="18"/>
          <w:szCs w:val="18"/>
          <w:color w:val="auto"/>
        </w:rPr>
        <w:t>Obligations Absolute</w:t>
      </w:r>
    </w:p>
    <w:p>
      <w:pPr>
        <w:spacing w:after="0" w:line="283" w:lineRule="exact"/>
        <w:rPr>
          <w:sz w:val="20"/>
          <w:szCs w:val="20"/>
          <w:color w:val="auto"/>
        </w:rPr>
      </w:pPr>
    </w:p>
    <w:p>
      <w:pPr>
        <w:jc w:val="both"/>
        <w:ind w:left="58" w:hanging="4"/>
        <w:spacing w:after="0" w:line="233" w:lineRule="auto"/>
        <w:tabs>
          <w:tab w:leader="none" w:pos="17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Borrower’s obligations under this Article III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Section 3.5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202"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8"/>
          <w:szCs w:val="18"/>
          <w:color w:val="auto"/>
        </w:rPr>
        <w:t>Effect of Letter of Credit Application</w:t>
      </w:r>
    </w:p>
    <w:p>
      <w:pPr>
        <w:spacing w:after="0" w:line="283" w:lineRule="exact"/>
        <w:rPr>
          <w:sz w:val="20"/>
          <w:szCs w:val="20"/>
          <w:color w:val="auto"/>
        </w:rPr>
      </w:pPr>
    </w:p>
    <w:p>
      <w:pPr>
        <w:ind w:left="58" w:right="240" w:hanging="4"/>
        <w:spacing w:after="0" w:line="229" w:lineRule="auto"/>
        <w:tabs>
          <w:tab w:leader="none" w:pos="15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To the extent that any provision of any Letter of Credit Application related to any Letter of Credit is inconsistent with the provisions of this Agreement, the provisions of this Agreement shall apply and control.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9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2" w:name="page153"/>
    <w:bookmarkEnd w:id="152"/>
    <w:p>
      <w:pPr>
        <w:ind w:left="678"/>
        <w:spacing w:after="0"/>
        <w:tabs>
          <w:tab w:leader="none" w:pos="1998"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6"/>
          <w:szCs w:val="16"/>
          <w:color w:val="auto"/>
        </w:rPr>
        <w:t>Removal and Resignation of Issuing Lenders</w:t>
      </w:r>
    </w:p>
    <w:p>
      <w:pPr>
        <w:spacing w:after="0" w:line="283" w:lineRule="exact"/>
        <w:rPr>
          <w:sz w:val="20"/>
          <w:szCs w:val="20"/>
          <w:color w:val="auto"/>
        </w:rPr>
      </w:pPr>
    </w:p>
    <w:p>
      <w:pPr>
        <w:ind w:left="38"/>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238" w:hanging="554"/>
        <w:spacing w:after="0"/>
        <w:tabs>
          <w:tab w:leader="none" w:pos="123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Borrowers may at any time remove any Lender from its role as an Issuing Lender hereunder upon not less than thirty</w:t>
      </w:r>
    </w:p>
    <w:p>
      <w:pPr>
        <w:spacing w:after="0" w:line="11" w:lineRule="exact"/>
        <w:rPr>
          <w:rFonts w:ascii="Arial" w:cs="Arial" w:eastAsia="Arial" w:hAnsi="Arial"/>
          <w:sz w:val="18"/>
          <w:szCs w:val="18"/>
          <w:color w:val="auto"/>
        </w:rPr>
      </w:pPr>
    </w:p>
    <w:p>
      <w:pPr>
        <w:ind w:left="38" w:hanging="2"/>
        <w:spacing w:after="0" w:line="227" w:lineRule="auto"/>
        <w:tabs>
          <w:tab w:leader="none" w:pos="43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days prior notice to such Issuing Lender and the Administrative Agent (or such shorter period of time as may be acceptable to such Issuing Lender and the Administrative Agent).</w:t>
      </w:r>
    </w:p>
    <w:p>
      <w:pPr>
        <w:spacing w:after="0" w:line="196" w:lineRule="exact"/>
        <w:rPr>
          <w:rFonts w:ascii="Arial" w:cs="Arial" w:eastAsia="Arial" w:hAnsi="Arial"/>
          <w:sz w:val="20"/>
          <w:szCs w:val="20"/>
          <w:color w:val="auto"/>
        </w:rPr>
      </w:pPr>
    </w:p>
    <w:p>
      <w:pPr>
        <w:jc w:val="both"/>
        <w:ind w:left="38" w:right="20" w:firstLine="646"/>
        <w:spacing w:after="0" w:line="223" w:lineRule="auto"/>
        <w:tabs>
          <w:tab w:leader="none" w:pos="1241" w:val="left"/>
        </w:tabs>
        <w:numPr>
          <w:ilvl w:val="1"/>
          <w:numId w:val="196"/>
        </w:numPr>
        <w:rPr>
          <w:rFonts w:ascii="Arial" w:cs="Arial" w:eastAsia="Arial" w:hAnsi="Arial"/>
          <w:sz w:val="20"/>
          <w:szCs w:val="20"/>
          <w:color w:val="auto"/>
        </w:rPr>
      </w:pPr>
      <w:r>
        <w:rPr>
          <w:rFonts w:ascii="Arial" w:cs="Arial" w:eastAsia="Arial" w:hAnsi="Arial"/>
          <w:sz w:val="20"/>
          <w:szCs w:val="20"/>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209" w:lineRule="exact"/>
        <w:rPr>
          <w:rFonts w:ascii="Arial" w:cs="Arial" w:eastAsia="Arial" w:hAnsi="Arial"/>
          <w:sz w:val="20"/>
          <w:szCs w:val="20"/>
          <w:color w:val="auto"/>
        </w:rPr>
      </w:pPr>
    </w:p>
    <w:p>
      <w:pPr>
        <w:jc w:val="both"/>
        <w:ind w:left="38" w:right="20" w:firstLine="646"/>
        <w:spacing w:after="0" w:line="241" w:lineRule="auto"/>
        <w:tabs>
          <w:tab w:leader="none" w:pos="124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connection with (i) any Refinancing Revolving Credit Commitments or (ii) any Extension of Revolving Credit Commitments, that has not been consented to by any Issuing Lender, such Issuing Lender may, in connection with such Refinancing Revolving Credit Commitments or Extension resign as an Issuing Lender hereunder upon not less than five (5) Business Days’ prior notice to Centuri and the Administrative Agent (or such shorter period of time as may be acceptable to Centuri and the Administrative Agent).</w:t>
      </w:r>
    </w:p>
    <w:p>
      <w:pPr>
        <w:spacing w:after="0" w:line="208" w:lineRule="exact"/>
        <w:rPr>
          <w:rFonts w:ascii="Arial" w:cs="Arial" w:eastAsia="Arial" w:hAnsi="Arial"/>
          <w:sz w:val="18"/>
          <w:szCs w:val="18"/>
          <w:color w:val="auto"/>
        </w:rPr>
      </w:pPr>
    </w:p>
    <w:p>
      <w:pPr>
        <w:jc w:val="both"/>
        <w:ind w:left="38" w:firstLine="646"/>
        <w:spacing w:after="0" w:line="235" w:lineRule="auto"/>
        <w:tabs>
          <w:tab w:leader="none" w:pos="124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Section 3.4).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201" w:lineRule="exact"/>
        <w:rPr>
          <w:sz w:val="20"/>
          <w:szCs w:val="20"/>
          <w:color w:val="auto"/>
        </w:rPr>
      </w:pPr>
    </w:p>
    <w:p>
      <w:pPr>
        <w:ind w:left="678"/>
        <w:spacing w:after="0"/>
        <w:tabs>
          <w:tab w:leader="none" w:pos="1998" w:val="left"/>
        </w:tabs>
        <w:rPr>
          <w:sz w:val="20"/>
          <w:szCs w:val="20"/>
          <w:color w:val="auto"/>
        </w:rPr>
      </w:pPr>
      <w:r>
        <w:rPr>
          <w:rFonts w:ascii="Arial" w:cs="Arial" w:eastAsia="Arial" w:hAnsi="Arial"/>
          <w:sz w:val="20"/>
          <w:szCs w:val="20"/>
          <w:color w:val="auto"/>
        </w:rPr>
        <w:t>SECTION 3.9</w:t>
      </w:r>
      <w:r>
        <w:rPr>
          <w:sz w:val="20"/>
          <w:szCs w:val="20"/>
          <w:color w:val="auto"/>
        </w:rPr>
        <w:tab/>
      </w:r>
      <w:r>
        <w:rPr>
          <w:rFonts w:ascii="Arial" w:cs="Arial" w:eastAsia="Arial" w:hAnsi="Arial"/>
          <w:sz w:val="18"/>
          <w:szCs w:val="18"/>
          <w:color w:val="auto"/>
        </w:rPr>
        <w:t>Reporting of Letter of Credit Information and L/C Commitment</w:t>
      </w:r>
    </w:p>
    <w:p>
      <w:pPr>
        <w:spacing w:after="0" w:line="283" w:lineRule="exact"/>
        <w:rPr>
          <w:sz w:val="20"/>
          <w:szCs w:val="20"/>
          <w:color w:val="auto"/>
        </w:rPr>
      </w:pPr>
    </w:p>
    <w:p>
      <w:pPr>
        <w:jc w:val="both"/>
        <w:ind w:left="38" w:hanging="2"/>
        <w:spacing w:after="0" w:line="223" w:lineRule="auto"/>
        <w:tabs>
          <w:tab w:leader="none" w:pos="153"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Section 3.9 shall limit the obligations of the Borrowers or any Revolving Credit Lender hereunder with respect to its reimbursement and participation obligations hereunder.</w:t>
      </w:r>
    </w:p>
    <w:p>
      <w:pPr>
        <w:spacing w:after="0" w:line="197" w:lineRule="exact"/>
        <w:rPr>
          <w:sz w:val="20"/>
          <w:szCs w:val="20"/>
          <w:color w:val="auto"/>
        </w:rPr>
      </w:pPr>
    </w:p>
    <w:p>
      <w:pPr>
        <w:ind w:left="678"/>
        <w:spacing w:after="0"/>
        <w:tabs>
          <w:tab w:leader="none" w:pos="2098"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8"/>
          <w:szCs w:val="18"/>
          <w:color w:val="auto"/>
        </w:rPr>
        <w:t>Letters of Credit Issued for Subsidiaries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19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53" w:name="page154"/>
    <w:bookmarkEnd w:id="153"/>
    <w:p>
      <w:pPr>
        <w:jc w:val="both"/>
        <w:ind w:left="58" w:hanging="5"/>
        <w:spacing w:after="0" w:line="238" w:lineRule="auto"/>
        <w:tabs>
          <w:tab w:leader="none" w:pos="17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Notwithstanding that a Letter of Credit issued or outstanding hereunder is in support of any obligations of, or is for the account of, a Borrower or any Subsidiary or Affiliate thereof described in Section 3.1(a), the applicable Borrower shall be obligated to reimburse, or to cause the applicable Subsidiary or Affiliate to reimburse, the applicable Issuing Lender hereunder for any and all drawings under such Letter of Credit; provided that aggregate face amount of all Letters of Credit issued for the account of such Affiliates of the Borrowers that are not also Subsidiaries of the Borrowers shall not exceed $25,000,000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332" w:lineRule="exact"/>
        <w:rPr>
          <w:sz w:val="20"/>
          <w:szCs w:val="20"/>
          <w:color w:val="auto"/>
        </w:rPr>
      </w:pPr>
    </w:p>
    <w:p>
      <w:pPr>
        <w:ind w:left="3718"/>
        <w:spacing w:after="0"/>
        <w:rPr>
          <w:sz w:val="20"/>
          <w:szCs w:val="20"/>
          <w:color w:val="auto"/>
        </w:rPr>
      </w:pPr>
      <w:r>
        <w:rPr>
          <w:rFonts w:ascii="Arial" w:cs="Arial" w:eastAsia="Arial" w:hAnsi="Arial"/>
          <w:sz w:val="20"/>
          <w:szCs w:val="20"/>
          <w:color w:val="auto"/>
        </w:rPr>
        <w:t>ARTICLE IV TERM LOAN FACILITY</w:t>
      </w:r>
    </w:p>
    <w:p>
      <w:pPr>
        <w:spacing w:after="0" w:line="108"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color w:val="auto"/>
        </w:rPr>
        <w:t>Initial Term Loan</w:t>
      </w:r>
    </w:p>
    <w:p>
      <w:pPr>
        <w:spacing w:after="0" w:line="297" w:lineRule="exact"/>
        <w:rPr>
          <w:sz w:val="20"/>
          <w:szCs w:val="20"/>
          <w:color w:val="auto"/>
        </w:rPr>
      </w:pPr>
    </w:p>
    <w:p>
      <w:pPr>
        <w:jc w:val="both"/>
        <w:ind w:left="58" w:hanging="4"/>
        <w:spacing w:after="0" w:line="220" w:lineRule="auto"/>
        <w:tabs>
          <w:tab w:leader="none" w:pos="185" w:val="left"/>
        </w:tabs>
        <w:numPr>
          <w:ilvl w:val="0"/>
          <w:numId w:val="200"/>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the other Loan Documents, and in reliance upon the representations and warranties set forth in this Agreement and the other Loan Documents, each Term Loan Lender severally agrees to make the Initial Term Loan to Centuri, on the Closing Date, in a principal amount equal to such Lender’s Term Loan Percentage of the Initial Term Loan as of the Closing Date.</w:t>
      </w:r>
    </w:p>
    <w:p>
      <w:pPr>
        <w:spacing w:after="0" w:line="196"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color w:val="auto"/>
        </w:rPr>
        <w:t>Procedure for Advance of Initial Term Loan</w:t>
      </w:r>
    </w:p>
    <w:p>
      <w:pPr>
        <w:spacing w:after="0" w:line="283" w:lineRule="exact"/>
        <w:rPr>
          <w:sz w:val="20"/>
          <w:szCs w:val="20"/>
          <w:color w:val="auto"/>
        </w:rPr>
      </w:pPr>
    </w:p>
    <w:p>
      <w:pPr>
        <w:jc w:val="both"/>
        <w:ind w:left="58" w:hanging="4"/>
        <w:spacing w:after="0" w:line="235" w:lineRule="auto"/>
        <w:tabs>
          <w:tab w:leader="none" w:pos="15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applicable Borrower shall give the Administrative Agent an irrevocable Notice of Borrowing prior to 11:00 a.m. on the Closing Date requesting that the Term Loan Lenders make the Initial Term Loan as a Base Rate Loan on such date (provided that the Centuri may request, no later than three (3) Business Days prior to the Closing Date, that the Term Loan Lenders make the Initial Term Loan as a LIBOR Rate Loan, as applicable, if Centuri has delivered to the Administrative Agent a letter in form and substance reasonably satisfactory to the Administrative Agent indemnifying the Lenders in the manner set forth in Section 5.9 of this Agreement). Upon receipt of such Notice of Borrowing from the applicable Borrower, the Administrative Agent shall promptly notify each Term Loan Lender thereof. Not later than 1:00 p.m. on the Closing Date, with respect to the Initial Term Loan made on the Closing Date, each Term Loan Lender will make available to the Administrative Agent for the account of the applicable Borrower, at the Administrative Agent’s Office in immediately available funds, the amount of such Initial Term Loan to be made by such Term Loan Lender on the Closing Date. The Borrowers hereby irrevocably authorize the Administrative Agent to disburse the proceeds of the Initial Term Loan in immediately available funds by wire transfer to such Person or Persons as may be designated by the applicable Borrower in writing.</w:t>
      </w:r>
    </w:p>
    <w:p>
      <w:pPr>
        <w:spacing w:after="0" w:line="201"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6"/>
          <w:szCs w:val="16"/>
          <w:color w:val="auto"/>
        </w:rPr>
        <w:t>Repayment of Term Loans.</w:t>
      </w:r>
    </w:p>
    <w:p>
      <w:pPr>
        <w:spacing w:after="0" w:line="283" w:lineRule="exact"/>
        <w:rPr>
          <w:sz w:val="20"/>
          <w:szCs w:val="20"/>
          <w:color w:val="auto"/>
        </w:rPr>
      </w:pPr>
    </w:p>
    <w:p>
      <w:pPr>
        <w:jc w:val="both"/>
        <w:ind w:left="58" w:firstLine="644"/>
        <w:spacing w:after="0" w:line="243" w:lineRule="auto"/>
        <w:tabs>
          <w:tab w:leader="none" w:pos="12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Initial Term Loan. The Borrowers shall repay the aggregate outstanding principal amount of the Initial Term Loan in consecutive quarterly installments equal to $2,862,500 (as the amounts of individual installments may be adjusted pursuant to Section 4.4) on the last Business Day of each of March, June, September and December commencing December 31, 2021; provided, however, that the final principal repayment installment of the Initial Term Loan shall be repaid on the Term Loan Maturity Date in an amount equal to the aggregate principal amount of all Initial Term Loans outstanding on such date, together with accrued interest thereon.</w:t>
      </w:r>
    </w:p>
    <w:p>
      <w:pPr>
        <w:spacing w:after="0" w:line="194" w:lineRule="exact"/>
        <w:rPr>
          <w:rFonts w:ascii="Arial" w:cs="Arial" w:eastAsia="Arial" w:hAnsi="Arial"/>
          <w:sz w:val="18"/>
          <w:szCs w:val="18"/>
          <w:color w:val="auto"/>
        </w:rPr>
      </w:pPr>
    </w:p>
    <w:p>
      <w:pPr>
        <w:ind w:left="58" w:right="20" w:firstLine="644"/>
        <w:spacing w:after="0" w:line="285" w:lineRule="auto"/>
        <w:tabs>
          <w:tab w:leader="none" w:pos="12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Incremental Term Loans. The US Borrowers or the Canadian Borrowers, as applicable, shall repay the aggregate outstanding principal amount of each Incremental Term Loan (if any) as determined pursuant to, and in accordance with, Section 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0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54" w:name="page155"/>
    <w:bookmarkEnd w:id="154"/>
    <w:p>
      <w:pPr>
        <w:spacing w:after="0" w:line="20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6"/>
          <w:szCs w:val="16"/>
          <w:color w:val="auto"/>
        </w:rPr>
        <w:t>Prepayments of Term Loans.</w:t>
      </w:r>
    </w:p>
    <w:p>
      <w:pPr>
        <w:spacing w:after="0" w:line="283" w:lineRule="exact"/>
        <w:rPr>
          <w:sz w:val="20"/>
          <w:szCs w:val="20"/>
          <w:color w:val="auto"/>
        </w:rPr>
      </w:pPr>
    </w:p>
    <w:p>
      <w:pPr>
        <w:jc w:val="both"/>
        <w:ind w:left="58" w:firstLine="644"/>
        <w:spacing w:after="0" w:line="219" w:lineRule="auto"/>
        <w:tabs>
          <w:tab w:leader="none" w:pos="123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Optional Prepayments. Except as provided in Section 4.4(c), the applicable Borrower shall have the right at any time and from time to time, without premium or penalty, to prepay any of the Term Loans, in whole or in part, upon delivery to the Administrative Agent of a Notice of Prepayment not later than 11:00 a.m. (i) on the same Business Day as each Base Rate Loan, (ii) at least one (1) Business Day before each Canadian Base Rate Loan and (iii) at least three (3) Business Days before each LIBOR Rate Loan or CDOR Rate Loan, as applicable, specifying the date and amount of repayment, whether the repayment is of LIBOR Rate Loans, CDOR Rate Loans, Base Rate Loans or Canadian Base Rate Loans or a combination thereof, and if a combination thereof, the amount allocable to each and whether the repayment is of the Initial Term Loan, an Incremental Term Loan or a combination thereof, and if a combination thereof, the amount allocable to each. Each optional prepayment of the Term Loans hereunder shall be in an aggregate principal amount of at least $5,000,000 (or C$5,000,000) or any whole multiple of</w:t>
      </w:r>
    </w:p>
    <w:p>
      <w:pPr>
        <w:spacing w:after="0" w:line="3" w:lineRule="exact"/>
        <w:rPr>
          <w:rFonts w:ascii="Arial" w:cs="Arial" w:eastAsia="Arial" w:hAnsi="Arial"/>
          <w:sz w:val="19"/>
          <w:szCs w:val="19"/>
          <w:color w:val="auto"/>
        </w:rPr>
      </w:pPr>
    </w:p>
    <w:p>
      <w:pPr>
        <w:jc w:val="both"/>
        <w:ind w:left="58"/>
        <w:spacing w:after="0" w:line="221" w:lineRule="auto"/>
        <w:rPr>
          <w:rFonts w:ascii="Arial" w:cs="Arial" w:eastAsia="Arial" w:hAnsi="Arial"/>
          <w:sz w:val="19"/>
          <w:szCs w:val="19"/>
          <w:color w:val="auto"/>
        </w:rPr>
      </w:pPr>
      <w:r>
        <w:rPr>
          <w:rFonts w:ascii="Arial" w:cs="Arial" w:eastAsia="Arial" w:hAnsi="Arial"/>
          <w:sz w:val="19"/>
          <w:szCs w:val="19"/>
          <w:color w:val="auto"/>
        </w:rPr>
        <w:t>$1,000,000 (C$1,000,000) in excess thereof and shall be applied, on a pro rata basis, to the outstanding principal installments of the Term Loans being so repaid as directed by the applicable Borrowers (or, if not so directed, in direct order of maturity). Each repayment shall be accompanied by any amount required to be paid pursuant to Section 5.9 hereof. A Notice of Prepayment received after 11:00 a.m.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 of such refinancing or incurrence and may be revoked by the applicable Borrower in the event such refinancing is not consummated; provided that the delay or failure of such contingency shall not relieve any Borrower from its obligations in respect thereof under Section 5.9.</w:t>
      </w:r>
    </w:p>
    <w:p>
      <w:pPr>
        <w:spacing w:after="0" w:line="265" w:lineRule="exact"/>
        <w:rPr>
          <w:rFonts w:ascii="Arial" w:cs="Arial" w:eastAsia="Arial" w:hAnsi="Arial"/>
          <w:sz w:val="19"/>
          <w:szCs w:val="19"/>
          <w:color w:val="auto"/>
        </w:rPr>
      </w:pPr>
    </w:p>
    <w:p>
      <w:pPr>
        <w:ind w:left="1338" w:hanging="636"/>
        <w:spacing w:after="0"/>
        <w:tabs>
          <w:tab w:leader="none" w:pos="1338" w:val="left"/>
        </w:tabs>
        <w:numPr>
          <w:ilvl w:val="0"/>
          <w:numId w:val="204"/>
        </w:numPr>
        <w:rPr>
          <w:rFonts w:ascii="Arial" w:cs="Arial" w:eastAsia="Arial" w:hAnsi="Arial"/>
          <w:sz w:val="20"/>
          <w:szCs w:val="20"/>
          <w:color w:val="auto"/>
        </w:rPr>
      </w:pPr>
      <w:r>
        <w:rPr>
          <w:rFonts w:ascii="Arial" w:cs="Arial" w:eastAsia="Arial" w:hAnsi="Arial"/>
          <w:sz w:val="20"/>
          <w:szCs w:val="20"/>
          <w:color w:val="auto"/>
        </w:rPr>
        <w:t>Mandatory Prepayments.</w:t>
      </w:r>
    </w:p>
    <w:p>
      <w:pPr>
        <w:spacing w:after="0" w:line="283" w:lineRule="exact"/>
        <w:rPr>
          <w:rFonts w:ascii="Arial" w:cs="Arial" w:eastAsia="Arial" w:hAnsi="Arial"/>
          <w:sz w:val="20"/>
          <w:szCs w:val="20"/>
          <w:color w:val="auto"/>
        </w:rPr>
      </w:pPr>
    </w:p>
    <w:p>
      <w:pPr>
        <w:jc w:val="both"/>
        <w:ind w:left="698" w:firstLine="652"/>
        <w:spacing w:after="0" w:line="246" w:lineRule="auto"/>
        <w:tabs>
          <w:tab w:leader="none" w:pos="187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Debt Issuances. The Borrowers shall make mandatory principal prepayments of the Loans in the manner set forth in clause (v) below in an amount equal to one hundred percent (100%) of the aggregate Net Cash Proceeds from any Debt Issuance of Refinancing Debt or any other Debt Issuance not otherwise permitted pursuant to Section 9.1. Such prepayment shall be made within three (3) Business Days after the date of receipt of the Net Cash Proceeds of any such Debt Issuance.</w:t>
      </w:r>
    </w:p>
    <w:p>
      <w:pPr>
        <w:spacing w:after="0" w:line="190" w:lineRule="exact"/>
        <w:rPr>
          <w:rFonts w:ascii="Arial" w:cs="Arial" w:eastAsia="Arial" w:hAnsi="Arial"/>
          <w:sz w:val="18"/>
          <w:szCs w:val="18"/>
          <w:color w:val="auto"/>
        </w:rPr>
      </w:pPr>
    </w:p>
    <w:p>
      <w:pPr>
        <w:jc w:val="both"/>
        <w:ind w:left="698" w:firstLine="652"/>
        <w:spacing w:after="0" w:line="235" w:lineRule="auto"/>
        <w:tabs>
          <w:tab w:leader="none" w:pos="188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Asset Dispositions and Insurance and Condemnation Events. The Borrowers shall make mandatory principal prepayments of the Loans in the manner set forth in clause (v) below in amounts equal to one hundred percent (100%) of the aggregate Net Cash Proceeds from (A) any Asset Disposition (other than any Asset Disposition permitted pursuant to, and in accordance with, clauses (a) through (p) of Section 9.5) or (B) any Insurance and Condemnation Event, to the extent that the aggregate amount of such Net Cash Proceeds, in the case of each of clauses (A) and (B), respectively, exceed $5,000,000 during any Fiscal Year. Such prepayments shall be made within three (3) Business Days after the date of receipt of the Net Cash Proceeds; provided that, so long as no Default or Event of Default has occurred and is continuing, no prepayment shall be required under this Section 4.4(b)(ii) with respect to such portion of such Net Cash Proceeds that Centuri shall have reinvested, or prior to such date given written notice to the Administrative Agent of its intent to reinvest in accordance with Section 4.4(b)(iii).</w:t>
      </w:r>
    </w:p>
    <w:p>
      <w:pPr>
        <w:spacing w:after="0" w:line="268" w:lineRule="exact"/>
        <w:rPr>
          <w:rFonts w:ascii="Arial" w:cs="Arial" w:eastAsia="Arial" w:hAnsi="Arial"/>
          <w:sz w:val="18"/>
          <w:szCs w:val="18"/>
          <w:color w:val="auto"/>
        </w:rPr>
      </w:pPr>
    </w:p>
    <w:p>
      <w:pPr>
        <w:jc w:val="both"/>
        <w:ind w:left="698" w:firstLine="652"/>
        <w:spacing w:after="0" w:line="227" w:lineRule="auto"/>
        <w:tabs>
          <w:tab w:leader="none" w:pos="1875" w:val="left"/>
        </w:tabs>
        <w:numPr>
          <w:ilvl w:val="1"/>
          <w:numId w:val="204"/>
        </w:numPr>
        <w:rPr>
          <w:rFonts w:ascii="Arial" w:cs="Arial" w:eastAsia="Arial" w:hAnsi="Arial"/>
          <w:sz w:val="20"/>
          <w:szCs w:val="20"/>
          <w:color w:val="auto"/>
        </w:rPr>
      </w:pPr>
      <w:r>
        <w:rPr>
          <w:rFonts w:ascii="Arial" w:cs="Arial" w:eastAsia="Arial" w:hAnsi="Arial"/>
          <w:sz w:val="20"/>
          <w:szCs w:val="20"/>
          <w:color w:val="auto"/>
        </w:rPr>
        <w:t>Reinvestment Option. With respect to any Net Cash Proceeds realized or received with respect to any Asset Disposition or any Insurance and Condemnation Event by any Credit Party of any Subsidiary thereof (in each case, to the extent not excluded pursuant to Section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0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5" w:name="page156"/>
    <w:bookmarkEnd w:id="155"/>
    <w:p>
      <w:pPr>
        <w:ind w:left="678"/>
        <w:spacing w:after="0"/>
        <w:rPr>
          <w:sz w:val="20"/>
          <w:szCs w:val="20"/>
          <w:color w:val="auto"/>
        </w:rPr>
      </w:pPr>
      <w:r>
        <w:rPr>
          <w:rFonts w:ascii="Arial" w:cs="Arial" w:eastAsia="Arial" w:hAnsi="Arial"/>
          <w:sz w:val="18"/>
          <w:szCs w:val="18"/>
          <w:color w:val="auto"/>
        </w:rPr>
        <w:t>4.4(b)(ii)), at the option of Centuri, the Credit Parties may reinvest all or any portion of such Net Cash Proceeds in assets used or</w:t>
      </w:r>
    </w:p>
    <w:p>
      <w:pPr>
        <w:spacing w:after="0" w:line="12" w:lineRule="exact"/>
        <w:rPr>
          <w:sz w:val="20"/>
          <w:szCs w:val="20"/>
          <w:color w:val="auto"/>
        </w:rPr>
      </w:pPr>
    </w:p>
    <w:p>
      <w:pPr>
        <w:ind w:left="678"/>
        <w:spacing w:after="0" w:line="226" w:lineRule="auto"/>
        <w:rPr>
          <w:sz w:val="20"/>
          <w:szCs w:val="20"/>
          <w:color w:val="auto"/>
        </w:rPr>
      </w:pPr>
      <w:r>
        <w:rPr>
          <w:rFonts w:ascii="Arial" w:cs="Arial" w:eastAsia="Arial" w:hAnsi="Arial"/>
          <w:sz w:val="18"/>
          <w:szCs w:val="18"/>
          <w:color w:val="auto"/>
        </w:rPr>
        <w:t>useful for the business of the Credit Parties and their Subsidiaries within (x) twelve (12) months following receipt of such Net Cash Proceeds or (y) if such Credit Party enters into a bona fide commitment to reinvest such Net Cash Proceeds within twelve</w:t>
      </w:r>
    </w:p>
    <w:p>
      <w:pPr>
        <w:spacing w:after="0" w:line="2" w:lineRule="exact"/>
        <w:rPr>
          <w:sz w:val="20"/>
          <w:szCs w:val="20"/>
          <w:color w:val="auto"/>
        </w:rPr>
      </w:pPr>
    </w:p>
    <w:p>
      <w:pPr>
        <w:jc w:val="both"/>
        <w:ind w:left="678" w:firstLine="6"/>
        <w:spacing w:after="0" w:line="223" w:lineRule="auto"/>
        <w:tabs>
          <w:tab w:leader="none" w:pos="1063" w:val="left"/>
        </w:tabs>
        <w:numPr>
          <w:ilvl w:val="0"/>
          <w:numId w:val="206"/>
        </w:numPr>
        <w:rPr>
          <w:rFonts w:ascii="Arial" w:cs="Arial" w:eastAsia="Arial" w:hAnsi="Arial"/>
          <w:sz w:val="19"/>
          <w:szCs w:val="19"/>
          <w:color w:val="auto"/>
        </w:rPr>
      </w:pPr>
      <w:r>
        <w:rPr>
          <w:rFonts w:ascii="Arial" w:cs="Arial" w:eastAsia="Arial" w:hAnsi="Arial"/>
          <w:sz w:val="19"/>
          <w:szCs w:val="19"/>
          <w:color w:val="auto"/>
        </w:rPr>
        <w:t>months following receipt thereof, within the later of (A) twelve (12) months following receipt thereof and (B) six (6) months of the date of such commitment; provided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Section 4.4(b); provided further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195" w:lineRule="exact"/>
        <w:rPr>
          <w:rFonts w:ascii="Arial" w:cs="Arial" w:eastAsia="Arial" w:hAnsi="Arial"/>
          <w:sz w:val="19"/>
          <w:szCs w:val="19"/>
          <w:color w:val="auto"/>
        </w:rPr>
      </w:pPr>
    </w:p>
    <w:p>
      <w:pPr>
        <w:jc w:val="both"/>
        <w:ind w:left="678" w:firstLine="654"/>
        <w:spacing w:after="0" w:line="221" w:lineRule="auto"/>
        <w:tabs>
          <w:tab w:leader="none" w:pos="188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Excess Cash Flow. After the end of each Fiscal Year (commencing with the Fiscal Year ending December 31, 2022), within five (5) Business Days after the earlier to occur of (x) the actual delivery of the financial statements and related Officer’s Compliance Certificate for such Fiscal Year and (y) the date on which the financial statements and the related Officer’s Compliance Certificate for such Fiscal Year are required to be delivered pursuant to Section 8.1(a) and Section 8.2(a), the Borrowers shall make mandatory principal prepayments of the Loans in the manner set forth in clause (v) below in an amount equal to (A) the applicable ECF Percentage for such Fiscal Year times Excess Cash Flow for such Fiscal Year minus (B) the aggregate amount of (i) all optional prepayments of Revolving Credit Loans during such Fiscal Year (solely to the extent accompanied by permanent optional reductions in the Revolving Credit Commitment) and (ii) all optional prepayments of any Term Loans during such Fiscal Year, in each case to the extent that such prepayments are not funded with the incurrence of any Indebtedness, any Equity Issuance, any casualty proceeds, any condemnation proceeds or any other proceeds that would not be included in Consolidated EBITDA; provided, that, so long as no Event of Default has occurred and is continuing or would result therefrom, no such prepayments shall be required unless Excess Cash Flow for such year equals or exceeds $5,000,000, at which point the Borrowers shall cause to be prepaid an aggregate principal amount of Loans equal to the applicable percentage of Excess Cash Flow as set forth herein from the first dollar.</w:t>
      </w:r>
    </w:p>
    <w:p>
      <w:pPr>
        <w:spacing w:after="0" w:line="207" w:lineRule="exact"/>
        <w:rPr>
          <w:rFonts w:ascii="Arial" w:cs="Arial" w:eastAsia="Arial" w:hAnsi="Arial"/>
          <w:sz w:val="19"/>
          <w:szCs w:val="19"/>
          <w:color w:val="auto"/>
        </w:rPr>
      </w:pPr>
    </w:p>
    <w:p>
      <w:pPr>
        <w:jc w:val="both"/>
        <w:ind w:left="678" w:firstLine="654"/>
        <w:spacing w:after="0" w:line="221" w:lineRule="auto"/>
        <w:tabs>
          <w:tab w:leader="none" w:pos="1883" w:val="left"/>
        </w:tabs>
        <w:numPr>
          <w:ilvl w:val="1"/>
          <w:numId w:val="206"/>
        </w:numPr>
        <w:rPr>
          <w:rFonts w:ascii="Arial" w:cs="Arial" w:eastAsia="Arial" w:hAnsi="Arial"/>
          <w:sz w:val="19"/>
          <w:szCs w:val="19"/>
          <w:color w:val="auto"/>
        </w:rPr>
      </w:pPr>
      <w:r>
        <w:rPr>
          <w:rFonts w:ascii="Arial" w:cs="Arial" w:eastAsia="Arial" w:hAnsi="Arial"/>
          <w:sz w:val="19"/>
          <w:szCs w:val="19"/>
          <w:color w:val="auto"/>
        </w:rPr>
        <w:t>Notice; Manner of Payment. Upon the occurrence of any event triggering the prepayment requirement under clauses (i) through and including (iv) above, the applicable Borrower shall promptly deliver a Notice of Prepayment to the Administrative Agent and upon receipt of such notice, the Administrative Agent shall promptly so notify the Lenders. Each prepayment of the Loans under this Section shall be applied as follows: first, ratably between the Initial Term Loan and any Incremental Term Loans to reduce on a pro rata basis (applied to reduce the remaining scheduled principal installments of the Initial Term Loan and any Incremental Term Loans on a pro rata basis) and (ii) second, to the extent of any excess, to repay the Revolving Credit Loans pursuant to Section 2.4(d), without a corresponding reduction in the Revolving Credit Commitment. Proceeds of any Refinancing Debt shall be applied solely to prepay each applicable Class of Term Loans and/or Revolving Credit Loans subject to such Refinance. Notwithstanding the foregoing, with respect to any Net Cash Proceeds from any Asset Disposition or Insurance and Condemnation Event, the applicable Borrower may prepay Term Loans and prepay or purchase any Refinancing Notes or Incremental Equivalent Indebtedness that is secured by the Collateral on a pari passu basis (at a purchase price no greater than par plus accrued and unpaid interest), to the extent required thereby, on a pro rata basis in accordance with the respective outstanding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0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56" w:name="page157"/>
    <w:bookmarkEnd w:id="156"/>
    <w:p>
      <w:pPr>
        <w:spacing w:after="0" w:line="209" w:lineRule="exact"/>
        <w:rPr>
          <w:sz w:val="20"/>
          <w:szCs w:val="20"/>
          <w:color w:val="auto"/>
        </w:rPr>
      </w:pPr>
    </w:p>
    <w:p>
      <w:pPr>
        <w:ind w:left="678" w:right="260"/>
        <w:spacing w:after="0" w:line="236" w:lineRule="auto"/>
        <w:rPr>
          <w:sz w:val="20"/>
          <w:szCs w:val="20"/>
          <w:color w:val="auto"/>
        </w:rPr>
      </w:pPr>
      <w:r>
        <w:rPr>
          <w:rFonts w:ascii="Arial" w:cs="Arial" w:eastAsia="Arial" w:hAnsi="Arial"/>
          <w:sz w:val="20"/>
          <w:szCs w:val="20"/>
          <w:color w:val="auto"/>
        </w:rPr>
        <w:t>amounts of the Term Loans and such Refinancing Notes or Incremental Equivalent Indebtedness as of the time of the applicable Asset Disposition or Insurance and Condemnation Event.</w:t>
      </w:r>
    </w:p>
    <w:p>
      <w:pPr>
        <w:spacing w:after="0" w:line="196" w:lineRule="exact"/>
        <w:rPr>
          <w:sz w:val="20"/>
          <w:szCs w:val="20"/>
          <w:color w:val="auto"/>
        </w:rPr>
      </w:pPr>
    </w:p>
    <w:p>
      <w:pPr>
        <w:jc w:val="both"/>
        <w:ind w:left="678" w:firstLine="654"/>
        <w:spacing w:after="0" w:line="212" w:lineRule="auto"/>
        <w:tabs>
          <w:tab w:leader="none" w:pos="187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Rejection Right. Each Term Loan Lender may reject all (but not less than all) of its pro rata share of any mandatory prepayment (except in the case of any prepayment of Term Loans in accordance with Section 4.4(b)(i) with the proceeds of Refinancing Debt) (such declined amounts, the “Declined Proceeds”) of Term Loans required to be made pursuant to Section 4.4(b) by providing written notice to the Administrative Agent no later than 5:00 p.m. one Business Day after the date of such Lender’s receipt of notice from the Administrative Agent regarding such prepayment. If a Lender fails to deliver a notice of rejection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Borrowers and used for any purpose not prohibited by this Agreement.</w:t>
      </w:r>
    </w:p>
    <w:p>
      <w:pPr>
        <w:spacing w:after="0" w:line="210" w:lineRule="exact"/>
        <w:rPr>
          <w:rFonts w:ascii="Arial" w:cs="Arial" w:eastAsia="Arial" w:hAnsi="Arial"/>
          <w:sz w:val="20"/>
          <w:szCs w:val="20"/>
          <w:color w:val="auto"/>
        </w:rPr>
      </w:pPr>
    </w:p>
    <w:p>
      <w:pPr>
        <w:jc w:val="both"/>
        <w:ind w:left="678" w:firstLine="654"/>
        <w:spacing w:after="0" w:line="233" w:lineRule="auto"/>
        <w:tabs>
          <w:tab w:leader="none" w:pos="18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Prepayment of LIBOR Rate </w:t>
      </w:r>
      <w:r>
        <w:rPr>
          <w:rFonts w:ascii="Arial" w:cs="Arial" w:eastAsia="Arial" w:hAnsi="Arial"/>
          <w:sz w:val="18"/>
          <w:szCs w:val="18"/>
          <w:color w:val="0000FF"/>
        </w:rPr>
        <w:t>Loans, SOFR</w:t>
      </w:r>
      <w:r>
        <w:rPr>
          <w:rFonts w:ascii="Arial" w:cs="Arial" w:eastAsia="Arial" w:hAnsi="Arial"/>
          <w:sz w:val="18"/>
          <w:szCs w:val="18"/>
          <w:color w:val="auto"/>
        </w:rPr>
        <w:t xml:space="preserve"> Loans and CDOR Rate Loans. Each prepayment shall be accompanied by any amount required to be paid pursuant to Section 5.9; provided that, so long as no Default or Event of Default shall have occurred and be continuing, if any prepayment of LIBOR Rate Loans</w:t>
      </w:r>
      <w:r>
        <w:rPr>
          <w:rFonts w:ascii="Arial" w:cs="Arial" w:eastAsia="Arial" w:hAnsi="Arial"/>
          <w:sz w:val="18"/>
          <w:szCs w:val="18"/>
          <w:color w:val="0000FF"/>
        </w:rPr>
        <w:t>, SOFR Loans</w:t>
      </w:r>
      <w:r>
        <w:rPr>
          <w:rFonts w:ascii="Arial" w:cs="Arial" w:eastAsia="Arial" w:hAnsi="Arial"/>
          <w:sz w:val="18"/>
          <w:szCs w:val="18"/>
          <w:color w:val="auto"/>
        </w:rPr>
        <w:t xml:space="preserve"> or CDOR Rate Loans is required to be made under this Section 4.4(b) prior to the last day of the Interest Period therefor, in lieu of making any payment pursuant to this Section 4.4(b) in respect of any such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Section 4.4(b).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Section 4.4(b).</w:t>
      </w:r>
    </w:p>
    <w:p>
      <w:pPr>
        <w:spacing w:after="0" w:line="263" w:lineRule="exact"/>
        <w:rPr>
          <w:rFonts w:ascii="Arial" w:cs="Arial" w:eastAsia="Arial" w:hAnsi="Arial"/>
          <w:sz w:val="18"/>
          <w:szCs w:val="18"/>
          <w:color w:val="auto"/>
        </w:rPr>
      </w:pPr>
    </w:p>
    <w:p>
      <w:pPr>
        <w:ind w:left="1878" w:hanging="546"/>
        <w:spacing w:after="0"/>
        <w:tabs>
          <w:tab w:leader="none" w:pos="1878" w:val="left"/>
        </w:tabs>
        <w:numPr>
          <w:ilvl w:val="1"/>
          <w:numId w:val="208"/>
        </w:numPr>
        <w:rPr>
          <w:rFonts w:ascii="Arial" w:cs="Arial" w:eastAsia="Arial" w:hAnsi="Arial"/>
          <w:sz w:val="19"/>
          <w:szCs w:val="19"/>
          <w:color w:val="auto"/>
        </w:rPr>
      </w:pPr>
      <w:r>
        <w:rPr>
          <w:rFonts w:ascii="Arial" w:cs="Arial" w:eastAsia="Arial" w:hAnsi="Arial"/>
          <w:sz w:val="19"/>
          <w:szCs w:val="19"/>
          <w:color w:val="auto"/>
        </w:rPr>
        <w:t>No Reborrowings. Amounts prepaid under the Term Loan pursuant to this Section may not be reborrowed.</w:t>
      </w:r>
    </w:p>
    <w:p>
      <w:pPr>
        <w:spacing w:after="0" w:line="240" w:lineRule="exact"/>
        <w:rPr>
          <w:rFonts w:ascii="Arial" w:cs="Arial" w:eastAsia="Arial" w:hAnsi="Arial"/>
          <w:sz w:val="19"/>
          <w:szCs w:val="19"/>
          <w:color w:val="auto"/>
        </w:rPr>
      </w:pPr>
    </w:p>
    <w:p>
      <w:pPr>
        <w:jc w:val="both"/>
        <w:ind w:left="38" w:firstLine="646"/>
        <w:spacing w:after="0" w:line="238" w:lineRule="auto"/>
        <w:tabs>
          <w:tab w:leader="none" w:pos="124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Call Premium. In connection with any Repricing Transaction that is consummated in respect of all or any portion of the Initial Term Loans, during the six (6) month period following the Closing Date, the Borrower shall pay to the Administrative Agent, for the ratable benefit each Term Loan Lender, a fee equal to 1.0% of the aggregate principal amount of the Initial Term Loans of such Term Loan Lender subject to such Repricing Transaction (it being understood that any such fees under clause (b) of the definition of “Repricing Transaction” shall be paid to each Non-Consenting Lender that is replaced in such Repricing Transaction pursuant to Section 5.12(b)). Such fees shall be due and payable within three (3) Business Days of the date of the effectiveness of such Repricing Transaction.</w:t>
      </w:r>
    </w:p>
    <w:p>
      <w:pPr>
        <w:spacing w:after="0" w:line="334" w:lineRule="exact"/>
        <w:rPr>
          <w:sz w:val="20"/>
          <w:szCs w:val="20"/>
          <w:color w:val="auto"/>
        </w:rPr>
      </w:pPr>
    </w:p>
    <w:p>
      <w:pPr>
        <w:jc w:val="center"/>
        <w:ind w:right="-197"/>
        <w:spacing w:after="0"/>
        <w:rPr>
          <w:sz w:val="20"/>
          <w:szCs w:val="20"/>
          <w:color w:val="auto"/>
        </w:rPr>
      </w:pPr>
      <w:r>
        <w:rPr>
          <w:rFonts w:ascii="Arial" w:cs="Arial" w:eastAsia="Arial" w:hAnsi="Arial"/>
          <w:sz w:val="20"/>
          <w:szCs w:val="20"/>
          <w:color w:val="auto"/>
        </w:rPr>
        <w:t>ARTICLE V GENERAL LOAN PROVISIONS</w:t>
      </w:r>
    </w:p>
    <w:p>
      <w:pPr>
        <w:spacing w:after="0" w:line="108" w:lineRule="exact"/>
        <w:rPr>
          <w:sz w:val="20"/>
          <w:szCs w:val="20"/>
          <w:color w:val="auto"/>
        </w:rPr>
      </w:pPr>
    </w:p>
    <w:p>
      <w:pPr>
        <w:ind w:left="678"/>
        <w:spacing w:after="0"/>
        <w:tabs>
          <w:tab w:leader="none" w:pos="1998"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6"/>
          <w:szCs w:val="16"/>
          <w:color w:val="auto"/>
        </w:rPr>
        <w:t>Interest.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21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7" w:name="page158"/>
    <w:bookmarkEnd w:id="157"/>
    <w:p>
      <w:pPr>
        <w:ind w:left="58" w:right="720" w:firstLine="644"/>
        <w:spacing w:after="0" w:line="236" w:lineRule="auto"/>
        <w:tabs>
          <w:tab w:leader="none" w:pos="1234" w:val="left"/>
        </w:tabs>
        <w:numPr>
          <w:ilvl w:val="0"/>
          <w:numId w:val="211"/>
        </w:numPr>
        <w:rPr>
          <w:rFonts w:ascii="Arial" w:cs="Arial" w:eastAsia="Arial" w:hAnsi="Arial"/>
          <w:sz w:val="20"/>
          <w:szCs w:val="20"/>
          <w:color w:val="auto"/>
        </w:rPr>
      </w:pPr>
      <w:r>
        <w:rPr>
          <w:rFonts w:ascii="Arial" w:cs="Arial" w:eastAsia="Arial" w:hAnsi="Arial"/>
          <w:sz w:val="20"/>
          <w:szCs w:val="20"/>
          <w:color w:val="auto"/>
        </w:rPr>
        <w:t>Interest Rate Options. Subject to the provisions of this Section, at the election of the US Borrowers or the Canadian Borrowers, as applicable:</w:t>
      </w:r>
    </w:p>
    <w:p>
      <w:pPr>
        <w:spacing w:after="0" w:line="195" w:lineRule="exact"/>
        <w:rPr>
          <w:rFonts w:ascii="Arial" w:cs="Arial" w:eastAsia="Arial" w:hAnsi="Arial"/>
          <w:sz w:val="20"/>
          <w:szCs w:val="20"/>
          <w:color w:val="auto"/>
        </w:rPr>
      </w:pPr>
    </w:p>
    <w:p>
      <w:pPr>
        <w:jc w:val="both"/>
        <w:ind w:left="698" w:firstLine="652"/>
        <w:spacing w:after="0" w:line="237" w:lineRule="auto"/>
        <w:tabs>
          <w:tab w:leader="none" w:pos="1929" w:val="left"/>
        </w:tabs>
        <w:numPr>
          <w:ilvl w:val="1"/>
          <w:numId w:val="211"/>
        </w:numPr>
        <w:rPr>
          <w:rFonts w:ascii="Arial" w:cs="Arial" w:eastAsia="Arial" w:hAnsi="Arial"/>
          <w:sz w:val="18"/>
          <w:szCs w:val="18"/>
          <w:color w:val="auto"/>
        </w:rPr>
      </w:pPr>
      <w:r>
        <w:rPr>
          <w:rFonts w:ascii="Arial" w:cs="Arial" w:eastAsia="Arial" w:hAnsi="Arial"/>
          <w:sz w:val="18"/>
          <w:szCs w:val="18"/>
          <w:color w:val="0000FF"/>
        </w:rPr>
        <w:t xml:space="preserve">(A) </w:t>
      </w:r>
      <w:r>
        <w:rPr>
          <w:rFonts w:ascii="Arial" w:cs="Arial" w:eastAsia="Arial" w:hAnsi="Arial"/>
          <w:sz w:val="18"/>
          <w:szCs w:val="18"/>
          <w:color w:val="000000"/>
        </w:rPr>
        <w:t>US Revolving Credit</w:t>
      </w:r>
      <w:r>
        <w:rPr>
          <w:rFonts w:ascii="Arial" w:cs="Arial" w:eastAsia="Arial" w:hAnsi="Arial"/>
          <w:sz w:val="18"/>
          <w:szCs w:val="18"/>
          <w:color w:val="0000FF"/>
        </w:rPr>
        <w:t xml:space="preserve"> </w:t>
      </w:r>
      <w:r>
        <w:rPr>
          <w:rFonts w:ascii="Arial" w:cs="Arial" w:eastAsia="Arial" w:hAnsi="Arial"/>
          <w:sz w:val="18"/>
          <w:szCs w:val="18"/>
          <w:color w:val="00C000"/>
        </w:rPr>
        <w:t>Loans and</w:t>
      </w:r>
      <w:r>
        <w:rPr>
          <w:rFonts w:ascii="Arial" w:cs="Arial" w:eastAsia="Arial" w:hAnsi="Arial"/>
          <w:sz w:val="18"/>
          <w:szCs w:val="18"/>
          <w:color w:val="0000FF"/>
        </w:rPr>
        <w:t xml:space="preserve"> </w:t>
      </w:r>
      <w:r>
        <w:rPr>
          <w:rFonts w:ascii="Arial" w:cs="Arial" w:eastAsia="Arial" w:hAnsi="Arial"/>
          <w:sz w:val="18"/>
          <w:szCs w:val="18"/>
          <w:color w:val="FF0000"/>
        </w:rPr>
        <w:t>any Term</w:t>
      </w:r>
      <w:r>
        <w:rPr>
          <w:rFonts w:ascii="Arial" w:cs="Arial" w:eastAsia="Arial" w:hAnsi="Arial"/>
          <w:sz w:val="18"/>
          <w:szCs w:val="18"/>
          <w:color w:val="0000FF"/>
        </w:rPr>
        <w:t xml:space="preserve"> </w:t>
      </w:r>
      <w:r>
        <w:rPr>
          <w:rFonts w:ascii="Arial" w:cs="Arial" w:eastAsia="Arial" w:hAnsi="Arial"/>
          <w:sz w:val="18"/>
          <w:szCs w:val="18"/>
          <w:color w:val="000000"/>
        </w:rPr>
        <w:t>Loans denominated in Dollars shall bear interest at (</w:t>
      </w:r>
      <w:r>
        <w:rPr>
          <w:rFonts w:ascii="Arial" w:cs="Arial" w:eastAsia="Arial" w:hAnsi="Arial"/>
          <w:sz w:val="18"/>
          <w:szCs w:val="18"/>
          <w:color w:val="FF0000"/>
          <w:strike w:val="1"/>
        </w:rPr>
        <w:t>A</w:t>
      </w:r>
      <w:r>
        <w:rPr>
          <w:rFonts w:ascii="Arial" w:cs="Arial" w:eastAsia="Arial" w:hAnsi="Arial"/>
          <w:sz w:val="18"/>
          <w:szCs w:val="18"/>
          <w:color w:val="0000FF"/>
        </w:rPr>
        <w:t>1</w:t>
      </w:r>
      <w:r>
        <w:rPr>
          <w:rFonts w:ascii="Arial" w:cs="Arial" w:eastAsia="Arial" w:hAnsi="Arial"/>
          <w:sz w:val="18"/>
          <w:szCs w:val="18"/>
          <w:color w:val="000000"/>
        </w:rPr>
        <w:t>) the Base</w:t>
      </w:r>
      <w:r>
        <w:rPr>
          <w:rFonts w:ascii="Arial" w:cs="Arial" w:eastAsia="Arial" w:hAnsi="Arial"/>
          <w:sz w:val="18"/>
          <w:szCs w:val="18"/>
          <w:color w:val="0000FF"/>
        </w:rPr>
        <w:t xml:space="preserve"> </w:t>
      </w:r>
      <w:r>
        <w:rPr>
          <w:rFonts w:ascii="Arial" w:cs="Arial" w:eastAsia="Arial" w:hAnsi="Arial"/>
          <w:sz w:val="18"/>
          <w:szCs w:val="18"/>
          <w:color w:val="000000"/>
        </w:rPr>
        <w:t>Rate plus the Applicable Margin or (</w:t>
      </w:r>
      <w:r>
        <w:rPr>
          <w:rFonts w:ascii="Arial" w:cs="Arial" w:eastAsia="Arial" w:hAnsi="Arial"/>
          <w:sz w:val="18"/>
          <w:szCs w:val="18"/>
          <w:color w:val="FF0000"/>
          <w:strike w:val="1"/>
        </w:rPr>
        <w:t>B</w:t>
      </w:r>
      <w:r>
        <w:rPr>
          <w:rFonts w:ascii="Arial" w:cs="Arial" w:eastAsia="Arial" w:hAnsi="Arial"/>
          <w:sz w:val="18"/>
          <w:szCs w:val="18"/>
          <w:color w:val="0000FF"/>
        </w:rPr>
        <w:t>2) Adjusted Term SOFR plus the Applicable Margin (provided that Adjusted Term SOFR</w:t>
      </w:r>
      <w:r>
        <w:rPr>
          <w:rFonts w:ascii="Arial" w:cs="Arial" w:eastAsia="Arial" w:hAnsi="Arial"/>
          <w:sz w:val="18"/>
          <w:szCs w:val="18"/>
          <w:color w:val="000000"/>
        </w:rPr>
        <w:t xml:space="preserve"> </w:t>
      </w:r>
      <w:r>
        <w:rPr>
          <w:rFonts w:ascii="Arial" w:cs="Arial" w:eastAsia="Arial" w:hAnsi="Arial"/>
          <w:sz w:val="18"/>
          <w:szCs w:val="18"/>
          <w:color w:val="0000FF"/>
        </w:rPr>
        <w:t>shall not be available until three (3) US Government Securities Business Days after the First Amendment Effective Date unless the US Borrowers have delivered to the Administrative Agent a letter in form and substance reasonably satisfactory to the Administrative Agent indemnifying the Lenders in the manner set forth in Section 5.9 of this Agreement) and (B) Term Loans denominated in Dollars shall bear interest at (1) the Base Rate plus the Applicable Margin or (2</w:t>
      </w:r>
      <w:r>
        <w:rPr>
          <w:rFonts w:ascii="Arial" w:cs="Arial" w:eastAsia="Arial" w:hAnsi="Arial"/>
          <w:sz w:val="18"/>
          <w:szCs w:val="18"/>
          <w:color w:val="000000"/>
        </w:rPr>
        <w:t>) the LIBOR Rate plus the</w:t>
      </w:r>
      <w:r>
        <w:rPr>
          <w:rFonts w:ascii="Arial" w:cs="Arial" w:eastAsia="Arial" w:hAnsi="Arial"/>
          <w:sz w:val="18"/>
          <w:szCs w:val="18"/>
          <w:color w:val="0000FF"/>
        </w:rPr>
        <w:t xml:space="preserve"> </w:t>
      </w:r>
      <w:r>
        <w:rPr>
          <w:rFonts w:ascii="Arial" w:cs="Arial" w:eastAsia="Arial" w:hAnsi="Arial"/>
          <w:sz w:val="18"/>
          <w:szCs w:val="18"/>
          <w:color w:val="000000"/>
        </w:rPr>
        <w:t>Applicable Margin (provided that the LIBOR Rate shall not be available until three (3) Business Days after the Closing Date unless the US Borrowers have delivered to the Administrative Agent a letter in form and substance reasonably satisfactory to the Administrative Agent indemnifying the Lenders in the manner set forth in Section 5.9 of this Agreement</w:t>
      </w:r>
      <w:r>
        <w:rPr>
          <w:rFonts w:ascii="Arial" w:cs="Arial" w:eastAsia="Arial" w:hAnsi="Arial"/>
          <w:sz w:val="18"/>
          <w:szCs w:val="18"/>
          <w:color w:val="FF0000"/>
        </w:rPr>
        <w:t>)</w:t>
      </w:r>
      <w:r>
        <w:rPr>
          <w:rFonts w:ascii="Arial" w:cs="Arial" w:eastAsia="Arial" w:hAnsi="Arial"/>
          <w:sz w:val="18"/>
          <w:szCs w:val="18"/>
          <w:color w:val="000000"/>
        </w:rPr>
        <w:t>;</w:t>
      </w:r>
    </w:p>
    <w:p>
      <w:pPr>
        <w:spacing w:after="0" w:line="252" w:lineRule="exact"/>
        <w:rPr>
          <w:rFonts w:ascii="Arial" w:cs="Arial" w:eastAsia="Arial" w:hAnsi="Arial"/>
          <w:sz w:val="18"/>
          <w:szCs w:val="18"/>
          <w:color w:val="auto"/>
        </w:rPr>
      </w:pPr>
    </w:p>
    <w:p>
      <w:pPr>
        <w:jc w:val="both"/>
        <w:ind w:left="698" w:firstLine="652"/>
        <w:spacing w:after="0" w:line="229" w:lineRule="auto"/>
        <w:tabs>
          <w:tab w:leader="none" w:pos="1887" w:val="left"/>
        </w:tabs>
        <w:numPr>
          <w:ilvl w:val="1"/>
          <w:numId w:val="211"/>
        </w:numPr>
        <w:rPr>
          <w:rFonts w:ascii="Arial" w:cs="Arial" w:eastAsia="Arial" w:hAnsi="Arial"/>
          <w:sz w:val="19"/>
          <w:szCs w:val="19"/>
          <w:color w:val="auto"/>
        </w:rPr>
      </w:pPr>
      <w:r>
        <w:rPr>
          <w:rFonts w:ascii="Arial" w:cs="Arial" w:eastAsia="Arial" w:hAnsi="Arial"/>
          <w:sz w:val="19"/>
          <w:szCs w:val="19"/>
          <w:color w:val="auto"/>
        </w:rPr>
        <w:t>Canadian Revolving Credit Loans and Term Loans denominated in Canadian Dollars shall bear interest at (A) the Canadian Base Rate plus the Applicable Margin or (B) the CDOR Rate plus the Applicable Margin (provided that the CDOR Rate shall not be available until four (4) Business Days after the Closing Date unless the Canadian Borrowers have delivered to the Administrative Agent a letter in form and substance reasonably satisfactory to the Administrative Agent indemnifying the Lenders in the manner set forth in Section 5.9 of this Agreement);</w:t>
      </w:r>
    </w:p>
    <w:p>
      <w:pPr>
        <w:spacing w:after="0" w:line="267" w:lineRule="exact"/>
        <w:rPr>
          <w:rFonts w:ascii="Arial" w:cs="Arial" w:eastAsia="Arial" w:hAnsi="Arial"/>
          <w:sz w:val="19"/>
          <w:szCs w:val="19"/>
          <w:color w:val="auto"/>
        </w:rPr>
      </w:pPr>
    </w:p>
    <w:p>
      <w:pPr>
        <w:ind w:left="1878" w:hanging="528"/>
        <w:spacing w:after="0"/>
        <w:tabs>
          <w:tab w:leader="none" w:pos="1878" w:val="left"/>
        </w:tabs>
        <w:numPr>
          <w:ilvl w:val="1"/>
          <w:numId w:val="211"/>
        </w:numPr>
        <w:rPr>
          <w:rFonts w:ascii="Arial" w:cs="Arial" w:eastAsia="Arial" w:hAnsi="Arial"/>
          <w:sz w:val="20"/>
          <w:szCs w:val="20"/>
          <w:color w:val="auto"/>
        </w:rPr>
      </w:pPr>
      <w:r>
        <w:rPr>
          <w:rFonts w:ascii="Arial" w:cs="Arial" w:eastAsia="Arial" w:hAnsi="Arial"/>
          <w:sz w:val="20"/>
          <w:szCs w:val="20"/>
          <w:color w:val="auto"/>
        </w:rPr>
        <w:t>US Swingline Loans shall bear interest at the Base Rate plus the Applicable Margin; and</w:t>
      </w:r>
    </w:p>
    <w:p>
      <w:pPr>
        <w:spacing w:after="0" w:line="215" w:lineRule="exact"/>
        <w:rPr>
          <w:rFonts w:ascii="Arial" w:cs="Arial" w:eastAsia="Arial" w:hAnsi="Arial"/>
          <w:sz w:val="20"/>
          <w:szCs w:val="20"/>
          <w:color w:val="auto"/>
        </w:rPr>
      </w:pPr>
    </w:p>
    <w:p>
      <w:pPr>
        <w:ind w:left="1898" w:hanging="548"/>
        <w:spacing w:after="0"/>
        <w:tabs>
          <w:tab w:leader="none" w:pos="1898" w:val="left"/>
        </w:tabs>
        <w:numPr>
          <w:ilvl w:val="1"/>
          <w:numId w:val="211"/>
        </w:numPr>
        <w:rPr>
          <w:rFonts w:ascii="Arial" w:cs="Arial" w:eastAsia="Arial" w:hAnsi="Arial"/>
          <w:sz w:val="20"/>
          <w:szCs w:val="20"/>
          <w:color w:val="auto"/>
        </w:rPr>
      </w:pPr>
      <w:r>
        <w:rPr>
          <w:rFonts w:ascii="Arial" w:cs="Arial" w:eastAsia="Arial" w:hAnsi="Arial"/>
          <w:sz w:val="20"/>
          <w:szCs w:val="20"/>
          <w:color w:val="auto"/>
        </w:rPr>
        <w:t>Canadian Swingline Loans shall bear interest at the Canadian Base Rate plus the Applicable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-2509520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ind w:left="58" w:firstLine="648"/>
        <w:spacing w:after="0" w:line="236" w:lineRule="auto"/>
        <w:rPr>
          <w:sz w:val="20"/>
          <w:szCs w:val="20"/>
          <w:color w:val="auto"/>
        </w:rPr>
      </w:pPr>
      <w:r>
        <w:rPr>
          <w:rFonts w:ascii="Arial" w:cs="Arial" w:eastAsia="Arial" w:hAnsi="Arial"/>
          <w:sz w:val="18"/>
          <w:szCs w:val="18"/>
          <w:color w:val="auto"/>
        </w:rPr>
        <w:t>The US Borrowers or the Canadian Borrowers, as applicable, shall select the rate of interest and Interest Period, if any, applicable to any Loan at the time a Notice of Borrowing is given or at the time a Notice of Conversion/Continuation is given pursuant to Section 5.2.</w:t>
      </w:r>
    </w:p>
    <w:p>
      <w:pPr>
        <w:ind w:left="58"/>
        <w:spacing w:after="0" w:line="222" w:lineRule="auto"/>
        <w:rPr>
          <w:sz w:val="20"/>
          <w:szCs w:val="20"/>
          <w:color w:val="auto"/>
        </w:rPr>
      </w:pPr>
      <w:r>
        <w:rPr>
          <w:rFonts w:ascii="Arial" w:cs="Arial" w:eastAsia="Arial" w:hAnsi="Arial"/>
          <w:sz w:val="19"/>
          <w:szCs w:val="19"/>
          <w:color w:val="auto"/>
        </w:rPr>
        <w:t>Any US Revolving Credit Loan or Term Loan denominated in Dollars or any portion thereof as to which a US Borrower has not duly</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specified an interest rate as provided herein shall be deemed a Base Rate Loan. Any Canadian Revolving Credit Loan or Term Loan denominated in Canadian Dollars or any portion thereof as to which a Canadian Borrower has not duly specified an interest rate as</w:t>
      </w:r>
    </w:p>
    <w:p>
      <w:pPr>
        <w:ind w:left="58"/>
        <w:spacing w:after="0" w:line="236" w:lineRule="auto"/>
        <w:rPr>
          <w:sz w:val="20"/>
          <w:szCs w:val="20"/>
          <w:color w:val="auto"/>
        </w:rPr>
      </w:pPr>
      <w:r>
        <w:rPr>
          <w:rFonts w:ascii="Arial" w:cs="Arial" w:eastAsia="Arial" w:hAnsi="Arial"/>
          <w:sz w:val="18"/>
          <w:szCs w:val="18"/>
          <w:color w:val="auto"/>
        </w:rPr>
        <w:t xml:space="preserve">provided herein shall be deemed a Canadian Base Rate Loan. Subject to Section 5.1(b), any LIBOR Rate </w:t>
      </w:r>
      <w:r>
        <w:rPr>
          <w:rFonts w:ascii="Arial" w:cs="Arial" w:eastAsia="Arial" w:hAnsi="Arial"/>
          <w:sz w:val="18"/>
          <w:szCs w:val="18"/>
          <w:color w:val="0000FF"/>
        </w:rPr>
        <w:t>Loan, SOFR</w:t>
      </w:r>
      <w:r>
        <w:rPr>
          <w:rFonts w:ascii="Arial" w:cs="Arial" w:eastAsia="Arial" w:hAnsi="Arial"/>
          <w:sz w:val="18"/>
          <w:szCs w:val="18"/>
          <w:color w:val="auto"/>
        </w:rPr>
        <w:t xml:space="preserve"> Loan or CDOR</w:t>
      </w:r>
    </w:p>
    <w:p>
      <w:pPr>
        <w:spacing w:after="0" w:line="1" w:lineRule="exact"/>
        <w:rPr>
          <w:sz w:val="20"/>
          <w:szCs w:val="20"/>
          <w:color w:val="auto"/>
        </w:rPr>
      </w:pPr>
    </w:p>
    <w:p>
      <w:pPr>
        <w:ind w:left="58" w:right="20"/>
        <w:spacing w:after="0" w:line="220" w:lineRule="auto"/>
        <w:rPr>
          <w:sz w:val="20"/>
          <w:szCs w:val="20"/>
          <w:color w:val="auto"/>
        </w:rPr>
      </w:pPr>
      <w:r>
        <w:rPr>
          <w:rFonts w:ascii="Arial" w:cs="Arial" w:eastAsia="Arial" w:hAnsi="Arial"/>
          <w:sz w:val="20"/>
          <w:szCs w:val="20"/>
          <w:color w:val="auto"/>
        </w:rPr>
        <w:t>Rate Loan or any portion thereof as to which the applicable Borrower has not duly specified an Interest Period as provided herein shall be deemed a LIBOR Rate Loan</w:t>
      </w:r>
      <w:r>
        <w:rPr>
          <w:rFonts w:ascii="Arial" w:cs="Arial" w:eastAsia="Arial" w:hAnsi="Arial"/>
          <w:sz w:val="20"/>
          <w:szCs w:val="20"/>
          <w:color w:val="0000FF"/>
        </w:rPr>
        <w:t>, SOFR Loan</w:t>
      </w:r>
      <w:r>
        <w:rPr>
          <w:rFonts w:ascii="Arial" w:cs="Arial" w:eastAsia="Arial" w:hAnsi="Arial"/>
          <w:sz w:val="20"/>
          <w:szCs w:val="20"/>
          <w:color w:val="auto"/>
        </w:rPr>
        <w:t xml:space="preserve"> or a CDOR Rate Loan with an Interest Period of one (1) month.</w:t>
      </w:r>
    </w:p>
    <w:p>
      <w:pPr>
        <w:spacing w:after="0" w:line="197" w:lineRule="exact"/>
        <w:rPr>
          <w:sz w:val="20"/>
          <w:szCs w:val="20"/>
          <w:color w:val="auto"/>
        </w:rPr>
      </w:pPr>
    </w:p>
    <w:p>
      <w:pPr>
        <w:jc w:val="both"/>
        <w:ind w:left="58" w:firstLine="644"/>
        <w:spacing w:after="0" w:line="238" w:lineRule="auto"/>
        <w:tabs>
          <w:tab w:leader="none" w:pos="123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Default Rate. Subject to Section 10.3, (i) immediately upon the occurrence and during the continuance of an Event of Default under Section 10.1(a), (b), (i) or (j), or (ii) at the election of the Required Lenders (or the Administrative Agent at the direction of the Required Lenders), upon the occurrence and during the continuance of any other Event of Default, (A) the Borrowers shall no longer have the option to request LIBOR Rate </w:t>
      </w:r>
      <w:r>
        <w:rPr>
          <w:rFonts w:ascii="Arial" w:cs="Arial" w:eastAsia="Arial" w:hAnsi="Arial"/>
          <w:sz w:val="18"/>
          <w:szCs w:val="18"/>
          <w:color w:val="0000FF"/>
        </w:rPr>
        <w:t>Loans, SOFR</w:t>
      </w:r>
      <w:r>
        <w:rPr>
          <w:rFonts w:ascii="Arial" w:cs="Arial" w:eastAsia="Arial" w:hAnsi="Arial"/>
          <w:sz w:val="18"/>
          <w:szCs w:val="18"/>
          <w:color w:val="auto"/>
        </w:rPr>
        <w:t xml:space="preserve"> Loans, CDOR Rate Loans, Swingline Loans or Letters of Credit, (B) all outstanding LIBOR Rate Loans shall bear interest at a rate per annum of two percent (2%) in excess of the rate (including the Applicable Margin) then applicable to LIBOR Rate Loans until the end of the applicable Interest Period and thereafter at a rate equal to two percent (2%) in excess of the rate (including the Applicable Margin) then applicable to Base Rate Loans, (C</w:t>
      </w:r>
      <w:r>
        <w:rPr>
          <w:rFonts w:ascii="Arial" w:cs="Arial" w:eastAsia="Arial" w:hAnsi="Arial"/>
          <w:sz w:val="18"/>
          <w:szCs w:val="18"/>
          <w:color w:val="0000FF"/>
        </w:rPr>
        <w:t>) all outstanding SOFR Loans shall bear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1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58" w:name="page159"/>
    <w:bookmarkEnd w:id="158"/>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0000FF"/>
        </w:rPr>
        <w:t>at a rate per annum of two percent (2%) in excess of the rate (including the Applicable Margin) then applicable to SOFR Loans until the</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0000FF"/>
        </w:rPr>
        <w:t>end of the applicable Interest Period and thereafter at a rate equal to two percent (2%) in excess of the rate (including the Applicable Margin) then applicable to Base Rate Loans, (D</w:t>
      </w:r>
      <w:r>
        <w:rPr>
          <w:rFonts w:ascii="Arial" w:cs="Arial" w:eastAsia="Arial" w:hAnsi="Arial"/>
          <w:sz w:val="18"/>
          <w:szCs w:val="18"/>
          <w:color w:val="000000"/>
        </w:rPr>
        <w:t>) all outstanding CDOR Rate Loans shall bear interest at a rate per annum of two percent</w:t>
      </w:r>
    </w:p>
    <w:p>
      <w:pPr>
        <w:ind w:left="58"/>
        <w:spacing w:after="0" w:line="236" w:lineRule="auto"/>
        <w:rPr>
          <w:sz w:val="20"/>
          <w:szCs w:val="20"/>
          <w:color w:val="auto"/>
        </w:rPr>
      </w:pPr>
      <w:r>
        <w:rPr>
          <w:rFonts w:ascii="Arial" w:cs="Arial" w:eastAsia="Arial" w:hAnsi="Arial"/>
          <w:sz w:val="18"/>
          <w:szCs w:val="18"/>
          <w:color w:val="auto"/>
        </w:rPr>
        <w:t>(2%) in excess of the rate (including the Applicable Margin) then applicable to CDOR Rate Loans until the end of the applicable Interest</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Period and thereafter at a rate equal to two percent (2%) in excess of the rate (including the Applicable Margin) then applicable to Canadian Base Rate Loans, (</w:t>
      </w:r>
      <w:r>
        <w:rPr>
          <w:rFonts w:ascii="Arial" w:cs="Arial" w:eastAsia="Arial" w:hAnsi="Arial"/>
          <w:sz w:val="18"/>
          <w:szCs w:val="18"/>
          <w:color w:val="FF0000"/>
          <w:strike w:val="1"/>
        </w:rPr>
        <w:t>D</w:t>
      </w:r>
      <w:r>
        <w:rPr>
          <w:rFonts w:ascii="Arial" w:cs="Arial" w:eastAsia="Arial" w:hAnsi="Arial"/>
          <w:sz w:val="18"/>
          <w:szCs w:val="18"/>
          <w:color w:val="0000FF"/>
        </w:rPr>
        <w:t>E</w:t>
      </w:r>
      <w:r>
        <w:rPr>
          <w:rFonts w:ascii="Arial" w:cs="Arial" w:eastAsia="Arial" w:hAnsi="Arial"/>
          <w:sz w:val="18"/>
          <w:szCs w:val="18"/>
          <w:color w:val="auto"/>
        </w:rPr>
        <w:t>) all outstanding Base Rate Loans and other US Obligations arising hereunder or under any other Loan</w:t>
      </w:r>
    </w:p>
    <w:p>
      <w:pPr>
        <w:ind w:left="58"/>
        <w:spacing w:after="0" w:line="236" w:lineRule="auto"/>
        <w:rPr>
          <w:sz w:val="20"/>
          <w:szCs w:val="20"/>
          <w:color w:val="auto"/>
        </w:rPr>
      </w:pPr>
      <w:r>
        <w:rPr>
          <w:rFonts w:ascii="Arial" w:cs="Arial" w:eastAsia="Arial" w:hAnsi="Arial"/>
          <w:sz w:val="18"/>
          <w:szCs w:val="18"/>
          <w:color w:val="auto"/>
        </w:rPr>
        <w:t>Document shall bear interest at a rate per annum equal to two percent (2%) in excess of the rate (including the Applicable Margin) then</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applicable to Base Rate Loans or such other US Obligations arising hereunder or under any other Loan Document, (</w:t>
      </w:r>
      <w:r>
        <w:rPr>
          <w:rFonts w:ascii="Arial" w:cs="Arial" w:eastAsia="Arial" w:hAnsi="Arial"/>
          <w:sz w:val="18"/>
          <w:szCs w:val="18"/>
          <w:color w:val="FF0000"/>
          <w:strike w:val="1"/>
        </w:rPr>
        <w:t>E</w:t>
      </w:r>
      <w:r>
        <w:rPr>
          <w:rFonts w:ascii="Arial" w:cs="Arial" w:eastAsia="Arial" w:hAnsi="Arial"/>
          <w:sz w:val="18"/>
          <w:szCs w:val="18"/>
          <w:color w:val="0000FF"/>
        </w:rPr>
        <w:t>F</w:t>
      </w:r>
      <w:r>
        <w:rPr>
          <w:rFonts w:ascii="Arial" w:cs="Arial" w:eastAsia="Arial" w:hAnsi="Arial"/>
          <w:sz w:val="18"/>
          <w:szCs w:val="18"/>
          <w:color w:val="auto"/>
        </w:rPr>
        <w:t>) all outstanding Canadian Base Rate Loans and other Canadian Obligations arising hereunder or under any other Loan Document shall bear interest at a</w:t>
      </w:r>
    </w:p>
    <w:p>
      <w:pPr>
        <w:ind w:left="58"/>
        <w:spacing w:after="0" w:line="236" w:lineRule="auto"/>
        <w:rPr>
          <w:sz w:val="20"/>
          <w:szCs w:val="20"/>
          <w:color w:val="auto"/>
        </w:rPr>
      </w:pPr>
      <w:r>
        <w:rPr>
          <w:rFonts w:ascii="Arial" w:cs="Arial" w:eastAsia="Arial" w:hAnsi="Arial"/>
          <w:sz w:val="18"/>
          <w:szCs w:val="18"/>
          <w:color w:val="auto"/>
        </w:rPr>
        <w:t>rate per annum equal to two percent (2%) in excess of the rate (including the Applicable Margin) then applicable to Canadian Base Rate</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Loans or such other Canadian Obligations arising hereunder or under any other Loan Document, and (</w:t>
      </w:r>
      <w:r>
        <w:rPr>
          <w:rFonts w:ascii="Arial" w:cs="Arial" w:eastAsia="Arial" w:hAnsi="Arial"/>
          <w:sz w:val="18"/>
          <w:szCs w:val="18"/>
          <w:color w:val="FF0000"/>
          <w:strike w:val="1"/>
        </w:rPr>
        <w:t>F</w:t>
      </w:r>
      <w:r>
        <w:rPr>
          <w:rFonts w:ascii="Arial" w:cs="Arial" w:eastAsia="Arial" w:hAnsi="Arial"/>
          <w:sz w:val="18"/>
          <w:szCs w:val="18"/>
          <w:color w:val="0000FF"/>
        </w:rPr>
        <w:t>G</w:t>
      </w:r>
      <w:r>
        <w:rPr>
          <w:rFonts w:ascii="Arial" w:cs="Arial" w:eastAsia="Arial" w:hAnsi="Arial"/>
          <w:sz w:val="18"/>
          <w:szCs w:val="18"/>
          <w:color w:val="auto"/>
        </w:rPr>
        <w:t>) all accrued and unpaid interest shall be due and payable on demand of the Administrative Agent. Interest shall continue to accrue on the Obligations after the filing by or</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against any Borrower of any petition seeking any relief in bankruptcy or under any Debtor Relief Law.</w:t>
      </w:r>
    </w:p>
    <w:p>
      <w:pPr>
        <w:spacing w:after="0" w:line="200" w:lineRule="exact"/>
        <w:rPr>
          <w:sz w:val="20"/>
          <w:szCs w:val="20"/>
          <w:color w:val="auto"/>
        </w:rPr>
      </w:pPr>
    </w:p>
    <w:p>
      <w:pPr>
        <w:ind w:left="1338" w:hanging="636"/>
        <w:spacing w:after="0"/>
        <w:tabs>
          <w:tab w:leader="none" w:pos="1338"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Interest Payment and Computation.</w:t>
      </w:r>
    </w:p>
    <w:p>
      <w:pPr>
        <w:spacing w:after="0" w:line="283" w:lineRule="exact"/>
        <w:rPr>
          <w:rFonts w:ascii="Arial" w:cs="Arial" w:eastAsia="Arial" w:hAnsi="Arial"/>
          <w:sz w:val="20"/>
          <w:szCs w:val="20"/>
          <w:color w:val="auto"/>
        </w:rPr>
      </w:pPr>
    </w:p>
    <w:p>
      <w:pPr>
        <w:jc w:val="both"/>
        <w:ind w:left="698" w:firstLine="652"/>
        <w:spacing w:after="0" w:line="234" w:lineRule="auto"/>
        <w:tabs>
          <w:tab w:leader="none" w:pos="192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Interest on (A) each Base Rate Loan and each Canadian Base Rate Loan shall be due and payable in arrears on the last Business Day of each calendar quarter commencing December 31, 2021; (B) each US Swingline Loan and each Canadian Swingline Loan shall be due and payable in arrears on the last Business Day of each calendar quarter commencing December 31, 2021; and (C) each LIBOR Rate </w:t>
      </w:r>
      <w:r>
        <w:rPr>
          <w:rFonts w:ascii="Arial" w:cs="Arial" w:eastAsia="Arial" w:hAnsi="Arial"/>
          <w:sz w:val="18"/>
          <w:szCs w:val="18"/>
          <w:color w:val="0000FF"/>
        </w:rPr>
        <w:t>Loan, SOFR</w:t>
      </w:r>
      <w:r>
        <w:rPr>
          <w:rFonts w:ascii="Arial" w:cs="Arial" w:eastAsia="Arial" w:hAnsi="Arial"/>
          <w:sz w:val="18"/>
          <w:szCs w:val="18"/>
          <w:color w:val="auto"/>
        </w:rPr>
        <w:t xml:space="preserve"> Loan and CDOR Rate Loan shall be due and payable on the last day of each Interest Period applicable thereto, and if such Interest Period extends over three (3) months, at the end of each three (3) month interval during such Interest Period</w:t>
      </w:r>
      <w:r>
        <w:rPr>
          <w:rFonts w:ascii="Arial" w:cs="Arial" w:eastAsia="Arial" w:hAnsi="Arial"/>
          <w:sz w:val="18"/>
          <w:szCs w:val="18"/>
          <w:color w:val="0000FF"/>
        </w:rPr>
        <w:t>; provided that (i) in the event of any repayment or prepayment of any SOFR Loan, accrued interest on</w:t>
      </w:r>
      <w:r>
        <w:rPr>
          <w:rFonts w:ascii="Arial" w:cs="Arial" w:eastAsia="Arial" w:hAnsi="Arial"/>
          <w:sz w:val="18"/>
          <w:szCs w:val="18"/>
          <w:color w:val="auto"/>
        </w:rPr>
        <w:t xml:space="preserve"> </w:t>
      </w:r>
      <w:r>
        <w:rPr>
          <w:rFonts w:ascii="Arial" w:cs="Arial" w:eastAsia="Arial" w:hAnsi="Arial"/>
          <w:sz w:val="18"/>
          <w:szCs w:val="18"/>
          <w:color w:val="0000FF"/>
        </w:rPr>
        <w:t>the principal amount repaid or prepaid shall be payable on the date of such repayment or prepayment and (ii) in the event of any conversion of any SOFR Loan prior to the end of the Interest Period therefor, accrued interest on such Loan shall be payable on the effective date of such conversion</w:t>
      </w:r>
      <w:r>
        <w:rPr>
          <w:rFonts w:ascii="Arial" w:cs="Arial" w:eastAsia="Arial" w:hAnsi="Arial"/>
          <w:sz w:val="18"/>
          <w:szCs w:val="18"/>
          <w:color w:val="000000"/>
        </w:rPr>
        <w:t>. All computations of interest for Base Rate Loans when the Base Rate is determined by the</w:t>
      </w:r>
      <w:r>
        <w:rPr>
          <w:rFonts w:ascii="Arial" w:cs="Arial" w:eastAsia="Arial" w:hAnsi="Arial"/>
          <w:sz w:val="18"/>
          <w:szCs w:val="18"/>
          <w:color w:val="0000FF"/>
        </w:rPr>
        <w:t xml:space="preserve"> </w:t>
      </w:r>
      <w:r>
        <w:rPr>
          <w:rFonts w:ascii="Arial" w:cs="Arial" w:eastAsia="Arial" w:hAnsi="Arial"/>
          <w:sz w:val="18"/>
          <w:szCs w:val="18"/>
          <w:color w:val="000000"/>
        </w:rPr>
        <w:t>Prime 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211" w:lineRule="exact"/>
        <w:rPr>
          <w:rFonts w:ascii="Arial" w:cs="Arial" w:eastAsia="Arial" w:hAnsi="Arial"/>
          <w:sz w:val="18"/>
          <w:szCs w:val="18"/>
          <w:color w:val="auto"/>
        </w:rPr>
      </w:pPr>
    </w:p>
    <w:p>
      <w:pPr>
        <w:jc w:val="both"/>
        <w:ind w:left="698" w:right="20" w:firstLine="652"/>
        <w:spacing w:after="0" w:line="227" w:lineRule="auto"/>
        <w:tabs>
          <w:tab w:leader="none" w:pos="1887" w:val="left"/>
        </w:tabs>
        <w:numPr>
          <w:ilvl w:val="1"/>
          <w:numId w:val="214"/>
        </w:numPr>
        <w:rPr>
          <w:rFonts w:ascii="Arial" w:cs="Arial" w:eastAsia="Arial" w:hAnsi="Arial"/>
          <w:sz w:val="19"/>
          <w:szCs w:val="19"/>
          <w:color w:val="auto"/>
        </w:rPr>
      </w:pPr>
      <w:r>
        <w:rPr>
          <w:rFonts w:ascii="Arial" w:cs="Arial" w:eastAsia="Arial" w:hAnsi="Arial"/>
          <w:sz w:val="19"/>
          <w:szCs w:val="19"/>
          <w:color w:val="auto"/>
        </w:rPr>
        <w:t>Whenever any amount is payable under this Agreement or any other Loan Document by the Canadian Borrowers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208" w:lineRule="exact"/>
        <w:rPr>
          <w:rFonts w:ascii="Arial" w:cs="Arial" w:eastAsia="Arial" w:hAnsi="Arial"/>
          <w:sz w:val="19"/>
          <w:szCs w:val="19"/>
          <w:color w:val="auto"/>
        </w:rPr>
      </w:pPr>
    </w:p>
    <w:p>
      <w:pPr>
        <w:jc w:val="both"/>
        <w:ind w:left="698" w:firstLine="652"/>
        <w:spacing w:after="0" w:line="298" w:lineRule="auto"/>
        <w:tabs>
          <w:tab w:leader="none" w:pos="187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For the purposes of the </w:t>
      </w:r>
      <w:r>
        <w:rPr>
          <w:rFonts w:ascii="Arial" w:cs="Arial" w:eastAsia="Arial" w:hAnsi="Arial"/>
          <w:sz w:val="16"/>
          <w:szCs w:val="16"/>
          <w:i w:val="1"/>
          <w:iCs w:val="1"/>
          <w:color w:val="auto"/>
        </w:rPr>
        <w:t>Interest Act</w:t>
      </w:r>
      <w:r>
        <w:rPr>
          <w:rFonts w:ascii="Arial" w:cs="Arial" w:eastAsia="Arial" w:hAnsi="Arial"/>
          <w:sz w:val="16"/>
          <w:szCs w:val="16"/>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-2944495</wp:posOffset>
            </wp:positionV>
            <wp:extent cx="342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0">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21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9" w:name="page160"/>
    <w:bookmarkEnd w:id="159"/>
    <w:p>
      <w:pPr>
        <w:ind w:left="678" w:right="100"/>
        <w:spacing w:after="0" w:line="236" w:lineRule="auto"/>
        <w:rPr>
          <w:sz w:val="20"/>
          <w:szCs w:val="20"/>
          <w:color w:val="auto"/>
        </w:rPr>
      </w:pPr>
      <w:r>
        <w:rPr>
          <w:rFonts w:ascii="Arial" w:cs="Arial" w:eastAsia="Arial" w:hAnsi="Arial"/>
          <w:sz w:val="20"/>
          <w:szCs w:val="20"/>
          <w:color w:val="auto"/>
        </w:rPr>
        <w:t>rate so determined multiplied by the actual number of days in the calendar year in which the same is to be ascertained and divided by either 365 or such other period of time, as the case may be.</w:t>
      </w:r>
    </w:p>
    <w:p>
      <w:pPr>
        <w:spacing w:after="0" w:line="196" w:lineRule="exact"/>
        <w:rPr>
          <w:sz w:val="20"/>
          <w:szCs w:val="20"/>
          <w:color w:val="auto"/>
        </w:rPr>
      </w:pPr>
    </w:p>
    <w:p>
      <w:pPr>
        <w:ind w:left="1318" w:hanging="634"/>
        <w:spacing w:after="0"/>
        <w:tabs>
          <w:tab w:leader="none" w:pos="1318" w:val="left"/>
        </w:tabs>
        <w:numPr>
          <w:ilvl w:val="0"/>
          <w:numId w:val="216"/>
        </w:numPr>
        <w:rPr>
          <w:rFonts w:ascii="Arial" w:cs="Arial" w:eastAsia="Arial" w:hAnsi="Arial"/>
          <w:sz w:val="20"/>
          <w:szCs w:val="20"/>
          <w:color w:val="auto"/>
        </w:rPr>
      </w:pPr>
      <w:r>
        <w:rPr>
          <w:rFonts w:ascii="Arial" w:cs="Arial" w:eastAsia="Arial" w:hAnsi="Arial"/>
          <w:sz w:val="20"/>
          <w:szCs w:val="20"/>
          <w:color w:val="auto"/>
        </w:rPr>
        <w:t>Maximum Rate.</w:t>
      </w:r>
    </w:p>
    <w:p>
      <w:pPr>
        <w:spacing w:after="0" w:line="283" w:lineRule="exact"/>
        <w:rPr>
          <w:rFonts w:ascii="Arial" w:cs="Arial" w:eastAsia="Arial" w:hAnsi="Arial"/>
          <w:sz w:val="20"/>
          <w:szCs w:val="20"/>
          <w:color w:val="auto"/>
        </w:rPr>
      </w:pPr>
    </w:p>
    <w:p>
      <w:pPr>
        <w:jc w:val="both"/>
        <w:ind w:left="678" w:firstLine="654"/>
        <w:spacing w:after="0" w:line="223" w:lineRule="auto"/>
        <w:tabs>
          <w:tab w:leader="none" w:pos="1882" w:val="left"/>
        </w:tabs>
        <w:numPr>
          <w:ilvl w:val="1"/>
          <w:numId w:val="216"/>
        </w:numPr>
        <w:rPr>
          <w:rFonts w:ascii="Arial" w:cs="Arial" w:eastAsia="Arial" w:hAnsi="Arial"/>
          <w:sz w:val="19"/>
          <w:szCs w:val="19"/>
          <w:color w:val="auto"/>
        </w:rPr>
      </w:pPr>
      <w:r>
        <w:rPr>
          <w:rFonts w:ascii="Arial" w:cs="Arial" w:eastAsia="Arial" w:hAnsi="Arial"/>
          <w:sz w:val="19"/>
          <w:szCs w:val="19"/>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 (B)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197" w:lineRule="exact"/>
        <w:rPr>
          <w:rFonts w:ascii="Arial" w:cs="Arial" w:eastAsia="Arial" w:hAnsi="Arial"/>
          <w:sz w:val="19"/>
          <w:szCs w:val="19"/>
          <w:color w:val="auto"/>
        </w:rPr>
      </w:pPr>
    </w:p>
    <w:p>
      <w:pPr>
        <w:jc w:val="both"/>
        <w:ind w:left="678" w:firstLine="654"/>
        <w:spacing w:after="0" w:line="232" w:lineRule="auto"/>
        <w:tabs>
          <w:tab w:leader="none" w:pos="18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If any provision of this Agreement or of any of the other Loan Documents would obligate the Canadian Borrowers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w:t>
      </w:r>
    </w:p>
    <w:p>
      <w:pPr>
        <w:spacing w:after="0" w:line="3" w:lineRule="exact"/>
        <w:rPr>
          <w:rFonts w:ascii="Arial" w:cs="Arial" w:eastAsia="Arial" w:hAnsi="Arial"/>
          <w:sz w:val="18"/>
          <w:szCs w:val="18"/>
          <w:color w:val="auto"/>
        </w:rPr>
      </w:pPr>
    </w:p>
    <w:p>
      <w:pPr>
        <w:jc w:val="both"/>
        <w:ind w:left="678"/>
        <w:spacing w:after="0" w:line="233" w:lineRule="auto"/>
        <w:rPr>
          <w:rFonts w:ascii="Arial" w:cs="Arial" w:eastAsia="Arial" w:hAnsi="Arial"/>
          <w:sz w:val="18"/>
          <w:szCs w:val="18"/>
          <w:color w:val="auto"/>
        </w:rPr>
      </w:pPr>
      <w:r>
        <w:rPr>
          <w:rFonts w:ascii="Arial" w:cs="Arial" w:eastAsia="Arial" w:hAnsi="Arial"/>
          <w:sz w:val="18"/>
          <w:szCs w:val="18"/>
          <w:color w:val="auto"/>
        </w:rPr>
        <w:t>(A)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Section 5.1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202" w:lineRule="exact"/>
        <w:rPr>
          <w:rFonts w:ascii="Arial" w:cs="Arial" w:eastAsia="Arial" w:hAnsi="Arial"/>
          <w:sz w:val="18"/>
          <w:szCs w:val="18"/>
          <w:color w:val="auto"/>
        </w:rPr>
      </w:pPr>
    </w:p>
    <w:p>
      <w:pPr>
        <w:jc w:val="both"/>
        <w:ind w:left="38" w:firstLine="646"/>
        <w:spacing w:after="0" w:line="241" w:lineRule="auto"/>
        <w:tabs>
          <w:tab w:leader="none" w:pos="1241" w:val="left"/>
        </w:tabs>
        <w:numPr>
          <w:ilvl w:val="0"/>
          <w:numId w:val="216"/>
        </w:numPr>
        <w:rPr>
          <w:rFonts w:ascii="Arial" w:cs="Arial" w:eastAsia="Arial" w:hAnsi="Arial"/>
          <w:sz w:val="18"/>
          <w:szCs w:val="18"/>
          <w:color w:val="auto"/>
        </w:rPr>
      </w:pPr>
      <w:r>
        <w:rPr>
          <w:rFonts w:ascii="Arial" w:cs="Arial" w:eastAsia="Arial" w:hAnsi="Arial"/>
          <w:sz w:val="18"/>
          <w:szCs w:val="18"/>
          <w:color w:val="0000FF"/>
        </w:rPr>
        <w:t>Term SOFR Benchmark Replacement Conforming Changes. In connection with the use or administration of Term SOFR, the Administrative Agent (in consultation with Centuri)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US Borrower and the Lenders of the effectiveness of any Benchmark Replacement Conforming Changes in connection with the use or administration of Term SOFR.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1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60" w:name="page161"/>
    <w:bookmarkEnd w:id="160"/>
    <w:p>
      <w:pPr>
        <w:ind w:left="698"/>
        <w:spacing w:after="0"/>
        <w:tabs>
          <w:tab w:leader="none" w:pos="2018"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color w:val="auto"/>
        </w:rPr>
        <w:t>Notice and Manner of Conversion or Continuation of Loans</w:t>
      </w:r>
    </w:p>
    <w:p>
      <w:pPr>
        <w:spacing w:after="0" w:line="283" w:lineRule="exact"/>
        <w:rPr>
          <w:sz w:val="20"/>
          <w:szCs w:val="20"/>
          <w:color w:val="auto"/>
        </w:rPr>
      </w:pPr>
    </w:p>
    <w:p>
      <w:pPr>
        <w:ind w:left="158" w:hanging="104"/>
        <w:spacing w:after="0"/>
        <w:tabs>
          <w:tab w:leader="none" w:pos="158"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Provided that no Default or Event of Default has occurred and is then continuing:</w:t>
      </w:r>
    </w:p>
    <w:p>
      <w:pPr>
        <w:spacing w:after="0" w:line="215" w:lineRule="exact"/>
        <w:rPr>
          <w:rFonts w:ascii="Arial" w:cs="Arial" w:eastAsia="Arial" w:hAnsi="Arial"/>
          <w:sz w:val="20"/>
          <w:szCs w:val="20"/>
          <w:color w:val="auto"/>
        </w:rPr>
      </w:pPr>
    </w:p>
    <w:p>
      <w:pPr>
        <w:jc w:val="both"/>
        <w:ind w:left="58" w:firstLine="644"/>
        <w:spacing w:after="0" w:line="225" w:lineRule="auto"/>
        <w:tabs>
          <w:tab w:leader="none" w:pos="1288"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the US Borrowers shall have the option to (a) convert at any time all or any portion of any outstanding </w:t>
      </w:r>
      <w:r>
        <w:rPr>
          <w:rFonts w:ascii="Arial" w:cs="Arial" w:eastAsia="Arial" w:hAnsi="Arial"/>
          <w:sz w:val="19"/>
          <w:szCs w:val="19"/>
          <w:color w:val="0000FF"/>
        </w:rPr>
        <w:t>Term Loans that are</w:t>
      </w:r>
      <w:r>
        <w:rPr>
          <w:rFonts w:ascii="Arial" w:cs="Arial" w:eastAsia="Arial" w:hAnsi="Arial"/>
          <w:sz w:val="19"/>
          <w:szCs w:val="19"/>
          <w:color w:val="auto"/>
        </w:rPr>
        <w:t xml:space="preserve"> Base Rate Loans </w:t>
      </w:r>
      <w:r>
        <w:rPr>
          <w:rFonts w:ascii="Arial" w:cs="Arial" w:eastAsia="Arial" w:hAnsi="Arial"/>
          <w:sz w:val="19"/>
          <w:szCs w:val="19"/>
          <w:color w:val="00C000"/>
          <w:strike w:val="1"/>
        </w:rPr>
        <w:t>(other than US Swingline Loans)</w:t>
      </w:r>
      <w:r>
        <w:rPr>
          <w:rFonts w:ascii="Arial" w:cs="Arial" w:eastAsia="Arial" w:hAnsi="Arial"/>
          <w:sz w:val="19"/>
          <w:szCs w:val="19"/>
          <w:color w:val="auto"/>
        </w:rPr>
        <w:t xml:space="preserve"> in a principal amount equal to $3,000,000 or any whole multiple of $500,000 in excess thereof into one or more LIBOR Rate Loans</w:t>
      </w:r>
      <w:r>
        <w:rPr>
          <w:rFonts w:ascii="Arial" w:cs="Arial" w:eastAsia="Arial" w:hAnsi="Arial"/>
          <w:sz w:val="19"/>
          <w:szCs w:val="19"/>
          <w:color w:val="0000FF"/>
        </w:rPr>
        <w:t>, (b) convert at any time all or any portion of any outstanding Revolving Credit Loans that are</w:t>
      </w:r>
      <w:r>
        <w:rPr>
          <w:rFonts w:ascii="Arial" w:cs="Arial" w:eastAsia="Arial" w:hAnsi="Arial"/>
          <w:sz w:val="19"/>
          <w:szCs w:val="19"/>
          <w:color w:val="auto"/>
        </w:rPr>
        <w:t xml:space="preserve"> </w:t>
      </w:r>
      <w:r>
        <w:rPr>
          <w:rFonts w:ascii="Arial" w:cs="Arial" w:eastAsia="Arial" w:hAnsi="Arial"/>
          <w:sz w:val="19"/>
          <w:szCs w:val="19"/>
          <w:color w:val="0000FF"/>
        </w:rPr>
        <w:t xml:space="preserve">Base Rate Loans </w:t>
      </w:r>
      <w:r>
        <w:rPr>
          <w:rFonts w:ascii="Arial" w:cs="Arial" w:eastAsia="Arial" w:hAnsi="Arial"/>
          <w:sz w:val="19"/>
          <w:szCs w:val="19"/>
          <w:color w:val="00C000"/>
        </w:rPr>
        <w:t>(other than US Swingline Loans)</w:t>
      </w:r>
      <w:r>
        <w:rPr>
          <w:rFonts w:ascii="Arial" w:cs="Arial" w:eastAsia="Arial" w:hAnsi="Arial"/>
          <w:sz w:val="19"/>
          <w:szCs w:val="19"/>
          <w:color w:val="0000FF"/>
        </w:rPr>
        <w:t xml:space="preserve"> in a principal amount equal to $3,000,000 or any whole multiple of $500,000 in excess thereof into one or more SOFR Loans, </w:t>
      </w:r>
      <w:r>
        <w:rPr>
          <w:rFonts w:ascii="Arial" w:cs="Arial" w:eastAsia="Arial" w:hAnsi="Arial"/>
          <w:sz w:val="19"/>
          <w:szCs w:val="19"/>
          <w:color w:val="000000"/>
        </w:rPr>
        <w:t>and (</w:t>
      </w:r>
      <w:r>
        <w:rPr>
          <w:rFonts w:ascii="Arial" w:cs="Arial" w:eastAsia="Arial" w:hAnsi="Arial"/>
          <w:sz w:val="19"/>
          <w:szCs w:val="19"/>
          <w:color w:val="FF0000"/>
          <w:strike w:val="1"/>
        </w:rPr>
        <w:t>b</w:t>
      </w:r>
      <w:r>
        <w:rPr>
          <w:rFonts w:ascii="Arial" w:cs="Arial" w:eastAsia="Arial" w:hAnsi="Arial"/>
          <w:sz w:val="19"/>
          <w:szCs w:val="19"/>
          <w:color w:val="0000FF"/>
        </w:rPr>
        <w:t>c</w:t>
      </w:r>
      <w:r>
        <w:rPr>
          <w:rFonts w:ascii="Arial" w:cs="Arial" w:eastAsia="Arial" w:hAnsi="Arial"/>
          <w:sz w:val="19"/>
          <w:szCs w:val="19"/>
          <w:color w:val="000000"/>
        </w:rPr>
        <w:t>) upon the expiration of any Interest Period, (i) convert all or any part of its outstanding</w:t>
      </w:r>
      <w:r>
        <w:rPr>
          <w:rFonts w:ascii="Arial" w:cs="Arial" w:eastAsia="Arial" w:hAnsi="Arial"/>
          <w:sz w:val="19"/>
          <w:szCs w:val="19"/>
          <w:color w:val="0000FF"/>
        </w:rPr>
        <w:t xml:space="preserve"> </w:t>
      </w:r>
      <w:r>
        <w:rPr>
          <w:rFonts w:ascii="Arial" w:cs="Arial" w:eastAsia="Arial" w:hAnsi="Arial"/>
          <w:sz w:val="19"/>
          <w:szCs w:val="19"/>
          <w:color w:val="000000"/>
        </w:rPr>
        <w:t xml:space="preserve">LIBOR Rate Loans </w:t>
      </w:r>
      <w:r>
        <w:rPr>
          <w:rFonts w:ascii="Arial" w:cs="Arial" w:eastAsia="Arial" w:hAnsi="Arial"/>
          <w:sz w:val="19"/>
          <w:szCs w:val="19"/>
          <w:color w:val="0000FF"/>
        </w:rPr>
        <w:t>or SOFR Loans</w:t>
      </w:r>
      <w:r>
        <w:rPr>
          <w:rFonts w:ascii="Arial" w:cs="Arial" w:eastAsia="Arial" w:hAnsi="Arial"/>
          <w:sz w:val="19"/>
          <w:szCs w:val="19"/>
          <w:color w:val="000000"/>
        </w:rPr>
        <w:t xml:space="preserve"> in a principal amount equal to $1,000,000 or a whole multiple of $100,000 in excess thereof into Base Rate Loans (other than Swingline Loans) </w:t>
      </w:r>
      <w:r>
        <w:rPr>
          <w:rFonts w:ascii="Arial" w:cs="Arial" w:eastAsia="Arial" w:hAnsi="Arial"/>
          <w:sz w:val="19"/>
          <w:szCs w:val="19"/>
          <w:color w:val="FF0000"/>
          <w:strike w:val="1"/>
        </w:rPr>
        <w:t>or</w:t>
      </w:r>
      <w:r>
        <w:rPr>
          <w:rFonts w:ascii="Arial" w:cs="Arial" w:eastAsia="Arial" w:hAnsi="Arial"/>
          <w:sz w:val="19"/>
          <w:szCs w:val="19"/>
          <w:color w:val="0000FF"/>
        </w:rPr>
        <w:t>,</w:t>
      </w:r>
      <w:r>
        <w:rPr>
          <w:rFonts w:ascii="Arial" w:cs="Arial" w:eastAsia="Arial" w:hAnsi="Arial"/>
          <w:sz w:val="19"/>
          <w:szCs w:val="19"/>
          <w:color w:val="000000"/>
        </w:rPr>
        <w:t xml:space="preserve"> (ii) continue such LIBOR Rate Loans as LIBOR Rate Loans </w:t>
      </w:r>
      <w:r>
        <w:rPr>
          <w:rFonts w:ascii="Arial" w:cs="Arial" w:eastAsia="Arial" w:hAnsi="Arial"/>
          <w:sz w:val="19"/>
          <w:szCs w:val="19"/>
          <w:color w:val="0000FF"/>
        </w:rPr>
        <w:t>or (iii) continue such SOFR</w:t>
      </w:r>
      <w:r>
        <w:rPr>
          <w:rFonts w:ascii="Arial" w:cs="Arial" w:eastAsia="Arial" w:hAnsi="Arial"/>
          <w:sz w:val="19"/>
          <w:szCs w:val="19"/>
          <w:color w:val="000000"/>
        </w:rPr>
        <w:t xml:space="preserve"> </w:t>
      </w:r>
      <w:r>
        <w:rPr>
          <w:rFonts w:ascii="Arial" w:cs="Arial" w:eastAsia="Arial" w:hAnsi="Arial"/>
          <w:sz w:val="19"/>
          <w:szCs w:val="19"/>
          <w:color w:val="0000FF"/>
        </w:rPr>
        <w:t>Loans as SOFR Loans</w:t>
      </w:r>
      <w:r>
        <w:rPr>
          <w:rFonts w:ascii="Arial" w:cs="Arial" w:eastAsia="Arial" w:hAnsi="Arial"/>
          <w:sz w:val="19"/>
          <w:szCs w:val="19"/>
          <w:color w:val="000000"/>
        </w:rPr>
        <w:t>; and</w:t>
      </w:r>
    </w:p>
    <w:p>
      <w:pPr>
        <w:spacing w:after="0" w:line="264" w:lineRule="exact"/>
        <w:rPr>
          <w:rFonts w:ascii="Arial" w:cs="Arial" w:eastAsia="Arial" w:hAnsi="Arial"/>
          <w:sz w:val="19"/>
          <w:szCs w:val="19"/>
          <w:color w:val="auto"/>
        </w:rPr>
      </w:pPr>
    </w:p>
    <w:p>
      <w:pPr>
        <w:jc w:val="both"/>
        <w:ind w:left="58" w:firstLine="644"/>
        <w:spacing w:after="0" w:line="220" w:lineRule="auto"/>
        <w:tabs>
          <w:tab w:leader="none" w:pos="1234"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Canadian Borrowers shall have the option to (a) convert at any time all or any portion of any outstanding Canadian Base Rate Loans (other than Canadian Swingline Loans) in a principal amount equal to C$1,000,000 or any whole multiple of C$100,000 in excess thereof into one or more CDOR Rate Loans and (b) upon the expiration of any Interest Period for such CDOR Rate Loans, (i) convert all or any part of its outstanding CDOR Rate Loans in a principal amount equal to C$1,000,000 or a whole multiple of C$100,000 in excess thereof into Canadian Base Rate Loans (other than Canadian Swingline Loans) or</w:t>
      </w:r>
    </w:p>
    <w:p>
      <w:pPr>
        <w:ind w:left="58"/>
        <w:spacing w:after="0"/>
        <w:rPr>
          <w:rFonts w:ascii="Arial" w:cs="Arial" w:eastAsia="Arial" w:hAnsi="Arial"/>
          <w:sz w:val="19"/>
          <w:szCs w:val="19"/>
          <w:color w:val="auto"/>
        </w:rPr>
      </w:pPr>
      <w:r>
        <w:rPr>
          <w:rFonts w:ascii="Arial" w:cs="Arial" w:eastAsia="Arial" w:hAnsi="Arial"/>
          <w:sz w:val="20"/>
          <w:szCs w:val="20"/>
          <w:color w:val="auto"/>
        </w:rPr>
        <w:t>(2) continue such CDOR Rate Loans as CDOR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-1910715</wp:posOffset>
            </wp:positionV>
            <wp:extent cx="342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93" w:lineRule="exact"/>
        <w:rPr>
          <w:sz w:val="20"/>
          <w:szCs w:val="20"/>
          <w:color w:val="auto"/>
        </w:rPr>
      </w:pPr>
    </w:p>
    <w:p>
      <w:pPr>
        <w:ind w:left="58" w:right="20"/>
        <w:spacing w:after="0" w:line="236" w:lineRule="auto"/>
        <w:rPr>
          <w:sz w:val="20"/>
          <w:szCs w:val="20"/>
          <w:color w:val="auto"/>
        </w:rPr>
      </w:pPr>
      <w:r>
        <w:rPr>
          <w:rFonts w:ascii="Arial" w:cs="Arial" w:eastAsia="Arial" w:hAnsi="Arial"/>
          <w:sz w:val="18"/>
          <w:szCs w:val="18"/>
          <w:color w:val="auto"/>
        </w:rPr>
        <w:t xml:space="preserve">Whenever any Borrower desires to convert or continue Loans as provided above, such Borrower shall give the Administrative Agent irrevocable prior written notice in the form attached as </w:t>
      </w:r>
      <w:r>
        <w:rPr>
          <w:rFonts w:ascii="Arial" w:cs="Arial" w:eastAsia="Arial" w:hAnsi="Arial"/>
          <w:sz w:val="18"/>
          <w:szCs w:val="18"/>
          <w:b w:val="1"/>
          <w:bCs w:val="1"/>
          <w:i w:val="1"/>
          <w:iCs w:val="1"/>
          <w:color w:val="auto"/>
        </w:rPr>
        <w:t>Exhibit E</w:t>
      </w:r>
      <w:r>
        <w:rPr>
          <w:rFonts w:ascii="Arial" w:cs="Arial" w:eastAsia="Arial" w:hAnsi="Arial"/>
          <w:sz w:val="18"/>
          <w:szCs w:val="18"/>
          <w:color w:val="auto"/>
        </w:rPr>
        <w:t xml:space="preserve"> (a “Notice of Conversion/Continuation”) not later than 11:00 a.m. three</w:t>
      </w:r>
    </w:p>
    <w:p>
      <w:pPr>
        <w:jc w:val="both"/>
        <w:ind w:left="58" w:hanging="5"/>
        <w:spacing w:after="0" w:line="206" w:lineRule="auto"/>
        <w:tabs>
          <w:tab w:leader="none" w:pos="38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Business Days before (</w:t>
      </w:r>
      <w:r>
        <w:rPr>
          <w:rFonts w:ascii="Arial" w:cs="Arial" w:eastAsia="Arial" w:hAnsi="Arial"/>
          <w:sz w:val="20"/>
          <w:szCs w:val="20"/>
          <w:color w:val="0000FF"/>
        </w:rPr>
        <w:t>or three (3) US Government Securities Business Days before the day of a proposed conversion to or</w:t>
      </w:r>
      <w:r>
        <w:rPr>
          <w:rFonts w:ascii="Arial" w:cs="Arial" w:eastAsia="Arial" w:hAnsi="Arial"/>
          <w:sz w:val="20"/>
          <w:szCs w:val="20"/>
          <w:color w:val="auto"/>
        </w:rPr>
        <w:t xml:space="preserve"> </w:t>
      </w:r>
      <w:r>
        <w:rPr>
          <w:rFonts w:ascii="Arial" w:cs="Arial" w:eastAsia="Arial" w:hAnsi="Arial"/>
          <w:sz w:val="20"/>
          <w:szCs w:val="20"/>
          <w:color w:val="0000FF"/>
        </w:rPr>
        <w:t xml:space="preserve">continuation of SOFR Loans </w:t>
      </w:r>
      <w:r>
        <w:rPr>
          <w:rFonts w:ascii="Arial" w:cs="Arial" w:eastAsia="Arial" w:hAnsi="Arial"/>
          <w:sz w:val="20"/>
          <w:szCs w:val="20"/>
          <w:color w:val="000000"/>
        </w:rPr>
        <w:t>or four (4) Business Days before the day of a proposed conversion to or continuation of CDOR Rate Loans)</w:t>
      </w:r>
      <w:r>
        <w:rPr>
          <w:rFonts w:ascii="Arial" w:cs="Arial" w:eastAsia="Arial" w:hAnsi="Arial"/>
          <w:sz w:val="20"/>
          <w:szCs w:val="20"/>
          <w:color w:val="0000FF"/>
        </w:rPr>
        <w:t xml:space="preserve"> </w:t>
      </w:r>
      <w:r>
        <w:rPr>
          <w:rFonts w:ascii="Arial" w:cs="Arial" w:eastAsia="Arial" w:hAnsi="Arial"/>
          <w:sz w:val="20"/>
          <w:szCs w:val="20"/>
          <w:color w:val="000000"/>
        </w:rPr>
        <w:t>the day on which a proposed conversion or continuation of such Loan is to be effective specifying</w:t>
      </w:r>
    </w:p>
    <w:p>
      <w:pPr>
        <w:spacing w:after="0" w:line="1" w:lineRule="exact"/>
        <w:rPr>
          <w:rFonts w:ascii="Arial" w:cs="Arial" w:eastAsia="Arial" w:hAnsi="Arial"/>
          <w:sz w:val="20"/>
          <w:szCs w:val="20"/>
          <w:color w:val="auto"/>
        </w:rPr>
      </w:pPr>
    </w:p>
    <w:p>
      <w:pPr>
        <w:jc w:val="both"/>
        <w:ind w:left="58" w:hanging="4"/>
        <w:spacing w:after="0" w:line="232"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Loans to be converted or continued, and, in the case of any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 If the applicable Borrower fails to give a timely Notice of Conversion/Continuation prior to the end of the Interest Period for any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 then the applicable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 shall automatically continue as a LIBOR Rate Loan</w:t>
      </w:r>
      <w:r>
        <w:rPr>
          <w:rFonts w:ascii="Arial" w:cs="Arial" w:eastAsia="Arial" w:hAnsi="Arial"/>
          <w:sz w:val="18"/>
          <w:szCs w:val="18"/>
          <w:color w:val="0000FF"/>
        </w:rPr>
        <w:t>, SOFR Loan</w:t>
      </w:r>
      <w:r>
        <w:rPr>
          <w:rFonts w:ascii="Arial" w:cs="Arial" w:eastAsia="Arial" w:hAnsi="Arial"/>
          <w:sz w:val="18"/>
          <w:szCs w:val="18"/>
          <w:color w:val="auto"/>
        </w:rPr>
        <w:t xml:space="preserve"> or CDOR Rate Loan (in each case having the same Interest Period as the then expiring Interest Period), as applicable. Any such automatic continuation shall be effective as of the last day of the Interest Period then in effect with respect to the applicable LIBOR Rate Loan</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color w:val="0000FF"/>
        </w:rPr>
        <w:t xml:space="preserve">SOFR Loan </w:t>
      </w:r>
      <w:r>
        <w:rPr>
          <w:rFonts w:ascii="Arial" w:cs="Arial" w:eastAsia="Arial" w:hAnsi="Arial"/>
          <w:sz w:val="18"/>
          <w:szCs w:val="18"/>
          <w:color w:val="000000"/>
        </w:rPr>
        <w:t>or CDOR Rate Loan. If the applicable Borrower requests a conversion to, or continuation of, LIBOR Rate Loans</w:t>
      </w:r>
      <w:r>
        <w:rPr>
          <w:rFonts w:ascii="Arial" w:cs="Arial" w:eastAsia="Arial" w:hAnsi="Arial"/>
          <w:sz w:val="18"/>
          <w:szCs w:val="18"/>
          <w:color w:val="0000FF"/>
        </w:rPr>
        <w:t xml:space="preserve">, SOFR Loans </w:t>
      </w:r>
      <w:r>
        <w:rPr>
          <w:rFonts w:ascii="Arial" w:cs="Arial" w:eastAsia="Arial" w:hAnsi="Arial"/>
          <w:sz w:val="18"/>
          <w:szCs w:val="18"/>
          <w:color w:val="000000"/>
        </w:rPr>
        <w:t>or CDOR Rate Loans, but fails to specify an Interest Period, it will be deemed to have specified an Interest Period of one month in</w:t>
      </w:r>
      <w:r>
        <w:rPr>
          <w:rFonts w:ascii="Arial" w:cs="Arial" w:eastAsia="Arial" w:hAnsi="Arial"/>
          <w:sz w:val="18"/>
          <w:szCs w:val="18"/>
          <w:color w:val="0000FF"/>
        </w:rPr>
        <w:t xml:space="preserve"> </w:t>
      </w:r>
      <w:r>
        <w:rPr>
          <w:rFonts w:ascii="Arial" w:cs="Arial" w:eastAsia="Arial" w:hAnsi="Arial"/>
          <w:sz w:val="18"/>
          <w:szCs w:val="18"/>
          <w:color w:val="000000"/>
        </w:rPr>
        <w:t>the case of a conversion and an Interest Period that is the same as the then expiring Interest Period in the case of a continuation. Notwithstanding anything to the contrary herein, a Swingline Loan may not be converted to a LIBOR Rate Loan</w:t>
      </w:r>
      <w:r>
        <w:rPr>
          <w:rFonts w:ascii="Arial" w:cs="Arial" w:eastAsia="Arial" w:hAnsi="Arial"/>
          <w:sz w:val="18"/>
          <w:szCs w:val="18"/>
          <w:color w:val="0000FF"/>
        </w:rPr>
        <w:t>, SOFR Loan</w:t>
      </w:r>
      <w:r>
        <w:rPr>
          <w:rFonts w:ascii="Arial" w:cs="Arial" w:eastAsia="Arial" w:hAnsi="Arial"/>
          <w:sz w:val="18"/>
          <w:szCs w:val="18"/>
          <w:color w:val="000000"/>
        </w:rPr>
        <w:t xml:space="preserve"> or CDOR Rate Loan. The Administrative Agent shall promptly notify the affected Lenders of such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-1590675</wp:posOffset>
            </wp:positionV>
            <wp:extent cx="342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2">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2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61" w:name="page162"/>
    <w:bookmarkEnd w:id="161"/>
    <w:p>
      <w:pPr>
        <w:spacing w:after="0" w:line="20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5"/>
          <w:szCs w:val="15"/>
          <w:color w:val="auto"/>
        </w:rPr>
        <w:t>Fees.</w:t>
      </w:r>
    </w:p>
    <w:p>
      <w:pPr>
        <w:spacing w:after="0" w:line="283" w:lineRule="exact"/>
        <w:rPr>
          <w:sz w:val="20"/>
          <w:szCs w:val="20"/>
          <w:color w:val="auto"/>
        </w:rPr>
      </w:pPr>
    </w:p>
    <w:p>
      <w:pPr>
        <w:jc w:val="both"/>
        <w:ind w:left="58" w:firstLine="644"/>
        <w:spacing w:after="0" w:line="235" w:lineRule="auto"/>
        <w:tabs>
          <w:tab w:leader="none" w:pos="123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Commitment Fee. Commencing on the Closing Date, subject to Section 5.15(a)(iii)(A), the US Borrowers shall pay to the Administrative Agent, for the account of the Revolving Credit Lenders, a non-refundable commitment fee (the “Commitment Fee”) at a rate per annum equal to the Applicable Margin on the average daily unused portion of the Revolving Credit Commitment of the Revolving Credit Lenders (other than the Defaulting Lenders, if any); provided,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2021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pro rata in accordance with such Revolving Credit Lenders’ respective Revolving Credit Commitment Percentages.</w:t>
      </w:r>
    </w:p>
    <w:p>
      <w:pPr>
        <w:spacing w:after="0" w:line="200" w:lineRule="exact"/>
        <w:rPr>
          <w:rFonts w:ascii="Arial" w:cs="Arial" w:eastAsia="Arial" w:hAnsi="Arial"/>
          <w:sz w:val="18"/>
          <w:szCs w:val="18"/>
          <w:color w:val="auto"/>
        </w:rPr>
      </w:pPr>
    </w:p>
    <w:p>
      <w:pPr>
        <w:jc w:val="both"/>
        <w:ind w:left="58" w:right="20" w:firstLine="644"/>
        <w:spacing w:after="0" w:line="223" w:lineRule="auto"/>
        <w:tabs>
          <w:tab w:leader="none" w:pos="1234" w:val="left"/>
        </w:tabs>
        <w:numPr>
          <w:ilvl w:val="0"/>
          <w:numId w:val="222"/>
        </w:numPr>
        <w:rPr>
          <w:rFonts w:ascii="Arial" w:cs="Arial" w:eastAsia="Arial" w:hAnsi="Arial"/>
          <w:sz w:val="20"/>
          <w:szCs w:val="20"/>
          <w:color w:val="auto"/>
        </w:rPr>
      </w:pPr>
      <w:r>
        <w:rPr>
          <w:rFonts w:ascii="Arial" w:cs="Arial" w:eastAsia="Arial" w:hAnsi="Arial"/>
          <w:sz w:val="20"/>
          <w:szCs w:val="20"/>
          <w:color w:val="auto"/>
        </w:rPr>
        <w:t>Other Fees. The Borrowers shall pay to the Arrangers and the Administrative Agent for their own respective accounts fees in the amounts and at the times specified in any Fee Letter as applicable. The Borrowers shall pay to the Lenders such fees as shall have been separately agreed upon in writing in the amounts and at the times so specified.</w:t>
      </w:r>
    </w:p>
    <w:p>
      <w:pPr>
        <w:spacing w:after="0" w:line="20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6"/>
          <w:szCs w:val="16"/>
          <w:color w:val="auto"/>
        </w:rPr>
        <w:t>Manner of Payment</w:t>
      </w:r>
    </w:p>
    <w:p>
      <w:pPr>
        <w:spacing w:after="0" w:line="270" w:lineRule="exact"/>
        <w:rPr>
          <w:sz w:val="20"/>
          <w:szCs w:val="20"/>
          <w:color w:val="auto"/>
        </w:rPr>
      </w:pPr>
    </w:p>
    <w:p>
      <w:pPr>
        <w:ind w:left="58"/>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ind w:left="58" w:firstLine="644"/>
        <w:spacing w:after="0" w:line="232" w:lineRule="auto"/>
        <w:tabs>
          <w:tab w:leader="none" w:pos="123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Payments made by the Borrowers.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Section 10.1,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Sections 5.9, 5.10, 5.11 or 12.3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2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2" w:name="page163"/>
    <w:bookmarkEnd w:id="162"/>
    <w:p>
      <w:pPr>
        <w:spacing w:after="0" w:line="209" w:lineRule="exact"/>
        <w:rPr>
          <w:sz w:val="20"/>
          <w:szCs w:val="20"/>
          <w:color w:val="auto"/>
        </w:rPr>
      </w:pPr>
    </w:p>
    <w:p>
      <w:pPr>
        <w:ind w:left="58" w:right="20" w:firstLine="644"/>
        <w:spacing w:after="0" w:line="236" w:lineRule="auto"/>
        <w:tabs>
          <w:tab w:leader="none" w:pos="1234" w:val="left"/>
        </w:tabs>
        <w:numPr>
          <w:ilvl w:val="0"/>
          <w:numId w:val="225"/>
        </w:numPr>
        <w:rPr>
          <w:rFonts w:ascii="Arial" w:cs="Arial" w:eastAsia="Arial" w:hAnsi="Arial"/>
          <w:sz w:val="20"/>
          <w:szCs w:val="20"/>
          <w:color w:val="auto"/>
        </w:rPr>
      </w:pPr>
      <w:r>
        <w:rPr>
          <w:rFonts w:ascii="Arial" w:cs="Arial" w:eastAsia="Arial" w:hAnsi="Arial"/>
          <w:sz w:val="20"/>
          <w:szCs w:val="20"/>
          <w:color w:val="auto"/>
        </w:rPr>
        <w:t>Defaulting Lenders. Notwithstanding the foregoing, if there exists a Defaulting Lender each payment by any Borrower to such Defaulting Lender hereunder shall be applied in accordance with Section 5.15(a)(ii).</w:t>
      </w:r>
    </w:p>
    <w:p>
      <w:pPr>
        <w:spacing w:after="0" w:line="263"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6"/>
          <w:szCs w:val="16"/>
          <w:color w:val="auto"/>
        </w:rPr>
        <w:t>Evidence of Indebtedness.</w:t>
      </w:r>
    </w:p>
    <w:p>
      <w:pPr>
        <w:spacing w:after="0" w:line="283" w:lineRule="exact"/>
        <w:rPr>
          <w:sz w:val="20"/>
          <w:szCs w:val="20"/>
          <w:color w:val="auto"/>
        </w:rPr>
      </w:pPr>
    </w:p>
    <w:p>
      <w:pPr>
        <w:jc w:val="both"/>
        <w:ind w:left="58" w:firstLine="644"/>
        <w:spacing w:after="0" w:line="220" w:lineRule="auto"/>
        <w:tabs>
          <w:tab w:leader="none" w:pos="123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Extensions of Credit.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206" w:lineRule="exact"/>
        <w:rPr>
          <w:rFonts w:ascii="Arial" w:cs="Arial" w:eastAsia="Arial" w:hAnsi="Arial"/>
          <w:sz w:val="19"/>
          <w:szCs w:val="19"/>
          <w:color w:val="auto"/>
        </w:rPr>
      </w:pPr>
    </w:p>
    <w:p>
      <w:pPr>
        <w:jc w:val="both"/>
        <w:ind w:left="58" w:firstLine="644"/>
        <w:spacing w:after="0" w:line="243" w:lineRule="auto"/>
        <w:tabs>
          <w:tab w:leader="none" w:pos="123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Participations.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94"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5.6</w:t>
      </w:r>
      <w:r>
        <w:rPr>
          <w:sz w:val="20"/>
          <w:szCs w:val="20"/>
          <w:color w:val="auto"/>
        </w:rPr>
        <w:tab/>
      </w:r>
      <w:r>
        <w:rPr>
          <w:rFonts w:ascii="Arial" w:cs="Arial" w:eastAsia="Arial" w:hAnsi="Arial"/>
          <w:sz w:val="16"/>
          <w:szCs w:val="16"/>
          <w:color w:val="auto"/>
        </w:rPr>
        <w:t>Sharing of Payments by Lenders</w:t>
      </w:r>
    </w:p>
    <w:p>
      <w:pPr>
        <w:spacing w:after="0" w:line="283" w:lineRule="exact"/>
        <w:rPr>
          <w:sz w:val="20"/>
          <w:szCs w:val="20"/>
          <w:color w:val="auto"/>
        </w:rPr>
      </w:pPr>
    </w:p>
    <w:p>
      <w:pPr>
        <w:jc w:val="both"/>
        <w:ind w:left="58" w:hanging="5"/>
        <w:spacing w:after="0" w:line="214" w:lineRule="auto"/>
        <w:tabs>
          <w:tab w:leader="none" w:pos="18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Sections 5.9, 5.10, 5.11 or 12.3) greater than its pro rata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262" w:lineRule="exact"/>
        <w:rPr>
          <w:rFonts w:ascii="Arial" w:cs="Arial" w:eastAsia="Arial" w:hAnsi="Arial"/>
          <w:sz w:val="20"/>
          <w:szCs w:val="20"/>
          <w:color w:val="auto"/>
        </w:rPr>
      </w:pPr>
    </w:p>
    <w:p>
      <w:pPr>
        <w:ind w:left="698" w:right="20" w:firstLine="652"/>
        <w:spacing w:after="0" w:line="242" w:lineRule="auto"/>
        <w:tabs>
          <w:tab w:leader="none" w:pos="1875" w:val="left"/>
        </w:tabs>
        <w:numPr>
          <w:ilvl w:val="1"/>
          <w:numId w:val="227"/>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2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3" w:name="page164"/>
    <w:bookmarkEnd w:id="163"/>
    <w:p>
      <w:pPr>
        <w:spacing w:after="0" w:line="209" w:lineRule="exact"/>
        <w:rPr>
          <w:sz w:val="20"/>
          <w:szCs w:val="20"/>
          <w:color w:val="auto"/>
        </w:rPr>
      </w:pPr>
    </w:p>
    <w:p>
      <w:pPr>
        <w:jc w:val="both"/>
        <w:ind w:left="698" w:firstLine="652"/>
        <w:spacing w:after="0" w:line="214" w:lineRule="auto"/>
        <w:tabs>
          <w:tab w:leader="none" w:pos="188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provisions of this paragraph shall not be construed to apply to (A) any payment made by the Borrowers pursuant to and in accordance with the express terms of this Agreement (including the application of funds arising from the existence of a Defaulting Lender), (B) the application of Cash Collateral provided for in Section 5.14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Section 5.6 shall apply).</w:t>
      </w:r>
    </w:p>
    <w:p>
      <w:pPr>
        <w:spacing w:after="0" w:line="268" w:lineRule="exact"/>
        <w:rPr>
          <w:sz w:val="20"/>
          <w:szCs w:val="20"/>
          <w:color w:val="auto"/>
        </w:rPr>
      </w:pPr>
    </w:p>
    <w:p>
      <w:pPr>
        <w:jc w:val="both"/>
        <w:ind w:left="58"/>
        <w:spacing w:after="0" w:line="259"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80" w:lineRule="exact"/>
        <w:rPr>
          <w:sz w:val="20"/>
          <w:szCs w:val="20"/>
          <w:color w:val="auto"/>
        </w:rPr>
      </w:pPr>
    </w:p>
    <w:p>
      <w:pPr>
        <w:ind w:left="698"/>
        <w:spacing w:after="0"/>
        <w:tabs>
          <w:tab w:leader="none" w:pos="1998"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color w:val="auto"/>
        </w:rPr>
        <w:t>Administrative Agent’s Clawback.</w:t>
      </w:r>
    </w:p>
    <w:p>
      <w:pPr>
        <w:spacing w:after="0" w:line="283" w:lineRule="exact"/>
        <w:rPr>
          <w:sz w:val="20"/>
          <w:szCs w:val="20"/>
          <w:color w:val="auto"/>
        </w:rPr>
      </w:pPr>
    </w:p>
    <w:p>
      <w:pPr>
        <w:jc w:val="both"/>
        <w:ind w:left="58" w:firstLine="644"/>
        <w:spacing w:after="0" w:line="231" w:lineRule="auto"/>
        <w:tabs>
          <w:tab w:leader="none" w:pos="123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Funding by Lenders; Presumption by Administrative Agent.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Sections 2.3(b) and 4.2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 (x) 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 (1) with respect to any Loan denominated in Dollars, the Base Rate and (2) 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223" w:lineRule="exact"/>
        <w:rPr>
          <w:rFonts w:ascii="Arial" w:cs="Arial" w:eastAsia="Arial" w:hAnsi="Arial"/>
          <w:sz w:val="18"/>
          <w:szCs w:val="18"/>
          <w:color w:val="auto"/>
        </w:rPr>
      </w:pPr>
    </w:p>
    <w:p>
      <w:pPr>
        <w:jc w:val="both"/>
        <w:ind w:left="58" w:firstLine="644"/>
        <w:spacing w:after="0" w:line="246" w:lineRule="auto"/>
        <w:tabs>
          <w:tab w:leader="none" w:pos="123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Payments by the Borrowers; Presumptions by Administrative Agent. Unless the Administrative Agent shall have received notice from the applicable Borrower prior to the date on which any payment is due to the Administrative Agent for the account of the Lenders, any Issuing Lender or any Swingline Lender hereunder that the applicable Borrower will not make such payment, the Administrative Agent may assume that such Borrower has made such payment on such date in accordance 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3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4" w:name="page165"/>
    <w:bookmarkEnd w:id="164"/>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may, in reliance upon such assumption, distribute to the Lenders, such Issuing Lender or such Swingline Lender, as the case may be, the</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amount due. In such event, if the applicable Borrower has not in fact made such payment, then each of the Lenders, each Issuing Lender or each Swingline Lender, as the case maybe, severally agrees to repay to the Administrative Agent forthwith on demand the amount so</w:t>
      </w:r>
    </w:p>
    <w:p>
      <w:pPr>
        <w:spacing w:after="0" w:line="2" w:lineRule="exact"/>
        <w:rPr>
          <w:sz w:val="20"/>
          <w:szCs w:val="20"/>
          <w:color w:val="auto"/>
        </w:rPr>
      </w:pPr>
    </w:p>
    <w:p>
      <w:pPr>
        <w:ind w:left="58"/>
        <w:spacing w:after="0" w:line="204" w:lineRule="auto"/>
        <w:rPr>
          <w:sz w:val="20"/>
          <w:szCs w:val="20"/>
          <w:color w:val="auto"/>
        </w:rPr>
      </w:pPr>
      <w:r>
        <w:rPr>
          <w:rFonts w:ascii="Arial" w:cs="Arial" w:eastAsia="Arial" w:hAnsi="Arial"/>
          <w:sz w:val="20"/>
          <w:szCs w:val="20"/>
          <w:color w:val="auto"/>
        </w:rPr>
        <w:t>distributed to such Lender, Issuing Lender or Swingline Lender, with interest thereon, for each day from and including the date such amount is distributed to it to but excluding the date of payment to the Administrative Agent,</w:t>
      </w:r>
    </w:p>
    <w:p>
      <w:pPr>
        <w:spacing w:after="0" w:line="1" w:lineRule="exact"/>
        <w:rPr>
          <w:sz w:val="20"/>
          <w:szCs w:val="20"/>
          <w:color w:val="auto"/>
        </w:rPr>
      </w:pPr>
    </w:p>
    <w:p>
      <w:pPr>
        <w:jc w:val="both"/>
        <w:ind w:left="58" w:hanging="4"/>
        <w:spacing w:after="0" w:line="223" w:lineRule="auto"/>
        <w:tabs>
          <w:tab w:leader="none" w:pos="313" w:val="left"/>
        </w:tabs>
        <w:numPr>
          <w:ilvl w:val="0"/>
          <w:numId w:val="232"/>
        </w:numPr>
        <w:rPr>
          <w:rFonts w:ascii="Arial" w:cs="Arial" w:eastAsia="Arial" w:hAnsi="Arial"/>
          <w:sz w:val="19"/>
          <w:szCs w:val="19"/>
          <w:color w:val="auto"/>
        </w:rPr>
      </w:pPr>
      <w:r>
        <w:rPr>
          <w:rFonts w:ascii="Arial" w:cs="Arial" w:eastAsia="Arial" w:hAnsi="Arial"/>
          <w:sz w:val="19"/>
          <w:szCs w:val="19"/>
          <w:color w:val="auto"/>
        </w:rPr>
        <w:t>with respect to any Extension of Credit (other than any Canadian Revolving Credit Loan, any Canadian Swingline Loan and, to the extent applicable, any Incremental Term Loan made to the Canadian Borrowers), at the greater of the Federal Funds Rate and a rate determined by the Administrative Agent in accordance with banking industry rules on interbank compensation and (ii) with respect to any Canadian Revolving Credit Loan, any Canadian Swingline Loan and, to the extent applicable, any Incremental Term Loan made to the Canadian Borrowers,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209" w:lineRule="exact"/>
        <w:rPr>
          <w:rFonts w:ascii="Arial" w:cs="Arial" w:eastAsia="Arial" w:hAnsi="Arial"/>
          <w:sz w:val="19"/>
          <w:szCs w:val="19"/>
          <w:color w:val="auto"/>
        </w:rPr>
      </w:pPr>
    </w:p>
    <w:p>
      <w:pPr>
        <w:jc w:val="both"/>
        <w:ind w:left="58" w:firstLine="644"/>
        <w:spacing w:after="0" w:line="238" w:lineRule="auto"/>
        <w:tabs>
          <w:tab w:leader="none" w:pos="123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Nature of Obligations of Lenders Regarding Extensions of Credit. The obligations of the Lenders under this Agreement to make the Loans and issue or participate in Letters of Credit and to make payments under this Section, Section 5.11(e), Section 11.11, Section 12.3(c) or Section 12.7,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99"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6"/>
          <w:szCs w:val="16"/>
          <w:color w:val="auto"/>
        </w:rPr>
        <w:t>Changed Circumstances.</w:t>
      </w:r>
    </w:p>
    <w:p>
      <w:pPr>
        <w:spacing w:after="0" w:line="283" w:lineRule="exact"/>
        <w:rPr>
          <w:sz w:val="20"/>
          <w:szCs w:val="20"/>
          <w:color w:val="auto"/>
        </w:rPr>
      </w:pPr>
    </w:p>
    <w:p>
      <w:pPr>
        <w:ind w:left="58" w:firstLine="648"/>
        <w:spacing w:after="0" w:line="244" w:lineRule="auto"/>
        <w:rPr>
          <w:sz w:val="20"/>
          <w:szCs w:val="20"/>
          <w:color w:val="auto"/>
        </w:rPr>
      </w:pPr>
      <w:r>
        <w:rPr>
          <w:rFonts w:ascii="Arial" w:cs="Arial" w:eastAsia="Arial" w:hAnsi="Arial"/>
          <w:sz w:val="18"/>
          <w:szCs w:val="18"/>
          <w:color w:val="auto"/>
        </w:rPr>
        <w:t>(1)</w:t>
      </w:r>
      <w:r>
        <w:rPr>
          <w:sz w:val="1"/>
          <w:szCs w:val="1"/>
          <w:color w:val="auto"/>
        </w:rPr>
        <w:drawing>
          <wp:inline distT="0" distB="0" distL="0" distR="0">
            <wp:extent cx="76835" cy="596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3">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8"/>
          <w:szCs w:val="18"/>
          <w:color w:val="auto"/>
        </w:rPr>
        <w:t xml:space="preserve"> Circumstances Affecting LIBOR Rate</w:t>
      </w:r>
      <w:r>
        <w:rPr>
          <w:rFonts w:ascii="Arial" w:cs="Arial" w:eastAsia="Arial" w:hAnsi="Arial"/>
          <w:sz w:val="18"/>
          <w:szCs w:val="18"/>
          <w:color w:val="0000FF"/>
        </w:rPr>
        <w:t>, SOFR</w:t>
      </w:r>
      <w:r>
        <w:rPr>
          <w:rFonts w:ascii="Arial" w:cs="Arial" w:eastAsia="Arial" w:hAnsi="Arial"/>
          <w:sz w:val="18"/>
          <w:szCs w:val="18"/>
          <w:color w:val="auto"/>
        </w:rPr>
        <w:t xml:space="preserve"> or CDOR Rate Availability. Subject to clause (c) below, in connection with any request for (x) a LIBOR Rate Loan (or a Base Rate Loan as to which the interest rate is determined with reference to LIBOR</w:t>
      </w:r>
      <w:r>
        <w:rPr>
          <w:rFonts w:ascii="Arial" w:cs="Arial" w:eastAsia="Arial" w:hAnsi="Arial"/>
          <w:sz w:val="18"/>
          <w:szCs w:val="18"/>
          <w:color w:val="0000FF"/>
        </w:rPr>
        <w:t>)</w:t>
      </w:r>
      <w:r>
        <w:rPr>
          <w:rFonts w:ascii="Arial" w:cs="Arial" w:eastAsia="Arial" w:hAnsi="Arial"/>
          <w:sz w:val="18"/>
          <w:szCs w:val="18"/>
          <w:color w:val="auto"/>
        </w:rPr>
        <w:t xml:space="preserve"> or a</w:t>
      </w:r>
    </w:p>
    <w:p>
      <w:pPr>
        <w:ind w:left="58" w:right="20"/>
        <w:spacing w:after="0" w:line="226" w:lineRule="auto"/>
        <w:rPr>
          <w:sz w:val="20"/>
          <w:szCs w:val="20"/>
          <w:color w:val="auto"/>
        </w:rPr>
      </w:pPr>
      <w:r>
        <w:rPr>
          <w:rFonts w:ascii="Arial" w:cs="Arial" w:eastAsia="Arial" w:hAnsi="Arial"/>
          <w:sz w:val="18"/>
          <w:szCs w:val="18"/>
          <w:color w:val="auto"/>
        </w:rPr>
        <w:t>conversion to or continuation thereof</w:t>
      </w:r>
      <w:r>
        <w:rPr>
          <w:rFonts w:ascii="Arial" w:cs="Arial" w:eastAsia="Arial" w:hAnsi="Arial"/>
          <w:sz w:val="18"/>
          <w:szCs w:val="18"/>
          <w:color w:val="FF0000"/>
        </w:rPr>
        <w:t>)</w:t>
      </w:r>
      <w:r>
        <w:rPr>
          <w:rFonts w:ascii="Arial" w:cs="Arial" w:eastAsia="Arial" w:hAnsi="Arial"/>
          <w:sz w:val="18"/>
          <w:szCs w:val="18"/>
          <w:color w:val="0000FF"/>
        </w:rPr>
        <w:t>, (y) a SOFR Loan (or a Base Rate Loan as to which the interest rate is determined with reference to</w:t>
      </w:r>
      <w:r>
        <w:rPr>
          <w:rFonts w:ascii="Arial" w:cs="Arial" w:eastAsia="Arial" w:hAnsi="Arial"/>
          <w:sz w:val="18"/>
          <w:szCs w:val="18"/>
          <w:color w:val="auto"/>
        </w:rPr>
        <w:t xml:space="preserve"> </w:t>
      </w:r>
      <w:r>
        <w:rPr>
          <w:rFonts w:ascii="Arial" w:cs="Arial" w:eastAsia="Arial" w:hAnsi="Arial"/>
          <w:sz w:val="18"/>
          <w:szCs w:val="18"/>
          <w:color w:val="0000FF"/>
        </w:rPr>
        <w:t xml:space="preserve">Adjusted Term SOFR) or a conversion to or continuation thereof </w:t>
      </w:r>
      <w:r>
        <w:rPr>
          <w:rFonts w:ascii="Arial" w:cs="Arial" w:eastAsia="Arial" w:hAnsi="Arial"/>
          <w:sz w:val="18"/>
          <w:szCs w:val="18"/>
          <w:color w:val="000000"/>
        </w:rPr>
        <w:t>or (</w:t>
      </w:r>
      <w:r>
        <w:rPr>
          <w:rFonts w:ascii="Arial" w:cs="Arial" w:eastAsia="Arial" w:hAnsi="Arial"/>
          <w:sz w:val="18"/>
          <w:szCs w:val="18"/>
          <w:color w:val="FF0000"/>
          <w:strike w:val="1"/>
        </w:rPr>
        <w:t>y</w:t>
      </w:r>
      <w:r>
        <w:rPr>
          <w:rFonts w:ascii="Arial" w:cs="Arial" w:eastAsia="Arial" w:hAnsi="Arial"/>
          <w:sz w:val="18"/>
          <w:szCs w:val="18"/>
          <w:color w:val="0000FF"/>
        </w:rPr>
        <w:t>z</w:t>
      </w:r>
      <w:r>
        <w:rPr>
          <w:rFonts w:ascii="Arial" w:cs="Arial" w:eastAsia="Arial" w:hAnsi="Arial"/>
          <w:sz w:val="18"/>
          <w:szCs w:val="18"/>
          <w:color w:val="000000"/>
        </w:rPr>
        <w:t>) a CDOR Rate Loan (or a Canadian Base Rate Loan as to which</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the interest rate is determined with reference to the CDOR Rate or a conversion thereof) or otherwise, if for any reason</w:t>
      </w:r>
    </w:p>
    <w:p>
      <w:pPr>
        <w:spacing w:after="0" w:line="200" w:lineRule="exact"/>
        <w:rPr>
          <w:sz w:val="20"/>
          <w:szCs w:val="20"/>
          <w:color w:val="auto"/>
        </w:rPr>
      </w:pPr>
    </w:p>
    <w:p>
      <w:pPr>
        <w:jc w:val="both"/>
        <w:ind w:left="698" w:firstLine="652"/>
        <w:spacing w:after="0" w:line="227" w:lineRule="auto"/>
        <w:tabs>
          <w:tab w:leader="none" w:pos="1875" w:val="left"/>
        </w:tabs>
        <w:numPr>
          <w:ilvl w:val="0"/>
          <w:numId w:val="233"/>
        </w:numPr>
        <w:rPr>
          <w:rFonts w:ascii="Arial" w:cs="Arial" w:eastAsia="Arial" w:hAnsi="Arial"/>
          <w:sz w:val="20"/>
          <w:szCs w:val="20"/>
          <w:color w:val="auto"/>
        </w:rPr>
      </w:pPr>
      <w:r>
        <w:rPr>
          <w:rFonts w:ascii="Arial" w:cs="Arial" w:eastAsia="Arial" w:hAnsi="Arial"/>
          <w:sz w:val="20"/>
          <w:szCs w:val="20"/>
          <w:color w:val="auto"/>
        </w:rPr>
        <w:t>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of such Loan,</w:t>
      </w:r>
    </w:p>
    <w:p>
      <w:pPr>
        <w:spacing w:after="0" w:line="197" w:lineRule="exact"/>
        <w:rPr>
          <w:rFonts w:ascii="Arial" w:cs="Arial" w:eastAsia="Arial" w:hAnsi="Arial"/>
          <w:sz w:val="20"/>
          <w:szCs w:val="20"/>
          <w:color w:val="auto"/>
        </w:rPr>
      </w:pPr>
    </w:p>
    <w:p>
      <w:pPr>
        <w:ind w:left="1898" w:hanging="548"/>
        <w:spacing w:after="0"/>
        <w:tabs>
          <w:tab w:leader="none" w:pos="189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Administrative Agent shall determine (which determination shall be conclusive and binding absent manifest</w:t>
      </w:r>
    </w:p>
    <w:p>
      <w:pPr>
        <w:ind w:left="698"/>
        <w:spacing w:after="0" w:line="209" w:lineRule="auto"/>
        <w:rPr>
          <w:sz w:val="20"/>
          <w:szCs w:val="20"/>
          <w:color w:val="auto"/>
        </w:rPr>
      </w:pPr>
      <w:r>
        <w:rPr>
          <w:rFonts w:ascii="Arial" w:cs="Arial" w:eastAsia="Arial" w:hAnsi="Arial"/>
          <w:sz w:val="20"/>
          <w:szCs w:val="20"/>
          <w:color w:val="auto"/>
        </w:rPr>
        <w:t>error) that reasonable and adequate means do not exist for ascertaining</w:t>
      </w:r>
    </w:p>
    <w:p>
      <w:pPr>
        <w:jc w:val="both"/>
        <w:ind w:left="698" w:firstLine="3"/>
        <w:spacing w:after="0" w:line="215" w:lineRule="auto"/>
        <w:tabs>
          <w:tab w:leader="none" w:pos="1226"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LIBOR Rate for such Interest Period with respect to a proposed LIBOR Rate Loan (or any Base Rate Loan as to which the interest rate is determined with reference to LIBOR)</w:t>
      </w:r>
      <w:r>
        <w:rPr>
          <w:rFonts w:ascii="Arial" w:cs="Arial" w:eastAsia="Arial" w:hAnsi="Arial"/>
          <w:sz w:val="20"/>
          <w:szCs w:val="20"/>
          <w:color w:val="0000FF"/>
        </w:rPr>
        <w:t>, (B) Adjusted Term SOFR for the applicable Interest Period with respect</w:t>
      </w:r>
      <w:r>
        <w:rPr>
          <w:rFonts w:ascii="Arial" w:cs="Arial" w:eastAsia="Arial" w:hAnsi="Arial"/>
          <w:sz w:val="20"/>
          <w:szCs w:val="20"/>
          <w:color w:val="auto"/>
        </w:rPr>
        <w:t xml:space="preserve"> </w:t>
      </w:r>
      <w:r>
        <w:rPr>
          <w:rFonts w:ascii="Arial" w:cs="Arial" w:eastAsia="Arial" w:hAnsi="Arial"/>
          <w:sz w:val="20"/>
          <w:szCs w:val="20"/>
          <w:color w:val="0000FF"/>
        </w:rPr>
        <w:t xml:space="preserve">to a proposed SOFR Loan on or prior to the first date of such Interest Period </w:t>
      </w:r>
      <w:r>
        <w:rPr>
          <w:rFonts w:ascii="Arial" w:cs="Arial" w:eastAsia="Arial" w:hAnsi="Arial"/>
          <w:sz w:val="20"/>
          <w:szCs w:val="20"/>
          <w:color w:val="000000"/>
        </w:rPr>
        <w:t>or (</w:t>
      </w:r>
      <w:r>
        <w:rPr>
          <w:rFonts w:ascii="Arial" w:cs="Arial" w:eastAsia="Arial" w:hAnsi="Arial"/>
          <w:sz w:val="20"/>
          <w:szCs w:val="20"/>
          <w:color w:val="FF0000"/>
          <w:strike w:val="1"/>
        </w:rPr>
        <w:t>B</w:t>
      </w:r>
      <w:r>
        <w:rPr>
          <w:rFonts w:ascii="Arial" w:cs="Arial" w:eastAsia="Arial" w:hAnsi="Arial"/>
          <w:sz w:val="20"/>
          <w:szCs w:val="20"/>
          <w:color w:val="0000FF"/>
        </w:rPr>
        <w:t>C</w:t>
      </w:r>
      <w:r>
        <w:rPr>
          <w:rFonts w:ascii="Arial" w:cs="Arial" w:eastAsia="Arial" w:hAnsi="Arial"/>
          <w:sz w:val="20"/>
          <w:szCs w:val="20"/>
          <w:color w:val="000000"/>
        </w:rPr>
        <w:t>) the CDOR Rate for such Interest Period with</w:t>
      </w:r>
      <w:r>
        <w:rPr>
          <w:rFonts w:ascii="Arial" w:cs="Arial" w:eastAsia="Arial" w:hAnsi="Arial"/>
          <w:sz w:val="20"/>
          <w:szCs w:val="20"/>
          <w:color w:val="0000FF"/>
        </w:rPr>
        <w:t xml:space="preserve"> </w:t>
      </w:r>
      <w:r>
        <w:rPr>
          <w:rFonts w:ascii="Arial" w:cs="Arial" w:eastAsia="Arial" w:hAnsi="Arial"/>
          <w:sz w:val="20"/>
          <w:szCs w:val="20"/>
          <w:color w:val="000000"/>
        </w:rPr>
        <w:t>respect to a proposed CDOR Rate Loan (or any Canadian Base Rate Loan as to which the interest rate is determined with reference to the CDOR 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23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5" w:name="page166"/>
    <w:bookmarkEnd w:id="165"/>
    <w:p>
      <w:pPr>
        <w:spacing w:after="0" w:line="209" w:lineRule="exact"/>
        <w:rPr>
          <w:sz w:val="20"/>
          <w:szCs w:val="20"/>
          <w:color w:val="auto"/>
        </w:rPr>
      </w:pPr>
    </w:p>
    <w:p>
      <w:pPr>
        <w:jc w:val="both"/>
        <w:ind w:left="698" w:firstLine="652"/>
        <w:spacing w:after="0" w:line="223" w:lineRule="auto"/>
        <w:tabs>
          <w:tab w:leader="none" w:pos="1875"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Required Lenders shall determine (which determination shall be conclusive and binding absent manifest error) that the LIBOR Rate</w:t>
      </w:r>
      <w:r>
        <w:rPr>
          <w:rFonts w:ascii="Arial" w:cs="Arial" w:eastAsia="Arial" w:hAnsi="Arial"/>
          <w:sz w:val="20"/>
          <w:szCs w:val="20"/>
          <w:color w:val="0000FF"/>
        </w:rPr>
        <w:t>, Adjusted Term SOFR</w:t>
      </w:r>
      <w:r>
        <w:rPr>
          <w:rFonts w:ascii="Arial" w:cs="Arial" w:eastAsia="Arial" w:hAnsi="Arial"/>
          <w:sz w:val="20"/>
          <w:szCs w:val="20"/>
          <w:color w:val="auto"/>
        </w:rPr>
        <w:t xml:space="preserve"> or CDOR Rate, as applicable, does not adequately and fairly reflect the cost to such Lenders of making or maintaining such Loans during such Interest Period,</w:t>
      </w:r>
    </w:p>
    <w:p>
      <w:pPr>
        <w:spacing w:after="0" w:line="209" w:lineRule="exact"/>
        <w:rPr>
          <w:sz w:val="20"/>
          <w:szCs w:val="20"/>
          <w:color w:val="auto"/>
        </w:rPr>
      </w:pPr>
    </w:p>
    <w:p>
      <w:pPr>
        <w:ind w:left="58"/>
        <w:spacing w:after="0" w:line="236" w:lineRule="auto"/>
        <w:rPr>
          <w:sz w:val="20"/>
          <w:szCs w:val="20"/>
          <w:color w:val="auto"/>
        </w:rPr>
      </w:pPr>
      <w:r>
        <w:rPr>
          <w:rFonts w:ascii="Arial" w:cs="Arial" w:eastAsia="Arial" w:hAnsi="Arial"/>
          <w:sz w:val="18"/>
          <w:szCs w:val="18"/>
          <w:color w:val="auto"/>
        </w:rPr>
        <w:t>then</w:t>
      </w:r>
      <w:r>
        <w:rPr>
          <w:rFonts w:ascii="Arial" w:cs="Arial" w:eastAsia="Arial" w:hAnsi="Arial"/>
          <w:sz w:val="18"/>
          <w:szCs w:val="18"/>
          <w:color w:val="0000FF"/>
        </w:rPr>
        <w:t>, in each case,</w:t>
      </w:r>
      <w:r>
        <w:rPr>
          <w:rFonts w:ascii="Arial" w:cs="Arial" w:eastAsia="Arial" w:hAnsi="Arial"/>
          <w:sz w:val="18"/>
          <w:szCs w:val="18"/>
          <w:color w:val="auto"/>
        </w:rPr>
        <w:t xml:space="preserve"> the Administrative Agent shall promptly give notice thereof to Centuri. Thereafter, until the Administrative Agent notifies Centuri that such circumstances no longer exist, the obligation of the Lenders to make LIBOR Rate Loans (or Base Rate Loans as</w:t>
      </w:r>
    </w:p>
    <w:p>
      <w:pPr>
        <w:ind w:left="58"/>
        <w:spacing w:after="0" w:line="235" w:lineRule="auto"/>
        <w:rPr>
          <w:sz w:val="20"/>
          <w:szCs w:val="20"/>
          <w:color w:val="auto"/>
        </w:rPr>
      </w:pPr>
      <w:r>
        <w:rPr>
          <w:rFonts w:ascii="Arial" w:cs="Arial" w:eastAsia="Arial" w:hAnsi="Arial"/>
          <w:sz w:val="18"/>
          <w:szCs w:val="18"/>
          <w:color w:val="auto"/>
        </w:rPr>
        <w:t>to which the interest rate is determined with reference to LIBOR)</w:t>
      </w:r>
      <w:r>
        <w:rPr>
          <w:rFonts w:ascii="Arial" w:cs="Arial" w:eastAsia="Arial" w:hAnsi="Arial"/>
          <w:sz w:val="18"/>
          <w:szCs w:val="18"/>
          <w:color w:val="0000FF"/>
        </w:rPr>
        <w:t>, SOFR Loans</w:t>
      </w:r>
      <w:r>
        <w:rPr>
          <w:rFonts w:ascii="Arial" w:cs="Arial" w:eastAsia="Arial" w:hAnsi="Arial"/>
          <w:sz w:val="18"/>
          <w:szCs w:val="18"/>
          <w:color w:val="auto"/>
        </w:rPr>
        <w:t xml:space="preserve"> or CDOR Rate Loans (or Canadian Base Rate Loans as to</w:t>
      </w:r>
    </w:p>
    <w:p>
      <w:pPr>
        <w:jc w:val="both"/>
        <w:ind w:left="58"/>
        <w:spacing w:after="0" w:line="226" w:lineRule="auto"/>
        <w:rPr>
          <w:sz w:val="20"/>
          <w:szCs w:val="20"/>
          <w:color w:val="auto"/>
        </w:rPr>
      </w:pPr>
      <w:r>
        <w:rPr>
          <w:rFonts w:ascii="Arial" w:cs="Arial" w:eastAsia="Arial" w:hAnsi="Arial"/>
          <w:sz w:val="18"/>
          <w:szCs w:val="18"/>
          <w:color w:val="auto"/>
        </w:rPr>
        <w:t>which the interest rate is determined with reference to CDOR), as applicable, and the right of any Borrower to convert any Loan to or continue any Loan as a LIBOR Rate Loan (or a Base Rate Loan as to which the interest rate is determined with reference to LIBOR)</w:t>
      </w:r>
      <w:r>
        <w:rPr>
          <w:rFonts w:ascii="Arial" w:cs="Arial" w:eastAsia="Arial" w:hAnsi="Arial"/>
          <w:sz w:val="18"/>
          <w:szCs w:val="18"/>
          <w:color w:val="0000FF"/>
        </w:rPr>
        <w:t>,</w:t>
      </w:r>
    </w:p>
    <w:p>
      <w:pPr>
        <w:ind w:left="58"/>
        <w:spacing w:after="0" w:line="236" w:lineRule="auto"/>
        <w:rPr>
          <w:sz w:val="20"/>
          <w:szCs w:val="20"/>
          <w:color w:val="auto"/>
        </w:rPr>
      </w:pPr>
      <w:r>
        <w:rPr>
          <w:rFonts w:ascii="Arial" w:cs="Arial" w:eastAsia="Arial" w:hAnsi="Arial"/>
          <w:sz w:val="18"/>
          <w:szCs w:val="18"/>
          <w:color w:val="0000FF"/>
        </w:rPr>
        <w:t xml:space="preserve">SOFR Loan (or a Base Rate Loan as to which the interest rate is determined with reference to Adjusted Term SOFR) </w:t>
      </w:r>
      <w:r>
        <w:rPr>
          <w:rFonts w:ascii="Arial" w:cs="Arial" w:eastAsia="Arial" w:hAnsi="Arial"/>
          <w:sz w:val="18"/>
          <w:szCs w:val="18"/>
          <w:color w:val="000000"/>
        </w:rPr>
        <w:t>or a CDOR Rate</w:t>
      </w:r>
    </w:p>
    <w:p>
      <w:pPr>
        <w:spacing w:after="0" w:line="1" w:lineRule="exact"/>
        <w:rPr>
          <w:sz w:val="20"/>
          <w:szCs w:val="20"/>
          <w:color w:val="auto"/>
        </w:rPr>
      </w:pPr>
    </w:p>
    <w:p>
      <w:pPr>
        <w:ind w:left="58"/>
        <w:spacing w:after="0" w:line="204" w:lineRule="auto"/>
        <w:rPr>
          <w:sz w:val="20"/>
          <w:szCs w:val="20"/>
          <w:color w:val="auto"/>
        </w:rPr>
      </w:pPr>
      <w:r>
        <w:rPr>
          <w:rFonts w:ascii="Arial" w:cs="Arial" w:eastAsia="Arial" w:hAnsi="Arial"/>
          <w:sz w:val="20"/>
          <w:szCs w:val="20"/>
          <w:color w:val="auto"/>
        </w:rPr>
        <w:t>Loan (or Canadian Base Rate Loan as to which the interest rate is determined with reference to CDOR), as applicable, shall be suspended, and</w:t>
      </w:r>
    </w:p>
    <w:p>
      <w:pPr>
        <w:spacing w:after="0" w:line="1" w:lineRule="exact"/>
        <w:rPr>
          <w:sz w:val="20"/>
          <w:szCs w:val="20"/>
          <w:color w:val="auto"/>
        </w:rPr>
      </w:pPr>
    </w:p>
    <w:p>
      <w:pPr>
        <w:jc w:val="both"/>
        <w:ind w:left="58" w:hanging="4"/>
        <w:spacing w:after="0" w:line="219" w:lineRule="auto"/>
        <w:tabs>
          <w:tab w:leader="none" w:pos="586" w:val="left"/>
        </w:tabs>
        <w:numPr>
          <w:ilvl w:val="0"/>
          <w:numId w:val="237"/>
        </w:numPr>
        <w:rPr>
          <w:rFonts w:ascii="Arial" w:cs="Arial" w:eastAsia="Arial" w:hAnsi="Arial"/>
          <w:sz w:val="19"/>
          <w:szCs w:val="19"/>
          <w:color w:val="auto"/>
        </w:rPr>
      </w:pPr>
      <w:r>
        <w:rPr>
          <w:rFonts w:ascii="Arial" w:cs="Arial" w:eastAsia="Arial" w:hAnsi="Arial"/>
          <w:sz w:val="19"/>
          <w:szCs w:val="19"/>
          <w:color w:val="auto"/>
        </w:rPr>
        <w:t>in the case of LIBOR Rate Loans, the applicable Borrower shall either (A) repay in full (or cause to be repaid in full) the then outstanding principal amount of each such LIBOR Rate Loan made to it together with accrued interest thereon (subject to Section 5.1(d)), on the last day of the then current Interest Period applicable to such LIBOR Rate Loan; or (B) convert the then outstanding principal amount of each such LIBOR Rate Loan made to it to a Base Rate Loan as to which the interest rate is not determined by reference to LIBOR as of the last day of such Interest Period; (ii</w:t>
      </w:r>
      <w:r>
        <w:rPr>
          <w:rFonts w:ascii="Arial" w:cs="Arial" w:eastAsia="Arial" w:hAnsi="Arial"/>
          <w:sz w:val="19"/>
          <w:szCs w:val="19"/>
          <w:color w:val="0000FF"/>
        </w:rPr>
        <w:t>) in the case of SOFR Loans, the applicable Borrower shall either (A) repay in full (or</w:t>
      </w:r>
      <w:r>
        <w:rPr>
          <w:rFonts w:ascii="Arial" w:cs="Arial" w:eastAsia="Arial" w:hAnsi="Arial"/>
          <w:sz w:val="19"/>
          <w:szCs w:val="19"/>
          <w:color w:val="auto"/>
        </w:rPr>
        <w:t xml:space="preserve"> </w:t>
      </w:r>
      <w:r>
        <w:rPr>
          <w:rFonts w:ascii="Arial" w:cs="Arial" w:eastAsia="Arial" w:hAnsi="Arial"/>
          <w:sz w:val="19"/>
          <w:szCs w:val="19"/>
          <w:color w:val="0000FF"/>
        </w:rPr>
        <w:t>cause to be repaid in full) the then outstanding principal amount of each such SOFR Loan made to it together with accrued interest thereon (subject to Section 5.1(d)), on the last day of the then current Interest Period applicable to such SOFR Loan; or (B) convert the then outstanding principal amount of each such SOFR Loan made to it to a Base Rate Loan as to which the interest rate is not determined by reference to Adjusted Term SOFR as of the last day of such Interest Period; (iii</w:t>
      </w:r>
      <w:r>
        <w:rPr>
          <w:rFonts w:ascii="Arial" w:cs="Arial" w:eastAsia="Arial" w:hAnsi="Arial"/>
          <w:sz w:val="19"/>
          <w:szCs w:val="19"/>
          <w:color w:val="000000"/>
        </w:rPr>
        <w:t>) in the case of Base Rate Loans as to which the interest</w:t>
      </w:r>
      <w:r>
        <w:rPr>
          <w:rFonts w:ascii="Arial" w:cs="Arial" w:eastAsia="Arial" w:hAnsi="Arial"/>
          <w:sz w:val="19"/>
          <w:szCs w:val="19"/>
          <w:color w:val="0000FF"/>
        </w:rPr>
        <w:t xml:space="preserve"> </w:t>
      </w:r>
      <w:r>
        <w:rPr>
          <w:rFonts w:ascii="Arial" w:cs="Arial" w:eastAsia="Arial" w:hAnsi="Arial"/>
          <w:sz w:val="19"/>
          <w:szCs w:val="19"/>
          <w:color w:val="000000"/>
        </w:rPr>
        <w:t xml:space="preserve">rate is determined by reference to LIBOR </w:t>
      </w:r>
      <w:r>
        <w:rPr>
          <w:rFonts w:ascii="Arial" w:cs="Arial" w:eastAsia="Arial" w:hAnsi="Arial"/>
          <w:sz w:val="19"/>
          <w:szCs w:val="19"/>
          <w:color w:val="0000FF"/>
        </w:rPr>
        <w:t>or Adjusted Term SOFR (as applicable)</w:t>
      </w:r>
      <w:r>
        <w:rPr>
          <w:rFonts w:ascii="Arial" w:cs="Arial" w:eastAsia="Arial" w:hAnsi="Arial"/>
          <w:sz w:val="19"/>
          <w:szCs w:val="19"/>
          <w:color w:val="000000"/>
        </w:rPr>
        <w:t xml:space="preserve">, the US Borrowers shall convert the then outstanding principal amount of each such Loan to a Base Rate Loan as to which the interest rate is not determined by reference to LIBOR </w:t>
      </w:r>
      <w:r>
        <w:rPr>
          <w:rFonts w:ascii="Arial" w:cs="Arial" w:eastAsia="Arial" w:hAnsi="Arial"/>
          <w:sz w:val="19"/>
          <w:szCs w:val="19"/>
          <w:color w:val="0000FF"/>
        </w:rPr>
        <w:t>or Adjusted</w:t>
      </w:r>
      <w:r>
        <w:rPr>
          <w:rFonts w:ascii="Arial" w:cs="Arial" w:eastAsia="Arial" w:hAnsi="Arial"/>
          <w:sz w:val="19"/>
          <w:szCs w:val="19"/>
          <w:color w:val="000000"/>
        </w:rPr>
        <w:t xml:space="preserve"> </w:t>
      </w:r>
      <w:r>
        <w:rPr>
          <w:rFonts w:ascii="Arial" w:cs="Arial" w:eastAsia="Arial" w:hAnsi="Arial"/>
          <w:sz w:val="19"/>
          <w:szCs w:val="19"/>
          <w:color w:val="0000FF"/>
        </w:rPr>
        <w:t xml:space="preserve">Term SOFR (as applicable) </w:t>
      </w:r>
      <w:r>
        <w:rPr>
          <w:rFonts w:ascii="Arial" w:cs="Arial" w:eastAsia="Arial" w:hAnsi="Arial"/>
          <w:sz w:val="19"/>
          <w:szCs w:val="19"/>
          <w:color w:val="000000"/>
        </w:rPr>
        <w:t>as of the last day of such Interest Period; or (</w:t>
      </w:r>
      <w:r>
        <w:rPr>
          <w:rFonts w:ascii="Arial" w:cs="Arial" w:eastAsia="Arial" w:hAnsi="Arial"/>
          <w:sz w:val="19"/>
          <w:szCs w:val="19"/>
          <w:color w:val="FF0000"/>
          <w:strike w:val="1"/>
        </w:rPr>
        <w:t>iii</w:t>
      </w:r>
      <w:r>
        <w:rPr>
          <w:rFonts w:ascii="Arial" w:cs="Arial" w:eastAsia="Arial" w:hAnsi="Arial"/>
          <w:sz w:val="19"/>
          <w:szCs w:val="19"/>
          <w:color w:val="0000FF"/>
        </w:rPr>
        <w:t>iv</w:t>
      </w:r>
      <w:r>
        <w:rPr>
          <w:rFonts w:ascii="Arial" w:cs="Arial" w:eastAsia="Arial" w:hAnsi="Arial"/>
          <w:sz w:val="19"/>
          <w:szCs w:val="19"/>
          <w:color w:val="000000"/>
        </w:rPr>
        <w:t>) in the case of CDOR Rate Loans (or Canadian Base Rate</w:t>
      </w:r>
      <w:r>
        <w:rPr>
          <w:rFonts w:ascii="Arial" w:cs="Arial" w:eastAsia="Arial" w:hAnsi="Arial"/>
          <w:sz w:val="19"/>
          <w:szCs w:val="19"/>
          <w:color w:val="0000FF"/>
        </w:rPr>
        <w:t xml:space="preserve"> </w:t>
      </w:r>
      <w:r>
        <w:rPr>
          <w:rFonts w:ascii="Arial" w:cs="Arial" w:eastAsia="Arial" w:hAnsi="Arial"/>
          <w:sz w:val="19"/>
          <w:szCs w:val="19"/>
          <w:color w:val="000000"/>
        </w:rPr>
        <w:t>Loans as to which the interest rate is determined by reference to the CDOR Rate), the Canadian Borrowers shall convert the then outstanding principal amount of each such Loan to a Canadian Base Rate Loan as to which the interest rate is not determined by reference to the CDOR Rate.</w:t>
      </w:r>
    </w:p>
    <w:p>
      <w:pPr>
        <w:spacing w:after="0" w:line="206" w:lineRule="exact"/>
        <w:rPr>
          <w:rFonts w:ascii="Arial" w:cs="Arial" w:eastAsia="Arial" w:hAnsi="Arial"/>
          <w:sz w:val="19"/>
          <w:szCs w:val="19"/>
          <w:color w:val="auto"/>
        </w:rPr>
      </w:pPr>
    </w:p>
    <w:p>
      <w:pPr>
        <w:jc w:val="both"/>
        <w:ind w:left="58" w:firstLine="644"/>
        <w:spacing w:after="0" w:line="221" w:lineRule="auto"/>
        <w:tabs>
          <w:tab w:leader="none" w:pos="1235" w:val="left"/>
        </w:tabs>
        <w:numPr>
          <w:ilvl w:val="1"/>
          <w:numId w:val="237"/>
        </w:numPr>
        <w:rPr>
          <w:rFonts w:ascii="Arial" w:cs="Arial" w:eastAsia="Arial" w:hAnsi="Arial"/>
          <w:sz w:val="19"/>
          <w:szCs w:val="19"/>
          <w:color w:val="auto"/>
        </w:rPr>
      </w:pPr>
      <w:r>
        <w:rPr>
          <w:rFonts w:ascii="Arial" w:cs="Arial" w:eastAsia="Arial" w:hAnsi="Arial"/>
          <w:sz w:val="19"/>
          <w:szCs w:val="19"/>
          <w:color w:val="auto"/>
        </w:rPr>
        <w:t>Laws Affecting LIBOR Rate</w:t>
      </w:r>
      <w:r>
        <w:rPr>
          <w:rFonts w:ascii="Arial" w:cs="Arial" w:eastAsia="Arial" w:hAnsi="Arial"/>
          <w:sz w:val="19"/>
          <w:szCs w:val="19"/>
          <w:color w:val="0000FF"/>
        </w:rPr>
        <w:t>, SOFR</w:t>
      </w:r>
      <w:r>
        <w:rPr>
          <w:rFonts w:ascii="Arial" w:cs="Arial" w:eastAsia="Arial" w:hAnsi="Arial"/>
          <w:sz w:val="19"/>
          <w:szCs w:val="19"/>
          <w:color w:val="auto"/>
        </w:rPr>
        <w:t xml:space="preserve"> or CDOR Rate Availability.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LIBOR Rate Loan (or any Base Rate Loan as to which the interest rate is determined by reference to LIBOR)</w:t>
      </w:r>
      <w:r>
        <w:rPr>
          <w:rFonts w:ascii="Arial" w:cs="Arial" w:eastAsia="Arial" w:hAnsi="Arial"/>
          <w:sz w:val="19"/>
          <w:szCs w:val="19"/>
          <w:color w:val="0000FF"/>
        </w:rPr>
        <w:t>, (y) any SOFR Loan or to determine or charge interest based upon SOFR, the Term SOFR</w:t>
      </w:r>
      <w:r>
        <w:rPr>
          <w:rFonts w:ascii="Arial" w:cs="Arial" w:eastAsia="Arial" w:hAnsi="Arial"/>
          <w:sz w:val="19"/>
          <w:szCs w:val="19"/>
          <w:color w:val="auto"/>
        </w:rPr>
        <w:t xml:space="preserve"> </w:t>
      </w:r>
      <w:r>
        <w:rPr>
          <w:rFonts w:ascii="Arial" w:cs="Arial" w:eastAsia="Arial" w:hAnsi="Arial"/>
          <w:sz w:val="19"/>
          <w:szCs w:val="19"/>
          <w:color w:val="0000FF"/>
        </w:rPr>
        <w:t xml:space="preserve">Reference Rate, Adjusted Term SOFR or Term SOFR </w:t>
      </w:r>
      <w:r>
        <w:rPr>
          <w:rFonts w:ascii="Arial" w:cs="Arial" w:eastAsia="Arial" w:hAnsi="Arial"/>
          <w:sz w:val="19"/>
          <w:szCs w:val="19"/>
          <w:color w:val="000000"/>
        </w:rPr>
        <w:t>or (</w:t>
      </w:r>
      <w:r>
        <w:rPr>
          <w:rFonts w:ascii="Arial" w:cs="Arial" w:eastAsia="Arial" w:hAnsi="Arial"/>
          <w:sz w:val="19"/>
          <w:szCs w:val="19"/>
          <w:color w:val="FF0000"/>
          <w:strike w:val="1"/>
        </w:rPr>
        <w:t>y</w:t>
      </w:r>
      <w:r>
        <w:rPr>
          <w:rFonts w:ascii="Arial" w:cs="Arial" w:eastAsia="Arial" w:hAnsi="Arial"/>
          <w:sz w:val="19"/>
          <w:szCs w:val="19"/>
          <w:color w:val="0000FF"/>
        </w:rPr>
        <w:t>z</w:t>
      </w:r>
      <w:r>
        <w:rPr>
          <w:rFonts w:ascii="Arial" w:cs="Arial" w:eastAsia="Arial" w:hAnsi="Arial"/>
          <w:sz w:val="19"/>
          <w:szCs w:val="19"/>
          <w:color w:val="000000"/>
        </w:rPr>
        <w:t>) any CDOR Rate Loan (or any Canadian Base Rate Loan as to which the</w:t>
      </w:r>
      <w:r>
        <w:rPr>
          <w:rFonts w:ascii="Arial" w:cs="Arial" w:eastAsia="Arial" w:hAnsi="Arial"/>
          <w:sz w:val="19"/>
          <w:szCs w:val="19"/>
          <w:color w:val="0000FF"/>
        </w:rPr>
        <w:t xml:space="preserve"> </w:t>
      </w:r>
      <w:r>
        <w:rPr>
          <w:rFonts w:ascii="Arial" w:cs="Arial" w:eastAsia="Arial" w:hAnsi="Arial"/>
          <w:sz w:val="19"/>
          <w:szCs w:val="19"/>
          <w:color w:val="000000"/>
        </w:rPr>
        <w:t>interest rate is determined by reference to the CDOR Rate), such Lender shall promptly give notice thereof to the Administrative Agent and the Administrative Agent shall promptly give notice to Centuri and the other Lenders. Thereafter, until the Administrative Agent notifies Centuri that such circumstances no longer exist: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3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6" w:name="page167"/>
    <w:bookmarkEnd w:id="166"/>
    <w:p>
      <w:pPr>
        <w:jc w:val="both"/>
        <w:ind w:left="678" w:firstLine="654"/>
        <w:spacing w:after="0" w:line="237" w:lineRule="auto"/>
        <w:tabs>
          <w:tab w:leader="none" w:pos="193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obligations of the Lenders to make LIBOR Rate Loans (or Base Rate Loans as to which the interest rate is determined by reference to LIBOR)</w:t>
      </w:r>
      <w:r>
        <w:rPr>
          <w:rFonts w:ascii="Arial" w:cs="Arial" w:eastAsia="Arial" w:hAnsi="Arial"/>
          <w:sz w:val="18"/>
          <w:szCs w:val="18"/>
          <w:color w:val="0000FF"/>
        </w:rPr>
        <w:t>, SOFR Loans</w:t>
      </w:r>
      <w:r>
        <w:rPr>
          <w:rFonts w:ascii="Arial" w:cs="Arial" w:eastAsia="Arial" w:hAnsi="Arial"/>
          <w:sz w:val="18"/>
          <w:szCs w:val="18"/>
          <w:color w:val="auto"/>
        </w:rPr>
        <w:t xml:space="preserve"> or CDOR Rate Loans (or Canadian Base Rate Loans as to which the interest rate is determined by reference to the CDOR Rate), as applicable, and the right of the Borrowers to convert any Loan to a LIBOR Rate Loan </w:t>
      </w:r>
      <w:r>
        <w:rPr>
          <w:rFonts w:ascii="Arial" w:cs="Arial" w:eastAsia="Arial" w:hAnsi="Arial"/>
          <w:sz w:val="18"/>
          <w:szCs w:val="18"/>
          <w:color w:val="0000FF"/>
        </w:rPr>
        <w:t>or SOFR Loan (as applicable)</w:t>
      </w:r>
      <w:r>
        <w:rPr>
          <w:rFonts w:ascii="Arial" w:cs="Arial" w:eastAsia="Arial" w:hAnsi="Arial"/>
          <w:sz w:val="18"/>
          <w:szCs w:val="18"/>
          <w:color w:val="auto"/>
        </w:rPr>
        <w:t xml:space="preserve"> or continue any Loan as a LIBOR Rate Loan (or a Base Rate Loan as to which the interest rate is determined by reference to LIBOR) </w:t>
      </w:r>
      <w:r>
        <w:rPr>
          <w:rFonts w:ascii="Arial" w:cs="Arial" w:eastAsia="Arial" w:hAnsi="Arial"/>
          <w:sz w:val="18"/>
          <w:szCs w:val="18"/>
          <w:color w:val="0000FF"/>
        </w:rPr>
        <w:t>or SOFR Loan (or a Base Rate Loan as to which the interest rate is determined</w:t>
      </w:r>
      <w:r>
        <w:rPr>
          <w:rFonts w:ascii="Arial" w:cs="Arial" w:eastAsia="Arial" w:hAnsi="Arial"/>
          <w:sz w:val="18"/>
          <w:szCs w:val="18"/>
          <w:color w:val="auto"/>
        </w:rPr>
        <w:t xml:space="preserve"> </w:t>
      </w:r>
      <w:r>
        <w:rPr>
          <w:rFonts w:ascii="Arial" w:cs="Arial" w:eastAsia="Arial" w:hAnsi="Arial"/>
          <w:sz w:val="18"/>
          <w:szCs w:val="18"/>
          <w:color w:val="0000FF"/>
        </w:rPr>
        <w:t>with reference to Adjusted Term SOFR) (as applicable)</w:t>
      </w:r>
      <w:r>
        <w:rPr>
          <w:rFonts w:ascii="Arial" w:cs="Arial" w:eastAsia="Arial" w:hAnsi="Arial"/>
          <w:sz w:val="18"/>
          <w:szCs w:val="18"/>
          <w:color w:val="000000"/>
        </w:rPr>
        <w:t>, or to convert any Loan to a CDOR Rate Loan (or any Canadian Base Rate</w:t>
      </w:r>
      <w:r>
        <w:rPr>
          <w:rFonts w:ascii="Arial" w:cs="Arial" w:eastAsia="Arial" w:hAnsi="Arial"/>
          <w:sz w:val="18"/>
          <w:szCs w:val="18"/>
          <w:color w:val="0000FF"/>
        </w:rPr>
        <w:t xml:space="preserve"> </w:t>
      </w:r>
      <w:r>
        <w:rPr>
          <w:rFonts w:ascii="Arial" w:cs="Arial" w:eastAsia="Arial" w:hAnsi="Arial"/>
          <w:sz w:val="18"/>
          <w:szCs w:val="18"/>
          <w:color w:val="000000"/>
        </w:rPr>
        <w:t>Loan as to which the interest rate is determined by reference to the CDOR Rate), shall be suspended and thereafter the applicable Borrower may select only Base Rate Loans and Canadian Base Rate Loans, as applicable, as to which the interest rate is not determined by reference to LIBOR</w:t>
      </w:r>
      <w:r>
        <w:rPr>
          <w:rFonts w:ascii="Arial" w:cs="Arial" w:eastAsia="Arial" w:hAnsi="Arial"/>
          <w:sz w:val="18"/>
          <w:szCs w:val="18"/>
          <w:color w:val="0000FF"/>
        </w:rPr>
        <w:t>, Adjusted Term SOFR</w:t>
      </w:r>
      <w:r>
        <w:rPr>
          <w:rFonts w:ascii="Arial" w:cs="Arial" w:eastAsia="Arial" w:hAnsi="Arial"/>
          <w:sz w:val="18"/>
          <w:szCs w:val="18"/>
          <w:color w:val="000000"/>
        </w:rPr>
        <w:t xml:space="preserve"> or CDOR hereunder,</w:t>
      </w:r>
    </w:p>
    <w:p>
      <w:pPr>
        <w:spacing w:after="0" w:line="266" w:lineRule="exact"/>
        <w:rPr>
          <w:rFonts w:ascii="Arial" w:cs="Arial" w:eastAsia="Arial" w:hAnsi="Arial"/>
          <w:sz w:val="18"/>
          <w:szCs w:val="18"/>
          <w:color w:val="auto"/>
        </w:rPr>
      </w:pPr>
    </w:p>
    <w:p>
      <w:pPr>
        <w:ind w:left="678" w:right="20" w:firstLine="654"/>
        <w:spacing w:after="0" w:line="242" w:lineRule="auto"/>
        <w:tabs>
          <w:tab w:leader="none" w:pos="188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all Base Rate Loans shall cease to be determined by reference to LIBOR </w:t>
      </w:r>
      <w:r>
        <w:rPr>
          <w:rFonts w:ascii="Arial" w:cs="Arial" w:eastAsia="Arial" w:hAnsi="Arial"/>
          <w:sz w:val="19"/>
          <w:szCs w:val="19"/>
          <w:color w:val="0000FF"/>
        </w:rPr>
        <w:t>or Adjusted Term SOFR, as applicable,</w:t>
      </w:r>
      <w:r>
        <w:rPr>
          <w:rFonts w:ascii="Arial" w:cs="Arial" w:eastAsia="Arial" w:hAnsi="Arial"/>
          <w:sz w:val="19"/>
          <w:szCs w:val="19"/>
          <w:color w:val="auto"/>
        </w:rPr>
        <w:t xml:space="preserve"> and/or all Canadian Base Rate Loans shall cease to be determined by reference to CDOR, as applicable, and</w:t>
      </w:r>
    </w:p>
    <w:p>
      <w:pPr>
        <w:spacing w:after="0" w:line="207" w:lineRule="exact"/>
        <w:rPr>
          <w:rFonts w:ascii="Arial" w:cs="Arial" w:eastAsia="Arial" w:hAnsi="Arial"/>
          <w:sz w:val="19"/>
          <w:szCs w:val="19"/>
          <w:color w:val="auto"/>
        </w:rPr>
      </w:pPr>
    </w:p>
    <w:p>
      <w:pPr>
        <w:jc w:val="both"/>
        <w:ind w:left="678" w:firstLine="654"/>
        <w:spacing w:after="0" w:line="212" w:lineRule="auto"/>
        <w:tabs>
          <w:tab w:leader="none" w:pos="1882" w:val="left"/>
        </w:tabs>
        <w:numPr>
          <w:ilvl w:val="1"/>
          <w:numId w:val="239"/>
        </w:numPr>
        <w:rPr>
          <w:rFonts w:ascii="Arial" w:cs="Arial" w:eastAsia="Arial" w:hAnsi="Arial"/>
          <w:sz w:val="20"/>
          <w:szCs w:val="20"/>
          <w:color w:val="auto"/>
        </w:rPr>
      </w:pPr>
      <w:r>
        <w:rPr>
          <w:rFonts w:ascii="Arial" w:cs="Arial" w:eastAsia="Arial" w:hAnsi="Arial"/>
          <w:sz w:val="20"/>
          <w:szCs w:val="20"/>
          <w:color w:val="auto"/>
        </w:rPr>
        <w:t xml:space="preserve">if any of the Lenders may not lawfully continue to maintain a LIBOR Rate Loan </w:t>
      </w:r>
      <w:r>
        <w:rPr>
          <w:rFonts w:ascii="Arial" w:cs="Arial" w:eastAsia="Arial" w:hAnsi="Arial"/>
          <w:sz w:val="20"/>
          <w:szCs w:val="20"/>
          <w:color w:val="0000FF"/>
        </w:rPr>
        <w:t>or SOFR Loan, as applicable,</w:t>
      </w:r>
      <w:r>
        <w:rPr>
          <w:rFonts w:ascii="Arial" w:cs="Arial" w:eastAsia="Arial" w:hAnsi="Arial"/>
          <w:sz w:val="20"/>
          <w:szCs w:val="20"/>
          <w:color w:val="auto"/>
        </w:rPr>
        <w:t xml:space="preserve"> to the end of the then current Interest Period applicable thereto, the applicable Loan shall immediately be converted to a Base Rate Loan as to which the interest rate is not determined by reference to LIBOR </w:t>
      </w:r>
      <w:r>
        <w:rPr>
          <w:rFonts w:ascii="Arial" w:cs="Arial" w:eastAsia="Arial" w:hAnsi="Arial"/>
          <w:sz w:val="20"/>
          <w:szCs w:val="20"/>
          <w:color w:val="0000FF"/>
        </w:rPr>
        <w:t>or Adjusted Term SOFR, as applicable,</w:t>
      </w:r>
      <w:r>
        <w:rPr>
          <w:rFonts w:ascii="Arial" w:cs="Arial" w:eastAsia="Arial" w:hAnsi="Arial"/>
          <w:sz w:val="20"/>
          <w:szCs w:val="20"/>
          <w:color w:val="auto"/>
        </w:rPr>
        <w:t xml:space="preserve">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197" w:lineRule="exact"/>
        <w:rPr>
          <w:rFonts w:ascii="Arial" w:cs="Arial" w:eastAsia="Arial" w:hAnsi="Arial"/>
          <w:sz w:val="20"/>
          <w:szCs w:val="20"/>
          <w:color w:val="auto"/>
        </w:rPr>
      </w:pPr>
    </w:p>
    <w:p>
      <w:pPr>
        <w:ind w:left="1318" w:hanging="634"/>
        <w:spacing w:after="0"/>
        <w:tabs>
          <w:tab w:leader="none" w:pos="1318" w:val="left"/>
        </w:tabs>
        <w:numPr>
          <w:ilvl w:val="0"/>
          <w:numId w:val="240"/>
        </w:numPr>
        <w:rPr>
          <w:rFonts w:ascii="Arial" w:cs="Arial" w:eastAsia="Arial" w:hAnsi="Arial"/>
          <w:sz w:val="20"/>
          <w:szCs w:val="20"/>
          <w:color w:val="auto"/>
        </w:rPr>
      </w:pPr>
      <w:r>
        <w:rPr>
          <w:rFonts w:ascii="Arial" w:cs="Arial" w:eastAsia="Arial" w:hAnsi="Arial"/>
          <w:sz w:val="20"/>
          <w:szCs w:val="20"/>
          <w:color w:val="auto"/>
        </w:rPr>
        <w:t>Benchmark Replacement Setting.</w:t>
      </w:r>
    </w:p>
    <w:p>
      <w:pPr>
        <w:spacing w:after="0" w:line="296" w:lineRule="exact"/>
        <w:rPr>
          <w:rFonts w:ascii="Arial" w:cs="Arial" w:eastAsia="Arial" w:hAnsi="Arial"/>
          <w:sz w:val="20"/>
          <w:szCs w:val="20"/>
          <w:color w:val="auto"/>
        </w:rPr>
      </w:pPr>
    </w:p>
    <w:p>
      <w:pPr>
        <w:jc w:val="both"/>
        <w:ind w:left="1338" w:hanging="6"/>
        <w:spacing w:after="0" w:line="269" w:lineRule="auto"/>
        <w:tabs>
          <w:tab w:leader="none" w:pos="189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(A) Benchmark Replacement </w:t>
      </w:r>
      <w:r>
        <w:rPr>
          <w:rFonts w:ascii="Arial" w:cs="Arial" w:eastAsia="Arial" w:hAnsi="Arial"/>
          <w:sz w:val="18"/>
          <w:szCs w:val="18"/>
          <w:color w:val="0000FF"/>
        </w:rPr>
        <w:t>(LIBOR)</w:t>
      </w:r>
      <w:r>
        <w:rPr>
          <w:rFonts w:ascii="Arial" w:cs="Arial" w:eastAsia="Arial" w:hAnsi="Arial"/>
          <w:sz w:val="18"/>
          <w:szCs w:val="18"/>
          <w:color w:val="auto"/>
        </w:rPr>
        <w:t xml:space="preserve">. Notwithstanding anything to the contrary herein or in any other Loan Document (and any Hedge Agreement shall be deemed not to be a “Loan Document” for purposes of this Section 5.8(c)) if a Benchmark Transition Event </w:t>
      </w:r>
      <w:r>
        <w:rPr>
          <w:rFonts w:ascii="Arial" w:cs="Arial" w:eastAsia="Arial" w:hAnsi="Arial"/>
          <w:sz w:val="18"/>
          <w:szCs w:val="18"/>
          <w:color w:val="0000FF"/>
        </w:rPr>
        <w:t>(LIBOR)</w:t>
      </w:r>
      <w:r>
        <w:rPr>
          <w:rFonts w:ascii="Arial" w:cs="Arial" w:eastAsia="Arial" w:hAnsi="Arial"/>
          <w:sz w:val="18"/>
          <w:szCs w:val="18"/>
          <w:color w:val="auto"/>
        </w:rPr>
        <w:t xml:space="preserve"> or an Early Opt-in Election, as applicable, and its related Benchmark Replacement Date </w:t>
      </w:r>
      <w:r>
        <w:rPr>
          <w:rFonts w:ascii="Arial" w:cs="Arial" w:eastAsia="Arial" w:hAnsi="Arial"/>
          <w:sz w:val="18"/>
          <w:szCs w:val="18"/>
          <w:color w:val="0000FF"/>
        </w:rPr>
        <w:t>(LIBOR)</w:t>
      </w:r>
      <w:r>
        <w:rPr>
          <w:rFonts w:ascii="Arial" w:cs="Arial" w:eastAsia="Arial" w:hAnsi="Arial"/>
          <w:sz w:val="18"/>
          <w:szCs w:val="18"/>
          <w:color w:val="auto"/>
        </w:rPr>
        <w:t xml:space="preserve"> have occurred prior to the Reference Time in respect of any setting of the then-current Benchmark, then (x) if a Benchmark Replacement is determined in accordance with clause (a)(1) or (a)(2) of the definition of “Benchmark Replacement </w:t>
      </w:r>
      <w:r>
        <w:rPr>
          <w:rFonts w:ascii="Arial" w:cs="Arial" w:eastAsia="Arial" w:hAnsi="Arial"/>
          <w:sz w:val="18"/>
          <w:szCs w:val="18"/>
          <w:color w:val="0000FF"/>
        </w:rPr>
        <w:t>(LIBOR)</w:t>
      </w:r>
      <w:r>
        <w:rPr>
          <w:rFonts w:ascii="Arial" w:cs="Arial" w:eastAsia="Arial" w:hAnsi="Arial"/>
          <w:sz w:val="18"/>
          <w:szCs w:val="18"/>
          <w:color w:val="auto"/>
        </w:rPr>
        <w:t xml:space="preserve">” for such Benchmark Replacement Date </w:t>
      </w:r>
      <w:r>
        <w:rPr>
          <w:rFonts w:ascii="Arial" w:cs="Arial" w:eastAsia="Arial" w:hAnsi="Arial"/>
          <w:sz w:val="18"/>
          <w:szCs w:val="18"/>
          <w:color w:val="0000FF"/>
        </w:rPr>
        <w:t>(LIBOR)</w:t>
      </w:r>
      <w:r>
        <w:rPr>
          <w:rFonts w:ascii="Arial" w:cs="Arial" w:eastAsia="Arial" w:hAnsi="Arial"/>
          <w:sz w:val="18"/>
          <w:szCs w:val="18"/>
          <w:color w:val="auto"/>
        </w:rPr>
        <w:t xml:space="preserv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(a)(3) of the definition of “Benchmark Replacement </w:t>
      </w:r>
      <w:r>
        <w:rPr>
          <w:rFonts w:ascii="Arial" w:cs="Arial" w:eastAsia="Arial" w:hAnsi="Arial"/>
          <w:sz w:val="18"/>
          <w:szCs w:val="18"/>
          <w:color w:val="0000FF"/>
        </w:rPr>
        <w:t>(LIBOR)</w:t>
      </w:r>
      <w:r>
        <w:rPr>
          <w:rFonts w:ascii="Arial" w:cs="Arial" w:eastAsia="Arial" w:hAnsi="Arial"/>
          <w:sz w:val="18"/>
          <w:szCs w:val="18"/>
          <w:color w:val="auto"/>
        </w:rPr>
        <w:t xml:space="preserve">” for such Benchmark Replacement Date </w:t>
      </w:r>
      <w:r>
        <w:rPr>
          <w:rFonts w:ascii="Arial" w:cs="Arial" w:eastAsia="Arial" w:hAnsi="Arial"/>
          <w:sz w:val="18"/>
          <w:szCs w:val="18"/>
          <w:color w:val="0000FF"/>
        </w:rPr>
        <w:t>(LIBOR)</w:t>
      </w:r>
      <w:r>
        <w:rPr>
          <w:rFonts w:ascii="Arial" w:cs="Arial" w:eastAsia="Arial" w:hAnsi="Arial"/>
          <w:sz w:val="18"/>
          <w:szCs w:val="18"/>
          <w:color w:val="auto"/>
        </w:rPr>
        <w:t>, such Benchmark Replacement will replace such Benchmark for all purposes hereunder and under any Loan Document in respect of any Benchmark setting at or after 5:00 p.m. (New York City time) on the fifth (5</w:t>
      </w:r>
      <w:r>
        <w:rPr>
          <w:rFonts w:ascii="Arial" w:cs="Arial" w:eastAsia="Arial" w:hAnsi="Arial"/>
          <w:sz w:val="11"/>
          <w:szCs w:val="11"/>
          <w:color w:val="auto"/>
        </w:rPr>
        <w:t>th</w:t>
      </w:r>
      <w:r>
        <w:rPr>
          <w:rFonts w:ascii="Arial" w:cs="Arial" w:eastAsia="Arial" w:hAnsi="Arial"/>
          <w:sz w:val="18"/>
          <w:szCs w:val="18"/>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-5370195</wp:posOffset>
            </wp:positionV>
            <wp:extent cx="342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4">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41"/>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67" w:name="page168"/>
    <w:bookmarkEnd w:id="167"/>
    <w:p>
      <w:pPr>
        <w:spacing w:after="0" w:line="209" w:lineRule="exact"/>
        <w:rPr>
          <w:sz w:val="20"/>
          <w:szCs w:val="20"/>
          <w:color w:val="auto"/>
        </w:rPr>
      </w:pPr>
    </w:p>
    <w:p>
      <w:pPr>
        <w:ind w:left="1338"/>
        <w:spacing w:after="0" w:line="236" w:lineRule="auto"/>
        <w:rPr>
          <w:sz w:val="20"/>
          <w:szCs w:val="20"/>
          <w:color w:val="auto"/>
        </w:rPr>
      </w:pPr>
      <w:r>
        <w:rPr>
          <w:rFonts w:ascii="Arial" w:cs="Arial" w:eastAsia="Arial" w:hAnsi="Arial"/>
          <w:sz w:val="20"/>
          <w:szCs w:val="20"/>
          <w:color w:val="auto"/>
        </w:rPr>
        <w:t>Replacement from Lenders comprising the Required Lenders. If an Unadjusted Benchmark Replacement is Daily Simple SOFR, all interest payments will be payable on a monthly basis.</w:t>
      </w:r>
    </w:p>
    <w:p>
      <w:pPr>
        <w:spacing w:after="0" w:line="209" w:lineRule="exact"/>
        <w:rPr>
          <w:sz w:val="20"/>
          <w:szCs w:val="20"/>
          <w:color w:val="auto"/>
        </w:rPr>
      </w:pPr>
    </w:p>
    <w:p>
      <w:pPr>
        <w:jc w:val="both"/>
        <w:ind w:left="1338" w:firstLine="642"/>
        <w:spacing w:after="0" w:line="270" w:lineRule="auto"/>
        <w:tabs>
          <w:tab w:leader="none" w:pos="2541" w:val="left"/>
        </w:tabs>
        <w:numPr>
          <w:ilvl w:val="1"/>
          <w:numId w:val="242"/>
        </w:numPr>
        <w:rPr>
          <w:rFonts w:ascii="Arial" w:cs="Arial" w:eastAsia="Arial" w:hAnsi="Arial"/>
          <w:sz w:val="18"/>
          <w:szCs w:val="18"/>
          <w:color w:val="auto"/>
        </w:rPr>
      </w:pPr>
      <w:r>
        <w:rPr>
          <w:rFonts w:ascii="Arial" w:cs="Arial" w:eastAsia="Arial" w:hAnsi="Arial"/>
          <w:sz w:val="18"/>
          <w:szCs w:val="18"/>
          <w:color w:val="0000FF"/>
        </w:rPr>
        <w:t>Benchmark Replacement (Non-LIBOR). Notwithstanding anything to the contrary herein or in any other Loan Document (and any Hedge Agreement shall be deemed not to be a “Loan Document” for purposes of this Section 5.8(c)), upon the occurrence of a Benchmark Transition Event (Non-LIBOR), the Administrative Agent and the Borrowers may amend this Agreement to replace the then-current Benchmark with a Benchmark Replacement. Any such amendment with respect to a Benchmark Transition Event (Non- LIBOR) will become effective at 5:00 p.m. on the fifth (5</w:t>
      </w:r>
      <w:r>
        <w:rPr>
          <w:rFonts w:ascii="Arial" w:cs="Arial" w:eastAsia="Arial" w:hAnsi="Arial"/>
          <w:sz w:val="11"/>
          <w:szCs w:val="11"/>
          <w:color w:val="0000FF"/>
        </w:rPr>
        <w:t>th</w:t>
      </w:r>
      <w:r>
        <w:rPr>
          <w:rFonts w:ascii="Arial" w:cs="Arial" w:eastAsia="Arial" w:hAnsi="Arial"/>
          <w:sz w:val="18"/>
          <w:szCs w:val="18"/>
          <w:color w:val="0000FF"/>
        </w:rPr>
        <w:t>)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Section 5.8(c)(i)(B) will occur prior to the applicable Benchmark Transition Start Date.</w:t>
      </w:r>
    </w:p>
    <w:p>
      <w:pPr>
        <w:spacing w:after="0" w:line="253" w:lineRule="exact"/>
        <w:rPr>
          <w:rFonts w:ascii="Arial" w:cs="Arial" w:eastAsia="Arial" w:hAnsi="Arial"/>
          <w:sz w:val="18"/>
          <w:szCs w:val="18"/>
          <w:color w:val="auto"/>
        </w:rPr>
      </w:pPr>
    </w:p>
    <w:p>
      <w:pPr>
        <w:jc w:val="both"/>
        <w:ind w:left="1338" w:firstLine="642"/>
        <w:spacing w:after="0" w:line="223" w:lineRule="auto"/>
        <w:tabs>
          <w:tab w:leader="none" w:pos="2542" w:val="left"/>
        </w:tabs>
        <w:numPr>
          <w:ilvl w:val="1"/>
          <w:numId w:val="242"/>
        </w:numPr>
        <w:rPr>
          <w:rFonts w:ascii="Arial" w:cs="Arial" w:eastAsia="Arial" w:hAnsi="Arial"/>
          <w:sz w:val="19"/>
          <w:szCs w:val="19"/>
          <w:color w:val="auto"/>
        </w:rPr>
      </w:pPr>
      <w:r>
        <w:rPr>
          <w:rFonts w:ascii="Arial" w:cs="Arial" w:eastAsia="Arial" w:hAnsi="Arial"/>
          <w:sz w:val="19"/>
          <w:szCs w:val="19"/>
          <w:color w:val="FF0000"/>
          <w:strike w:val="1"/>
        </w:rPr>
        <w:t>(B)</w:t>
      </w:r>
      <w:r>
        <w:rPr>
          <w:rFonts w:ascii="Arial" w:cs="Arial" w:eastAsia="Arial" w:hAnsi="Arial"/>
          <w:sz w:val="19"/>
          <w:szCs w:val="19"/>
          <w:color w:val="FF0000"/>
        </w:rPr>
        <w:t xml:space="preserve"> </w:t>
      </w:r>
      <w:r>
        <w:rPr>
          <w:rFonts w:ascii="Arial" w:cs="Arial" w:eastAsia="Arial" w:hAnsi="Arial"/>
          <w:sz w:val="19"/>
          <w:szCs w:val="19"/>
          <w:color w:val="000000"/>
        </w:rPr>
        <w:t>Notwithstanding anything to the contrary herein or in any other Loan Document, if a Term SOFR</w:t>
      </w:r>
      <w:r>
        <w:rPr>
          <w:rFonts w:ascii="Arial" w:cs="Arial" w:eastAsia="Arial" w:hAnsi="Arial"/>
          <w:sz w:val="19"/>
          <w:szCs w:val="19"/>
          <w:color w:val="FF0000"/>
        </w:rPr>
        <w:t xml:space="preserve"> </w:t>
      </w:r>
      <w:r>
        <w:rPr>
          <w:rFonts w:ascii="Arial" w:cs="Arial" w:eastAsia="Arial" w:hAnsi="Arial"/>
          <w:sz w:val="19"/>
          <w:szCs w:val="19"/>
          <w:color w:val="000000"/>
        </w:rPr>
        <w:t xml:space="preserve">Transition Event and its related Benchmark Replacement Date </w:t>
      </w:r>
      <w:r>
        <w:rPr>
          <w:rFonts w:ascii="Arial" w:cs="Arial" w:eastAsia="Arial" w:hAnsi="Arial"/>
          <w:sz w:val="19"/>
          <w:szCs w:val="19"/>
          <w:color w:val="0000FF"/>
        </w:rPr>
        <w:t>(LIBOR)</w:t>
      </w:r>
      <w:r>
        <w:rPr>
          <w:rFonts w:ascii="Arial" w:cs="Arial" w:eastAsia="Arial" w:hAnsi="Arial"/>
          <w:sz w:val="19"/>
          <w:szCs w:val="19"/>
          <w:color w:val="000000"/>
        </w:rPr>
        <w:t xml:space="preserve"> have occurred prior to the Reference Time in respect of any setting of the then- 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elect or not elect to do so in its sole discretion.</w:t>
      </w:r>
    </w:p>
    <w:p>
      <w:pPr>
        <w:spacing w:after="0" w:line="211" w:lineRule="exact"/>
        <w:rPr>
          <w:rFonts w:ascii="Arial" w:cs="Arial" w:eastAsia="Arial" w:hAnsi="Arial"/>
          <w:sz w:val="19"/>
          <w:szCs w:val="19"/>
          <w:color w:val="auto"/>
        </w:rPr>
      </w:pPr>
    </w:p>
    <w:p>
      <w:pPr>
        <w:jc w:val="both"/>
        <w:ind w:left="678" w:firstLine="654"/>
        <w:spacing w:after="0" w:line="227" w:lineRule="auto"/>
        <w:tabs>
          <w:tab w:leader="none" w:pos="188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Benchmark Replacement Conforming Changes. In connection with the </w:t>
      </w:r>
      <w:r>
        <w:rPr>
          <w:rFonts w:ascii="Arial" w:cs="Arial" w:eastAsia="Arial" w:hAnsi="Arial"/>
          <w:sz w:val="19"/>
          <w:szCs w:val="19"/>
          <w:color w:val="0000FF"/>
        </w:rPr>
        <w:t>use, administration, adoption or</w:t>
      </w:r>
      <w:r>
        <w:rPr>
          <w:rFonts w:ascii="Arial" w:cs="Arial" w:eastAsia="Arial" w:hAnsi="Arial"/>
          <w:sz w:val="19"/>
          <w:szCs w:val="19"/>
          <w:color w:val="auto"/>
        </w:rPr>
        <w:t xml:space="preserv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8" w:lineRule="exact"/>
        <w:rPr>
          <w:rFonts w:ascii="Arial" w:cs="Arial" w:eastAsia="Arial" w:hAnsi="Arial"/>
          <w:sz w:val="19"/>
          <w:szCs w:val="19"/>
          <w:color w:val="auto"/>
        </w:rPr>
      </w:pPr>
    </w:p>
    <w:p>
      <w:pPr>
        <w:jc w:val="both"/>
        <w:ind w:left="678" w:firstLine="654"/>
        <w:spacing w:after="0" w:line="235" w:lineRule="auto"/>
        <w:tabs>
          <w:tab w:leader="none" w:pos="188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Notices; Standards for Decisions and Determinations. The Administrative Agent will promptly notify the Borrower and the Lenders of (A) any occurrence of a Benchmark Transition Event </w:t>
      </w:r>
      <w:r>
        <w:rPr>
          <w:rFonts w:ascii="Arial" w:cs="Arial" w:eastAsia="Arial" w:hAnsi="Arial"/>
          <w:sz w:val="18"/>
          <w:szCs w:val="18"/>
          <w:color w:val="0000FF"/>
        </w:rPr>
        <w:t>(LIBOR)</w:t>
      </w:r>
      <w:r>
        <w:rPr>
          <w:rFonts w:ascii="Arial" w:cs="Arial" w:eastAsia="Arial" w:hAnsi="Arial"/>
          <w:sz w:val="18"/>
          <w:szCs w:val="18"/>
          <w:color w:val="auto"/>
        </w:rPr>
        <w:t xml:space="preserve">, a Term SOFR Transition Event or an Early Opt-in Election, as applicable, and its related Benchmark Replacement Date </w:t>
      </w:r>
      <w:r>
        <w:rPr>
          <w:rFonts w:ascii="Arial" w:cs="Arial" w:eastAsia="Arial" w:hAnsi="Arial"/>
          <w:sz w:val="18"/>
          <w:szCs w:val="18"/>
          <w:color w:val="0000FF"/>
        </w:rPr>
        <w:t>(LIBOR)</w:t>
      </w:r>
      <w:r>
        <w:rPr>
          <w:rFonts w:ascii="Arial" w:cs="Arial" w:eastAsia="Arial" w:hAnsi="Arial"/>
          <w:sz w:val="18"/>
          <w:szCs w:val="18"/>
          <w:color w:val="auto"/>
        </w:rPr>
        <w:t>, (B) the implementation of any Benchmark Replacement, (C) the effectiveness of any Benchmark Replacement Conforming Changes, (D) the removal or reinstatement of any tenor of a Benchmark pursuant to Section 5.8(c)(iv) below and (E) the commencement or conclusion of any Benchmark Unavailability Period. Any determination, decision or election that may be made by the Administrative Agent or, if applicable, any Lender (or group of Lenders) pursuant to this Section 5.8(c),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4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8" w:name="page169"/>
    <w:bookmarkEnd w:id="168"/>
    <w:p>
      <w:pPr>
        <w:spacing w:after="0" w:line="209" w:lineRule="exact"/>
        <w:rPr>
          <w:sz w:val="20"/>
          <w:szCs w:val="20"/>
          <w:color w:val="auto"/>
        </w:rPr>
      </w:pPr>
    </w:p>
    <w:p>
      <w:pPr>
        <w:ind w:left="678"/>
        <w:spacing w:after="0"/>
        <w:rPr>
          <w:sz w:val="20"/>
          <w:szCs w:val="20"/>
          <w:color w:val="auto"/>
        </w:rPr>
      </w:pPr>
      <w:r>
        <w:rPr>
          <w:rFonts w:ascii="Arial" w:cs="Arial" w:eastAsia="Arial" w:hAnsi="Arial"/>
          <w:sz w:val="18"/>
          <w:szCs w:val="18"/>
          <w:color w:val="auto"/>
        </w:rPr>
        <w:t>discretion (and made in a manner substantially consistent with determinations being made for similarly situated customers of such</w:t>
      </w:r>
    </w:p>
    <w:p>
      <w:pPr>
        <w:spacing w:after="0" w:line="12" w:lineRule="exact"/>
        <w:rPr>
          <w:sz w:val="20"/>
          <w:szCs w:val="20"/>
          <w:color w:val="auto"/>
        </w:rPr>
      </w:pPr>
    </w:p>
    <w:p>
      <w:pPr>
        <w:ind w:left="678"/>
        <w:spacing w:after="0" w:line="250" w:lineRule="auto"/>
        <w:rPr>
          <w:sz w:val="20"/>
          <w:szCs w:val="20"/>
          <w:color w:val="auto"/>
        </w:rPr>
      </w:pPr>
      <w:r>
        <w:rPr>
          <w:rFonts w:ascii="Arial" w:cs="Arial" w:eastAsia="Arial" w:hAnsi="Arial"/>
          <w:sz w:val="18"/>
          <w:szCs w:val="18"/>
          <w:color w:val="auto"/>
        </w:rPr>
        <w:t>Administrative Agent under agreements having provisions similar to this Section 5.8(c)) and without consent from any other party to this Agreement or any other Loan Document, except, in each case, as expressly required pursuant to this Section 5.8(c).</w:t>
      </w:r>
    </w:p>
    <w:p>
      <w:pPr>
        <w:spacing w:after="0" w:line="255" w:lineRule="exact"/>
        <w:rPr>
          <w:sz w:val="20"/>
          <w:szCs w:val="20"/>
          <w:color w:val="auto"/>
        </w:rPr>
      </w:pPr>
    </w:p>
    <w:p>
      <w:pPr>
        <w:jc w:val="both"/>
        <w:ind w:left="678" w:firstLine="654"/>
        <w:spacing w:after="0" w:line="232" w:lineRule="auto"/>
        <w:tabs>
          <w:tab w:leader="none" w:pos="18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Unavailability of Tenor of Benchmark. Notwithstanding anything to the contrary herein or in any other Loan Document, at any time (including in connection with the implementation of a Benchmark Replacement), (A) if the then-current Benchmark is a term rate (including </w:t>
      </w:r>
      <w:r>
        <w:rPr>
          <w:rFonts w:ascii="Arial" w:cs="Arial" w:eastAsia="Arial" w:hAnsi="Arial"/>
          <w:sz w:val="18"/>
          <w:szCs w:val="18"/>
          <w:color w:val="0000FF"/>
        </w:rPr>
        <w:t>the</w:t>
      </w:r>
      <w:r>
        <w:rPr>
          <w:rFonts w:ascii="Arial" w:cs="Arial" w:eastAsia="Arial" w:hAnsi="Arial"/>
          <w:sz w:val="18"/>
          <w:szCs w:val="18"/>
          <w:color w:val="auto"/>
        </w:rPr>
        <w:t xml:space="preserve"> Term SOFR </w:t>
      </w:r>
      <w:r>
        <w:rPr>
          <w:rFonts w:ascii="Arial" w:cs="Arial" w:eastAsia="Arial" w:hAnsi="Arial"/>
          <w:sz w:val="18"/>
          <w:szCs w:val="18"/>
          <w:color w:val="0000FF"/>
        </w:rPr>
        <w:t>Reference Rate</w:t>
      </w:r>
      <w:r>
        <w:rPr>
          <w:rFonts w:ascii="Arial" w:cs="Arial" w:eastAsia="Arial" w:hAnsi="Arial"/>
          <w:sz w:val="18"/>
          <w:szCs w:val="18"/>
          <w:color w:val="auto"/>
        </w:rPr>
        <w:t xml:space="preserve"> or USD LIBOR) and either (1) any tenor for such Benchmark is not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provisions similar to this Section 5.8(c)) or</w:t>
      </w:r>
    </w:p>
    <w:p>
      <w:pPr>
        <w:spacing w:after="0" w:line="3" w:lineRule="exact"/>
        <w:rPr>
          <w:rFonts w:ascii="Arial" w:cs="Arial" w:eastAsia="Arial" w:hAnsi="Arial"/>
          <w:sz w:val="18"/>
          <w:szCs w:val="18"/>
          <w:color w:val="auto"/>
        </w:rPr>
      </w:pPr>
    </w:p>
    <w:p>
      <w:pPr>
        <w:ind w:left="1018" w:hanging="334"/>
        <w:spacing w:after="0" w:line="222" w:lineRule="auto"/>
        <w:tabs>
          <w:tab w:leader="none" w:pos="1018"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regulatory supervisor for the administrator of such Benchmark has provided a public statement or publication of</w:t>
      </w:r>
    </w:p>
    <w:p>
      <w:pPr>
        <w:ind w:left="678"/>
        <w:spacing w:after="0" w:line="235" w:lineRule="auto"/>
        <w:rPr>
          <w:sz w:val="20"/>
          <w:szCs w:val="20"/>
          <w:color w:val="auto"/>
        </w:rPr>
      </w:pPr>
      <w:r>
        <w:rPr>
          <w:rFonts w:ascii="Arial" w:cs="Arial" w:eastAsia="Arial" w:hAnsi="Arial"/>
          <w:sz w:val="18"/>
          <w:szCs w:val="18"/>
          <w:color w:val="auto"/>
        </w:rPr>
        <w:t>information announcing that any tenor for such Benchmark is or will be no longer representative, then the Administrative Agent</w:t>
      </w:r>
    </w:p>
    <w:p>
      <w:pPr>
        <w:ind w:left="678"/>
        <w:spacing w:after="0" w:line="226" w:lineRule="auto"/>
        <w:rPr>
          <w:sz w:val="20"/>
          <w:szCs w:val="20"/>
          <w:color w:val="auto"/>
        </w:rPr>
      </w:pPr>
      <w:r>
        <w:rPr>
          <w:rFonts w:ascii="Arial" w:cs="Arial" w:eastAsia="Arial" w:hAnsi="Arial"/>
          <w:sz w:val="18"/>
          <w:szCs w:val="18"/>
          <w:color w:val="auto"/>
        </w:rPr>
        <w:t>may modify the definition of “Interest Period” for any Benchmark settings at or after such time to remove such unavailable or non-representative tenor and (B) if a tenor that was removed pursuant to clause (A) above either (1) is subsequently displayed on a</w:t>
      </w:r>
    </w:p>
    <w:p>
      <w:pPr>
        <w:ind w:left="678"/>
        <w:spacing w:after="0" w:line="236" w:lineRule="auto"/>
        <w:rPr>
          <w:sz w:val="20"/>
          <w:szCs w:val="20"/>
          <w:color w:val="auto"/>
        </w:rPr>
      </w:pPr>
      <w:r>
        <w:rPr>
          <w:rFonts w:ascii="Arial" w:cs="Arial" w:eastAsia="Arial" w:hAnsi="Arial"/>
          <w:sz w:val="18"/>
          <w:szCs w:val="18"/>
          <w:color w:val="auto"/>
        </w:rPr>
        <w:t>screen or information service for a Benchmark (including a Benchmark Replacement) or (2) is not, or is no longer, subject to an</w:t>
      </w:r>
    </w:p>
    <w:p>
      <w:pPr>
        <w:spacing w:after="0" w:line="1" w:lineRule="exact"/>
        <w:rPr>
          <w:sz w:val="20"/>
          <w:szCs w:val="20"/>
          <w:color w:val="auto"/>
        </w:rPr>
      </w:pPr>
    </w:p>
    <w:p>
      <w:pPr>
        <w:ind w:left="678"/>
        <w:spacing w:after="0" w:line="226" w:lineRule="auto"/>
        <w:rPr>
          <w:sz w:val="20"/>
          <w:szCs w:val="20"/>
          <w:color w:val="auto"/>
        </w:rPr>
      </w:pPr>
      <w:r>
        <w:rPr>
          <w:rFonts w:ascii="Arial" w:cs="Arial" w:eastAsia="Arial" w:hAnsi="Arial"/>
          <w:sz w:val="18"/>
          <w:szCs w:val="18"/>
          <w:color w:val="auto"/>
        </w:rPr>
        <w:t xml:space="preserve">announcement that it is or will </w:t>
      </w:r>
      <w:r>
        <w:rPr>
          <w:rFonts w:ascii="Arial" w:cs="Arial" w:eastAsia="Arial" w:hAnsi="Arial"/>
          <w:sz w:val="18"/>
          <w:szCs w:val="18"/>
          <w:color w:val="0000FF"/>
        </w:rPr>
        <w:t>be</w:t>
      </w:r>
      <w:r>
        <w:rPr>
          <w:rFonts w:ascii="Arial" w:cs="Arial" w:eastAsia="Arial" w:hAnsi="Arial"/>
          <w:sz w:val="18"/>
          <w:szCs w:val="18"/>
          <w:color w:val="auto"/>
        </w:rPr>
        <w:t xml:space="preserve"> no longer </w:t>
      </w:r>
      <w:r>
        <w:rPr>
          <w:rFonts w:ascii="Arial" w:cs="Arial" w:eastAsia="Arial" w:hAnsi="Arial"/>
          <w:sz w:val="18"/>
          <w:szCs w:val="18"/>
          <w:color w:val="FF0000"/>
          <w:strike w:val="1"/>
        </w:rPr>
        <w:t>be</w:t>
      </w:r>
      <w:r>
        <w:rPr>
          <w:rFonts w:ascii="Arial" w:cs="Arial" w:eastAsia="Arial" w:hAnsi="Arial"/>
          <w:sz w:val="18"/>
          <w:szCs w:val="18"/>
          <w:color w:val="auto"/>
        </w:rPr>
        <w:t xml:space="preserve"> representative for a Benchmark (including a Benchmark Replacement), then the Administrative Agent may modify the definition of “Interest Period” for all Benchmark settings at or after such time to reinstate</w:t>
      </w:r>
    </w:p>
    <w:p>
      <w:pPr>
        <w:spacing w:after="0" w:line="2" w:lineRule="exact"/>
        <w:rPr>
          <w:sz w:val="20"/>
          <w:szCs w:val="20"/>
          <w:color w:val="auto"/>
        </w:rPr>
      </w:pPr>
    </w:p>
    <w:p>
      <w:pPr>
        <w:ind w:left="678"/>
        <w:spacing w:after="0"/>
        <w:rPr>
          <w:sz w:val="20"/>
          <w:szCs w:val="20"/>
          <w:color w:val="auto"/>
        </w:rPr>
      </w:pPr>
      <w:r>
        <w:rPr>
          <w:rFonts w:ascii="Arial" w:cs="Arial" w:eastAsia="Arial" w:hAnsi="Arial"/>
          <w:sz w:val="20"/>
          <w:szCs w:val="20"/>
          <w:color w:val="auto"/>
        </w:rPr>
        <w:t>such previously removed tenor.</w:t>
      </w:r>
    </w:p>
    <w:p>
      <w:pPr>
        <w:spacing w:after="0" w:line="200" w:lineRule="exact"/>
        <w:rPr>
          <w:sz w:val="20"/>
          <w:szCs w:val="20"/>
          <w:color w:val="auto"/>
        </w:rPr>
      </w:pPr>
    </w:p>
    <w:p>
      <w:pPr>
        <w:jc w:val="both"/>
        <w:ind w:left="678" w:firstLine="654"/>
        <w:spacing w:after="0" w:line="238" w:lineRule="auto"/>
        <w:tabs>
          <w:tab w:leader="none" w:pos="188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Benchmark Unavailability Period. Upon Centuri’s receipt of notice of the commencement of a Benchmark Unavailability Period, the applicable Borrower may revoke any request for a borrowing of, conversion to or continuation of LIBOR Rate Loans </w:t>
      </w:r>
      <w:r>
        <w:rPr>
          <w:rFonts w:ascii="Arial" w:cs="Arial" w:eastAsia="Arial" w:hAnsi="Arial"/>
          <w:sz w:val="18"/>
          <w:szCs w:val="18"/>
          <w:color w:val="0000FF"/>
        </w:rPr>
        <w:t>or SOFR Loans (as applicable)</w:t>
      </w:r>
      <w:r>
        <w:rPr>
          <w:rFonts w:ascii="Arial" w:cs="Arial" w:eastAsia="Arial" w:hAnsi="Arial"/>
          <w:sz w:val="18"/>
          <w:szCs w:val="18"/>
          <w:color w:val="auto"/>
        </w:rPr>
        <w:t xml:space="preserve"> to be made, converted or continued during any Benchmark Unavailability Period and, failing that, the applicable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96" w:lineRule="exact"/>
        <w:rPr>
          <w:rFonts w:ascii="Arial" w:cs="Arial" w:eastAsia="Arial" w:hAnsi="Arial"/>
          <w:sz w:val="18"/>
          <w:szCs w:val="18"/>
          <w:color w:val="auto"/>
        </w:rPr>
      </w:pPr>
    </w:p>
    <w:p>
      <w:pPr>
        <w:jc w:val="both"/>
        <w:ind w:left="678" w:firstLine="654"/>
        <w:spacing w:after="0" w:line="213" w:lineRule="auto"/>
        <w:tabs>
          <w:tab w:leader="none" w:pos="1873" w:val="left"/>
        </w:tabs>
        <w:numPr>
          <w:ilvl w:val="1"/>
          <w:numId w:val="247"/>
        </w:numPr>
        <w:rPr>
          <w:rFonts w:ascii="Arial" w:cs="Arial" w:eastAsia="Arial" w:hAnsi="Arial"/>
          <w:sz w:val="20"/>
          <w:szCs w:val="20"/>
          <w:color w:val="auto"/>
        </w:rPr>
      </w:pPr>
      <w:r>
        <w:rPr>
          <w:rFonts w:ascii="Arial" w:cs="Arial" w:eastAsia="Arial" w:hAnsi="Arial"/>
          <w:sz w:val="20"/>
          <w:szCs w:val="20"/>
          <w:color w:val="auto"/>
        </w:rPr>
        <w:t xml:space="preserve">London Interbank Offered Rate Benchmark Transition Event. On March 5, 2021, the IBA, the administrator of the London interbank offered rate, and the FCA, the regulatory 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t>
      </w:r>
      <w:r>
        <w:rPr>
          <w:rFonts w:ascii="Arial" w:cs="Arial" w:eastAsia="Arial" w:hAnsi="Arial"/>
          <w:sz w:val="20"/>
          <w:szCs w:val="20"/>
          <w:color w:val="0000FF"/>
        </w:rPr>
        <w:t>(LIBOR)</w:t>
      </w:r>
      <w:r>
        <w:rPr>
          <w:rFonts w:ascii="Arial" w:cs="Arial" w:eastAsia="Arial" w:hAnsi="Arial"/>
          <w:sz w:val="20"/>
          <w:szCs w:val="20"/>
          <w:color w:val="auto"/>
        </w:rPr>
        <w:t xml:space="preserve"> with respect to the London interbank offered rate pursuant to the terms of this Agreement and that any obligation of the Administrative Agent to notify any parties of such Benchmark Transition Event </w:t>
      </w:r>
      <w:r>
        <w:rPr>
          <w:rFonts w:ascii="Arial" w:cs="Arial" w:eastAsia="Arial" w:hAnsi="Arial"/>
          <w:sz w:val="20"/>
          <w:szCs w:val="20"/>
          <w:color w:val="0000FF"/>
        </w:rPr>
        <w:t>(LIBOR)</w:t>
      </w:r>
      <w:r>
        <w:rPr>
          <w:rFonts w:ascii="Arial" w:cs="Arial" w:eastAsia="Arial" w:hAnsi="Arial"/>
          <w:sz w:val="20"/>
          <w:szCs w:val="20"/>
          <w:color w:val="auto"/>
        </w:rPr>
        <w:t xml:space="preserve"> pursuant to clause (iii) of this Section 5.8(c) shall be deemed satisfied.</w:t>
      </w:r>
    </w:p>
    <w:p>
      <w:pPr>
        <w:spacing w:after="0" w:line="269" w:lineRule="exact"/>
        <w:rPr>
          <w:rFonts w:ascii="Arial" w:cs="Arial" w:eastAsia="Arial" w:hAnsi="Arial"/>
          <w:sz w:val="20"/>
          <w:szCs w:val="20"/>
          <w:color w:val="auto"/>
        </w:rPr>
      </w:pPr>
    </w:p>
    <w:p>
      <w:pPr>
        <w:jc w:val="both"/>
        <w:ind w:left="38" w:firstLine="646"/>
        <w:spacing w:after="0" w:line="220" w:lineRule="auto"/>
        <w:tabs>
          <w:tab w:leader="none" w:pos="124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Illegality. Subject to Section 5.12, if, in any applicable jurisdiction, the Administrative Agent, any Issuing Lender or any Lender or its Applicable Designee determines that any Applicable Law has made it unlawful, or that any Governmental Authority has asserted that it is unlawful, for the Administrative Agent, any Issuing Lender, any Lender or any Applicable Designee to (i) perform any of 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4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9" w:name="page170"/>
    <w:bookmarkEnd w:id="169"/>
    <w:p>
      <w:pPr>
        <w:ind w:left="58"/>
        <w:spacing w:after="0"/>
        <w:rPr>
          <w:sz w:val="20"/>
          <w:szCs w:val="20"/>
          <w:color w:val="auto"/>
        </w:rPr>
      </w:pPr>
      <w:r>
        <w:rPr>
          <w:rFonts w:ascii="Arial" w:cs="Arial" w:eastAsia="Arial" w:hAnsi="Arial"/>
          <w:sz w:val="19"/>
          <w:szCs w:val="19"/>
          <w:color w:val="auto"/>
        </w:rPr>
        <w:t>obligations hereunder or under any other Loan Document, (ii) to fund or maintain its participation in any Loan or (iii) issue, make,</w:t>
      </w:r>
    </w:p>
    <w:p>
      <w:pPr>
        <w:ind w:left="58"/>
        <w:spacing w:after="0" w:line="226" w:lineRule="auto"/>
        <w:rPr>
          <w:sz w:val="20"/>
          <w:szCs w:val="20"/>
          <w:color w:val="auto"/>
        </w:rPr>
      </w:pPr>
      <w:r>
        <w:rPr>
          <w:rFonts w:ascii="Arial" w:cs="Arial" w:eastAsia="Arial" w:hAnsi="Arial"/>
          <w:sz w:val="18"/>
          <w:szCs w:val="18"/>
          <w:color w:val="auto"/>
        </w:rPr>
        <w:t>maintain, fund or charge interest or fees with respect to any Extension of Credit to any Borrower that is a Foreign Subsidiary such Person shall promptly notify the Administrative Agent, then, upon the Administrative Agent notifying Centuri, and until such notice by such</w:t>
      </w:r>
    </w:p>
    <w:p>
      <w:pPr>
        <w:ind w:left="58"/>
        <w:spacing w:after="0" w:line="224" w:lineRule="auto"/>
        <w:rPr>
          <w:sz w:val="20"/>
          <w:szCs w:val="20"/>
          <w:color w:val="auto"/>
        </w:rPr>
      </w:pPr>
      <w:r>
        <w:rPr>
          <w:rFonts w:ascii="Arial" w:cs="Arial" w:eastAsia="Arial" w:hAnsi="Arial"/>
          <w:sz w:val="19"/>
          <w:szCs w:val="19"/>
          <w:color w:val="auto"/>
        </w:rPr>
        <w:t>Person is revoked, any obligation of such Person to issue, make, maintain, fund or charge interest or fees with respect to any such</w:t>
      </w:r>
    </w:p>
    <w:p>
      <w:pPr>
        <w:ind w:left="58"/>
        <w:spacing w:after="0" w:line="226" w:lineRule="auto"/>
        <w:rPr>
          <w:sz w:val="20"/>
          <w:szCs w:val="20"/>
          <w:color w:val="auto"/>
        </w:rPr>
      </w:pPr>
      <w:r>
        <w:rPr>
          <w:rFonts w:ascii="Arial" w:cs="Arial" w:eastAsia="Arial" w:hAnsi="Arial"/>
          <w:sz w:val="18"/>
          <w:szCs w:val="18"/>
          <w:color w:val="auto"/>
        </w:rPr>
        <w:t>Extension of Credit shall be suspended, and to the extent required by Applicable Law, cancelled. Upon receipt of such notice, the Credit Parties shall, (A) repay that Person’s participation in the Loans or other applicable Obligations on the last day of the Interest Period for</w:t>
      </w:r>
    </w:p>
    <w:p>
      <w:pPr>
        <w:ind w:left="58"/>
        <w:spacing w:after="0" w:line="236" w:lineRule="auto"/>
        <w:rPr>
          <w:sz w:val="20"/>
          <w:szCs w:val="20"/>
          <w:color w:val="auto"/>
        </w:rPr>
      </w:pPr>
      <w:r>
        <w:rPr>
          <w:rFonts w:ascii="Arial" w:cs="Arial" w:eastAsia="Arial" w:hAnsi="Arial"/>
          <w:sz w:val="18"/>
          <w:szCs w:val="18"/>
          <w:color w:val="auto"/>
        </w:rPr>
        <w:t>each Loan or other Obligation occurring after the Administrative Agent has notified Centuri or, if earlier, the date specified by such Person</w:t>
      </w:r>
    </w:p>
    <w:p>
      <w:pPr>
        <w:spacing w:after="0" w:line="1" w:lineRule="exact"/>
        <w:rPr>
          <w:sz w:val="20"/>
          <w:szCs w:val="20"/>
          <w:color w:val="auto"/>
        </w:rPr>
      </w:pPr>
    </w:p>
    <w:p>
      <w:pPr>
        <w:ind w:left="58"/>
        <w:spacing w:after="0" w:line="232" w:lineRule="auto"/>
        <w:rPr>
          <w:sz w:val="20"/>
          <w:szCs w:val="20"/>
          <w:color w:val="auto"/>
        </w:rPr>
      </w:pPr>
      <w:r>
        <w:rPr>
          <w:rFonts w:ascii="Arial" w:cs="Arial" w:eastAsia="Arial" w:hAnsi="Arial"/>
          <w:sz w:val="19"/>
          <w:szCs w:val="19"/>
          <w:color w:val="auto"/>
        </w:rPr>
        <w:t>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210" w:lineRule="exact"/>
        <w:rPr>
          <w:sz w:val="20"/>
          <w:szCs w:val="20"/>
          <w:color w:val="auto"/>
        </w:rPr>
      </w:pPr>
    </w:p>
    <w:p>
      <w:pPr>
        <w:ind w:left="698"/>
        <w:spacing w:after="0"/>
        <w:tabs>
          <w:tab w:leader="none" w:pos="2018"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8"/>
          <w:szCs w:val="18"/>
          <w:color w:val="auto"/>
        </w:rPr>
        <w:t>Indemnity</w:t>
      </w:r>
    </w:p>
    <w:p>
      <w:pPr>
        <w:spacing w:after="0" w:line="283" w:lineRule="exact"/>
        <w:rPr>
          <w:sz w:val="20"/>
          <w:szCs w:val="20"/>
          <w:color w:val="auto"/>
        </w:rPr>
      </w:pPr>
    </w:p>
    <w:p>
      <w:pPr>
        <w:jc w:val="both"/>
        <w:ind w:left="58" w:firstLine="49"/>
        <w:spacing w:after="0" w:line="233" w:lineRule="auto"/>
        <w:tabs>
          <w:tab w:leader="none" w:pos="23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Each Borrower hereby indemnifies each of the Lenders against any loss or expense (including any loss or expense arising from the liquidation or reemployment of funds obtained by it to maintain a LIBOR Rate </w:t>
      </w:r>
      <w:r>
        <w:rPr>
          <w:rFonts w:ascii="Arial" w:cs="Arial" w:eastAsia="Arial" w:hAnsi="Arial"/>
          <w:sz w:val="18"/>
          <w:szCs w:val="18"/>
          <w:color w:val="0000FF"/>
        </w:rPr>
        <w:t>Loan, a SOFR</w:t>
      </w:r>
      <w:r>
        <w:rPr>
          <w:rFonts w:ascii="Arial" w:cs="Arial" w:eastAsia="Arial" w:hAnsi="Arial"/>
          <w:sz w:val="18"/>
          <w:szCs w:val="18"/>
          <w:color w:val="auto"/>
        </w:rPr>
        <w:t xml:space="preserve"> Loan or a CDOR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LIBOR Rate Loan</w:t>
      </w:r>
      <w:r>
        <w:rPr>
          <w:rFonts w:ascii="Arial" w:cs="Arial" w:eastAsia="Arial" w:hAnsi="Arial"/>
          <w:sz w:val="18"/>
          <w:szCs w:val="18"/>
          <w:color w:val="0000FF"/>
        </w:rPr>
        <w:t>, a SOFR Loan</w:t>
      </w:r>
      <w:r>
        <w:rPr>
          <w:rFonts w:ascii="Arial" w:cs="Arial" w:eastAsia="Arial" w:hAnsi="Arial"/>
          <w:sz w:val="18"/>
          <w:szCs w:val="18"/>
          <w:color w:val="auto"/>
        </w:rPr>
        <w:t xml:space="preserve"> or a CDOR Rate Loan, (b) due to any failure of such Borrower to borrow, continue or convert on a date specified therefor in a Notice of Borrowing or Notice of Conversion/Continuation or (c) due to any payment, prepayment or conversion of any LIBOR Rate Loan</w:t>
      </w:r>
      <w:r>
        <w:rPr>
          <w:rFonts w:ascii="Arial" w:cs="Arial" w:eastAsia="Arial" w:hAnsi="Arial"/>
          <w:sz w:val="18"/>
          <w:szCs w:val="18"/>
          <w:color w:val="0000FF"/>
        </w:rPr>
        <w:t>, any SOFR Loan</w:t>
      </w:r>
      <w:r>
        <w:rPr>
          <w:rFonts w:ascii="Arial" w:cs="Arial" w:eastAsia="Arial" w:hAnsi="Arial"/>
          <w:sz w:val="18"/>
          <w:szCs w:val="18"/>
          <w:color w:val="auto"/>
        </w:rPr>
        <w:t xml:space="preserve"> or any CDOR Rate Loan on a date other than the last day of the Interest Period therefor. The amount of such loss or expense shall be determined, in the applicable Lender’s sole discretion, based upon the assumption that such Lender funded its Commitment Percentage of the LIBOR Rate Loans </w:t>
      </w:r>
      <w:r>
        <w:rPr>
          <w:rFonts w:ascii="Arial" w:cs="Arial" w:eastAsia="Arial" w:hAnsi="Arial"/>
          <w:sz w:val="18"/>
          <w:szCs w:val="18"/>
          <w:color w:val="FF0000"/>
          <w:strike w:val="1"/>
        </w:rPr>
        <w:t>in the London interbank market</w:t>
      </w:r>
      <w:r>
        <w:rPr>
          <w:rFonts w:ascii="Arial" w:cs="Arial" w:eastAsia="Arial" w:hAnsi="Arial"/>
          <w:sz w:val="18"/>
          <w:szCs w:val="18"/>
          <w:color w:val="0000FF"/>
        </w:rPr>
        <w:t>, SOFR Loans</w:t>
      </w:r>
      <w:r>
        <w:rPr>
          <w:rFonts w:ascii="Arial" w:cs="Arial" w:eastAsia="Arial" w:hAnsi="Arial"/>
          <w:sz w:val="18"/>
          <w:szCs w:val="18"/>
          <w:color w:val="auto"/>
        </w:rPr>
        <w:t xml:space="preserve"> or </w:t>
      </w:r>
      <w:r>
        <w:rPr>
          <w:rFonts w:ascii="Arial" w:cs="Arial" w:eastAsia="Arial" w:hAnsi="Arial"/>
          <w:sz w:val="18"/>
          <w:szCs w:val="18"/>
          <w:color w:val="FF0000"/>
          <w:strike w:val="1"/>
        </w:rPr>
        <w:t>the</w:t>
      </w:r>
      <w:r>
        <w:rPr>
          <w:rFonts w:ascii="Arial" w:cs="Arial" w:eastAsia="Arial" w:hAnsi="Arial"/>
          <w:sz w:val="18"/>
          <w:szCs w:val="18"/>
          <w:color w:val="auto"/>
        </w:rPr>
        <w:t xml:space="preserve"> CDOR Rate Loans </w:t>
      </w:r>
      <w:r>
        <w:rPr>
          <w:rFonts w:ascii="Arial" w:cs="Arial" w:eastAsia="Arial" w:hAnsi="Arial"/>
          <w:sz w:val="18"/>
          <w:szCs w:val="18"/>
          <w:color w:val="FF0000"/>
          <w:strike w:val="1"/>
        </w:rPr>
        <w:t>in the Canadian bankers’ acceptance</w:t>
      </w:r>
      <w:r>
        <w:rPr>
          <w:rFonts w:ascii="Arial" w:cs="Arial" w:eastAsia="Arial" w:hAnsi="Arial"/>
          <w:sz w:val="18"/>
          <w:szCs w:val="18"/>
          <w:color w:val="auto"/>
        </w:rPr>
        <w:t xml:space="preserve"> </w:t>
      </w:r>
      <w:r>
        <w:rPr>
          <w:rFonts w:ascii="Arial" w:cs="Arial" w:eastAsia="Arial" w:hAnsi="Arial"/>
          <w:sz w:val="18"/>
          <w:szCs w:val="18"/>
          <w:color w:val="FF0000"/>
          <w:strike w:val="1"/>
        </w:rPr>
        <w:t>market</w:t>
      </w:r>
      <w:r>
        <w:rPr>
          <w:rFonts w:ascii="Arial" w:cs="Arial" w:eastAsia="Arial" w:hAnsi="Arial"/>
          <w:sz w:val="18"/>
          <w:szCs w:val="18"/>
          <w:color w:val="000000"/>
        </w:rPr>
        <w:t>, as applicable, and using any reasonable attribution or averaging methods which such Lender deems appropriate and practical. A</w:t>
      </w:r>
      <w:r>
        <w:rPr>
          <w:rFonts w:ascii="Arial" w:cs="Arial" w:eastAsia="Arial" w:hAnsi="Arial"/>
          <w:sz w:val="18"/>
          <w:szCs w:val="18"/>
          <w:color w:val="FF0000"/>
        </w:rPr>
        <w:t xml:space="preserve"> </w:t>
      </w:r>
      <w:r>
        <w:rPr>
          <w:rFonts w:ascii="Arial" w:cs="Arial" w:eastAsia="Arial" w:hAnsi="Arial"/>
          <w:sz w:val="18"/>
          <w:szCs w:val="18"/>
          <w:color w:val="000000"/>
        </w:rPr>
        <w:t>certificate of such Lender setting forth the basis for determining such amount or amounts necessary to compensate such Lender shall be forwarded to the applicable Borrower through the Administrative Agent and shall be conclusively presumed to be correct save for manifest error. The applicable Borrower shall pay such Lender the amount shown as due on any such certificate within ten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-1842770</wp:posOffset>
            </wp:positionV>
            <wp:extent cx="342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5">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79"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6"/>
          <w:szCs w:val="16"/>
          <w:color w:val="auto"/>
        </w:rPr>
        <w:t>Increased Costs.</w:t>
      </w:r>
    </w:p>
    <w:p>
      <w:pPr>
        <w:spacing w:after="0" w:line="283" w:lineRule="exact"/>
        <w:rPr>
          <w:sz w:val="20"/>
          <w:szCs w:val="20"/>
          <w:color w:val="auto"/>
        </w:rPr>
      </w:pPr>
    </w:p>
    <w:p>
      <w:pPr>
        <w:ind w:left="1238" w:hanging="536"/>
        <w:spacing w:after="0"/>
        <w:tabs>
          <w:tab w:leader="none" w:pos="1238" w:val="left"/>
        </w:tabs>
        <w:numPr>
          <w:ilvl w:val="0"/>
          <w:numId w:val="251"/>
        </w:numPr>
        <w:rPr>
          <w:rFonts w:ascii="Arial" w:cs="Arial" w:eastAsia="Arial" w:hAnsi="Arial"/>
          <w:sz w:val="20"/>
          <w:szCs w:val="20"/>
          <w:color w:val="auto"/>
        </w:rPr>
      </w:pPr>
      <w:r>
        <w:rPr>
          <w:rFonts w:ascii="Arial" w:cs="Arial" w:eastAsia="Arial" w:hAnsi="Arial"/>
          <w:sz w:val="20"/>
          <w:szCs w:val="20"/>
          <w:color w:val="auto"/>
        </w:rPr>
        <w:t>Increased Costs Generally. If any Change in Law shall:</w:t>
      </w:r>
    </w:p>
    <w:p>
      <w:pPr>
        <w:spacing w:after="0" w:line="283" w:lineRule="exact"/>
        <w:rPr>
          <w:rFonts w:ascii="Arial" w:cs="Arial" w:eastAsia="Arial" w:hAnsi="Arial"/>
          <w:sz w:val="20"/>
          <w:szCs w:val="20"/>
          <w:color w:val="auto"/>
        </w:rPr>
      </w:pPr>
    </w:p>
    <w:p>
      <w:pPr>
        <w:jc w:val="both"/>
        <w:ind w:left="698" w:right="20" w:firstLine="652"/>
        <w:spacing w:after="0" w:line="239" w:lineRule="auto"/>
        <w:tabs>
          <w:tab w:leader="none" w:pos="1875" w:val="left"/>
        </w:tabs>
        <w:numPr>
          <w:ilvl w:val="1"/>
          <w:numId w:val="251"/>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195" w:lineRule="exact"/>
        <w:rPr>
          <w:rFonts w:ascii="Arial" w:cs="Arial" w:eastAsia="Arial" w:hAnsi="Arial"/>
          <w:sz w:val="19"/>
          <w:szCs w:val="19"/>
          <w:color w:val="auto"/>
        </w:rPr>
      </w:pPr>
    </w:p>
    <w:p>
      <w:pPr>
        <w:ind w:left="1898" w:hanging="548"/>
        <w:spacing w:after="0"/>
        <w:tabs>
          <w:tab w:leader="none" w:pos="189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w:t>
      </w:r>
    </w:p>
    <w:p>
      <w:pPr>
        <w:ind w:left="698" w:right="20"/>
        <w:spacing w:after="0" w:line="227" w:lineRule="auto"/>
        <w:rPr>
          <w:rFonts w:ascii="Arial" w:cs="Arial" w:eastAsia="Arial" w:hAnsi="Arial"/>
          <w:sz w:val="18"/>
          <w:szCs w:val="18"/>
          <w:color w:val="auto"/>
        </w:rPr>
      </w:pPr>
      <w:r>
        <w:rPr>
          <w:rFonts w:ascii="Arial" w:cs="Arial" w:eastAsia="Arial" w:hAnsi="Arial"/>
          <w:sz w:val="20"/>
          <w:szCs w:val="20"/>
          <w:color w:val="auto"/>
        </w:rPr>
        <w:t>(e)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5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70" w:name="page171"/>
    <w:bookmarkEnd w:id="170"/>
    <w:p>
      <w:pPr>
        <w:spacing w:after="0" w:line="209" w:lineRule="exact"/>
        <w:rPr>
          <w:sz w:val="20"/>
          <w:szCs w:val="20"/>
          <w:color w:val="auto"/>
        </w:rPr>
      </w:pPr>
    </w:p>
    <w:p>
      <w:pPr>
        <w:ind w:left="698" w:firstLine="652"/>
        <w:spacing w:after="0" w:line="285" w:lineRule="auto"/>
        <w:tabs>
          <w:tab w:leader="none" w:pos="18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56" w:lineRule="exact"/>
        <w:rPr>
          <w:sz w:val="20"/>
          <w:szCs w:val="20"/>
          <w:color w:val="auto"/>
        </w:rPr>
      </w:pPr>
    </w:p>
    <w:p>
      <w:pPr>
        <w:ind w:left="58"/>
        <w:spacing w:after="0"/>
        <w:rPr>
          <w:sz w:val="20"/>
          <w:szCs w:val="20"/>
          <w:color w:val="auto"/>
        </w:rPr>
      </w:pPr>
      <w:r>
        <w:rPr>
          <w:rFonts w:ascii="Arial" w:cs="Arial" w:eastAsia="Arial" w:hAnsi="Arial"/>
          <w:sz w:val="18"/>
          <w:szCs w:val="18"/>
          <w:color w:val="auto"/>
        </w:rPr>
        <w:t>and the result of any of the foregoing shall be to increase the cost to such Lender, the Issuing Lender or such other Recipient of making,</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converting to, continuing or maintaining any Loan (or of maintaining its obligation to make any such Loan), or to increase the cost to such Lender, such Issuing Lender or such other Recipient of participating in, issuing or maintaining any Letter of Credit (or of maintaining its</w:t>
      </w:r>
    </w:p>
    <w:p>
      <w:pPr>
        <w:ind w:left="58"/>
        <w:spacing w:after="0" w:line="236" w:lineRule="auto"/>
        <w:rPr>
          <w:sz w:val="20"/>
          <w:szCs w:val="20"/>
          <w:color w:val="auto"/>
        </w:rPr>
      </w:pPr>
      <w:r>
        <w:rPr>
          <w:rFonts w:ascii="Arial" w:cs="Arial" w:eastAsia="Arial" w:hAnsi="Arial"/>
          <w:sz w:val="18"/>
          <w:szCs w:val="18"/>
          <w:color w:val="auto"/>
        </w:rPr>
        <w:t>obligation to participate in or to issue any Letter of Credit), or to reduce the amount of any sum received or receivable by such Lender,</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such Issuing Lender or such other Recipient hereunder (whether of principal, interest or any other amount) then, upon written request of such Lender, such Issuing Lender or other Recipient, the Borrowers shall promptly pay to any such Lender, such Issuing Lender or other</w:t>
      </w:r>
    </w:p>
    <w:p>
      <w:pPr>
        <w:spacing w:after="0" w:line="2" w:lineRule="exact"/>
        <w:rPr>
          <w:sz w:val="20"/>
          <w:szCs w:val="20"/>
          <w:color w:val="auto"/>
        </w:rPr>
      </w:pPr>
    </w:p>
    <w:p>
      <w:pPr>
        <w:ind w:left="58" w:right="20"/>
        <w:spacing w:after="0" w:line="227" w:lineRule="auto"/>
        <w:rPr>
          <w:sz w:val="20"/>
          <w:szCs w:val="20"/>
          <w:color w:val="auto"/>
        </w:rPr>
      </w:pPr>
      <w:r>
        <w:rPr>
          <w:rFonts w:ascii="Arial" w:cs="Arial" w:eastAsia="Arial" w:hAnsi="Arial"/>
          <w:sz w:val="20"/>
          <w:szCs w:val="20"/>
          <w:color w:val="auto"/>
        </w:rPr>
        <w:t>Recipient, as the case may be, such additional amount or amounts as will compensate such Lender, such Issuing Lender or other Recipient, as the case may be, for such additional costs incurred or reduction suffered.</w:t>
      </w:r>
    </w:p>
    <w:p>
      <w:pPr>
        <w:spacing w:after="0" w:line="197" w:lineRule="exact"/>
        <w:rPr>
          <w:sz w:val="20"/>
          <w:szCs w:val="20"/>
          <w:color w:val="auto"/>
        </w:rPr>
      </w:pPr>
    </w:p>
    <w:p>
      <w:pPr>
        <w:jc w:val="both"/>
        <w:ind w:left="58" w:firstLine="644"/>
        <w:spacing w:after="0" w:line="234" w:lineRule="auto"/>
        <w:tabs>
          <w:tab w:leader="none" w:pos="123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Capital Requirements.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210" w:lineRule="exact"/>
        <w:rPr>
          <w:rFonts w:ascii="Arial" w:cs="Arial" w:eastAsia="Arial" w:hAnsi="Arial"/>
          <w:sz w:val="18"/>
          <w:szCs w:val="18"/>
          <w:color w:val="auto"/>
        </w:rPr>
      </w:pPr>
    </w:p>
    <w:p>
      <w:pPr>
        <w:jc w:val="both"/>
        <w:ind w:left="58" w:right="20" w:firstLine="644"/>
        <w:spacing w:after="0" w:line="227" w:lineRule="auto"/>
        <w:tabs>
          <w:tab w:leader="none" w:pos="123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Certificates for Reimbursement.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208" w:lineRule="exact"/>
        <w:rPr>
          <w:rFonts w:ascii="Arial" w:cs="Arial" w:eastAsia="Arial" w:hAnsi="Arial"/>
          <w:sz w:val="19"/>
          <w:szCs w:val="19"/>
          <w:color w:val="auto"/>
        </w:rPr>
      </w:pPr>
    </w:p>
    <w:p>
      <w:pPr>
        <w:jc w:val="both"/>
        <w:ind w:left="58" w:firstLine="644"/>
        <w:spacing w:after="0" w:line="235" w:lineRule="auto"/>
        <w:tabs>
          <w:tab w:leader="none" w:pos="123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Delay in Requests. Failure or delay on the part of any Lender or any Issuing Lender or such other Recipient to demand compensation pursuant to this Section shall not constitute a waiver of such Lender’s or such Issuing Lender’s or such other Recipient’s right to demand such compensation; provided that the Borrowers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55"/>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1" w:name="page172"/>
    <w:bookmarkEnd w:id="171"/>
    <w:p>
      <w:pPr>
        <w:spacing w:after="0" w:line="209" w:lineRule="exact"/>
        <w:rPr>
          <w:sz w:val="20"/>
          <w:szCs w:val="20"/>
          <w:color w:val="auto"/>
        </w:rPr>
      </w:pPr>
    </w:p>
    <w:p>
      <w:pPr>
        <w:ind w:left="698"/>
        <w:spacing w:after="0"/>
        <w:tabs>
          <w:tab w:leader="none" w:pos="2098"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6"/>
          <w:szCs w:val="16"/>
          <w:color w:val="auto"/>
        </w:rPr>
        <w:t>Taxes.</w:t>
      </w:r>
    </w:p>
    <w:p>
      <w:pPr>
        <w:spacing w:after="0" w:line="283" w:lineRule="exact"/>
        <w:rPr>
          <w:sz w:val="20"/>
          <w:szCs w:val="20"/>
          <w:color w:val="auto"/>
        </w:rPr>
      </w:pPr>
    </w:p>
    <w:p>
      <w:pPr>
        <w:ind w:left="58" w:right="20" w:firstLine="644"/>
        <w:spacing w:after="0" w:line="236" w:lineRule="auto"/>
        <w:tabs>
          <w:tab w:leader="none" w:pos="1234" w:val="left"/>
        </w:tabs>
        <w:numPr>
          <w:ilvl w:val="0"/>
          <w:numId w:val="256"/>
        </w:numPr>
        <w:rPr>
          <w:rFonts w:ascii="Arial" w:cs="Arial" w:eastAsia="Arial" w:hAnsi="Arial"/>
          <w:sz w:val="20"/>
          <w:szCs w:val="20"/>
          <w:color w:val="auto"/>
        </w:rPr>
      </w:pPr>
      <w:r>
        <w:rPr>
          <w:rFonts w:ascii="Arial" w:cs="Arial" w:eastAsia="Arial" w:hAnsi="Arial"/>
          <w:sz w:val="20"/>
          <w:szCs w:val="20"/>
          <w:color w:val="auto"/>
        </w:rPr>
        <w:t>Defined Terms. For purposes of this Section 5.11, the term “Lender” includes any Issuing Lender and the term “Applicable Law” includes FATCA.</w:t>
      </w:r>
    </w:p>
    <w:p>
      <w:pPr>
        <w:spacing w:after="0" w:line="195" w:lineRule="exact"/>
        <w:rPr>
          <w:rFonts w:ascii="Arial" w:cs="Arial" w:eastAsia="Arial" w:hAnsi="Arial"/>
          <w:sz w:val="20"/>
          <w:szCs w:val="20"/>
          <w:color w:val="auto"/>
        </w:rPr>
      </w:pPr>
    </w:p>
    <w:p>
      <w:pPr>
        <w:jc w:val="both"/>
        <w:ind w:left="58" w:firstLine="644"/>
        <w:spacing w:after="0" w:line="212" w:lineRule="auto"/>
        <w:tabs>
          <w:tab w:leader="none" w:pos="1234" w:val="left"/>
        </w:tabs>
        <w:numPr>
          <w:ilvl w:val="0"/>
          <w:numId w:val="256"/>
        </w:numPr>
        <w:rPr>
          <w:rFonts w:ascii="Arial" w:cs="Arial" w:eastAsia="Arial" w:hAnsi="Arial"/>
          <w:sz w:val="20"/>
          <w:szCs w:val="20"/>
          <w:color w:val="auto"/>
        </w:rPr>
      </w:pPr>
      <w:r>
        <w:rPr>
          <w:rFonts w:ascii="Arial" w:cs="Arial" w:eastAsia="Arial" w:hAnsi="Arial"/>
          <w:sz w:val="20"/>
          <w:szCs w:val="20"/>
          <w:color w:val="auto"/>
        </w:rPr>
        <w:t>Payments Free of Taxes.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6" w:lineRule="exact"/>
        <w:rPr>
          <w:rFonts w:ascii="Arial" w:cs="Arial" w:eastAsia="Arial" w:hAnsi="Arial"/>
          <w:sz w:val="20"/>
          <w:szCs w:val="20"/>
          <w:color w:val="auto"/>
        </w:rPr>
      </w:pPr>
    </w:p>
    <w:p>
      <w:pPr>
        <w:ind w:left="58" w:right="20" w:firstLine="644"/>
        <w:spacing w:after="0" w:line="285" w:lineRule="auto"/>
        <w:tabs>
          <w:tab w:leader="none" w:pos="123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Payment of Other Taxes by the Credit Parties. The Credit Parties shall timely pay to the relevant Governmental Authority in accordance with Applicable Law, or at the option of the Administrative Agent timely reimburse it for the payment of, any Other Taxes.</w:t>
      </w:r>
    </w:p>
    <w:p>
      <w:pPr>
        <w:spacing w:after="0" w:line="156" w:lineRule="exact"/>
        <w:rPr>
          <w:rFonts w:ascii="Arial" w:cs="Arial" w:eastAsia="Arial" w:hAnsi="Arial"/>
          <w:sz w:val="18"/>
          <w:szCs w:val="18"/>
          <w:color w:val="auto"/>
        </w:rPr>
      </w:pPr>
    </w:p>
    <w:p>
      <w:pPr>
        <w:jc w:val="both"/>
        <w:ind w:left="58" w:firstLine="644"/>
        <w:spacing w:after="0" w:line="221" w:lineRule="auto"/>
        <w:tabs>
          <w:tab w:leader="none" w:pos="1234"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Indemnification by the Credit Parties.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219" w:lineRule="exact"/>
        <w:rPr>
          <w:rFonts w:ascii="Arial" w:cs="Arial" w:eastAsia="Arial" w:hAnsi="Arial"/>
          <w:sz w:val="19"/>
          <w:szCs w:val="19"/>
          <w:color w:val="auto"/>
        </w:rPr>
      </w:pPr>
    </w:p>
    <w:p>
      <w:pPr>
        <w:jc w:val="both"/>
        <w:ind w:left="58" w:firstLine="644"/>
        <w:spacing w:after="0" w:line="223" w:lineRule="auto"/>
        <w:tabs>
          <w:tab w:leader="none" w:pos="1234"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Indemnification by the Lenders.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12.9(d)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5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2" w:name="page173"/>
    <w:bookmarkEnd w:id="172"/>
    <w:p>
      <w:pPr>
        <w:ind w:left="38"/>
        <w:spacing w:after="0"/>
        <w:rPr>
          <w:sz w:val="20"/>
          <w:szCs w:val="20"/>
          <w:color w:val="auto"/>
        </w:rPr>
      </w:pPr>
      <w:r>
        <w:rPr>
          <w:rFonts w:ascii="Arial" w:cs="Arial" w:eastAsia="Arial" w:hAnsi="Arial"/>
          <w:sz w:val="18"/>
          <w:szCs w:val="18"/>
          <w:color w:val="auto"/>
        </w:rPr>
        <w:t>Administrative Agent to the Lender from any other source against any amount due to the Administrative Agent under this paragraph (e).</w:t>
      </w:r>
    </w:p>
    <w:p>
      <w:pPr>
        <w:spacing w:after="0" w:line="239" w:lineRule="exact"/>
        <w:rPr>
          <w:sz w:val="20"/>
          <w:szCs w:val="20"/>
          <w:color w:val="auto"/>
        </w:rPr>
      </w:pPr>
    </w:p>
    <w:p>
      <w:pPr>
        <w:jc w:val="both"/>
        <w:ind w:left="38" w:firstLine="646"/>
        <w:spacing w:after="0" w:line="220" w:lineRule="auto"/>
        <w:tabs>
          <w:tab w:leader="none" w:pos="1241"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Evidence of Payments. As soon as practicable after any payment of Taxes by any Credit Party to a Governmental Authority pursuant to this Section 5.11,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9" w:lineRule="exact"/>
        <w:rPr>
          <w:rFonts w:ascii="Arial" w:cs="Arial" w:eastAsia="Arial" w:hAnsi="Arial"/>
          <w:sz w:val="20"/>
          <w:szCs w:val="20"/>
          <w:color w:val="auto"/>
        </w:rPr>
      </w:pPr>
    </w:p>
    <w:p>
      <w:pPr>
        <w:ind w:left="1318" w:hanging="634"/>
        <w:spacing w:after="0"/>
        <w:tabs>
          <w:tab w:leader="none" w:pos="1318" w:val="left"/>
        </w:tabs>
        <w:numPr>
          <w:ilvl w:val="0"/>
          <w:numId w:val="258"/>
        </w:numPr>
        <w:rPr>
          <w:rFonts w:ascii="Arial" w:cs="Arial" w:eastAsia="Arial" w:hAnsi="Arial"/>
          <w:sz w:val="20"/>
          <w:szCs w:val="20"/>
          <w:color w:val="auto"/>
        </w:rPr>
      </w:pPr>
      <w:r>
        <w:rPr>
          <w:rFonts w:ascii="Arial" w:cs="Arial" w:eastAsia="Arial" w:hAnsi="Arial"/>
          <w:sz w:val="20"/>
          <w:szCs w:val="20"/>
          <w:color w:val="auto"/>
        </w:rPr>
        <w:t>Status of Lenders.</w:t>
      </w:r>
    </w:p>
    <w:p>
      <w:pPr>
        <w:spacing w:after="0" w:line="283" w:lineRule="exact"/>
        <w:rPr>
          <w:rFonts w:ascii="Arial" w:cs="Arial" w:eastAsia="Arial" w:hAnsi="Arial"/>
          <w:sz w:val="20"/>
          <w:szCs w:val="20"/>
          <w:color w:val="auto"/>
        </w:rPr>
      </w:pPr>
    </w:p>
    <w:p>
      <w:pPr>
        <w:jc w:val="both"/>
        <w:ind w:left="678" w:firstLine="654"/>
        <w:spacing w:after="0" w:line="234" w:lineRule="auto"/>
        <w:tabs>
          <w:tab w:leader="none" w:pos="188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5.11(g)(ii)(A),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6" w:lineRule="exact"/>
        <w:rPr>
          <w:rFonts w:ascii="Arial" w:cs="Arial" w:eastAsia="Arial" w:hAnsi="Arial"/>
          <w:sz w:val="18"/>
          <w:szCs w:val="18"/>
          <w:color w:val="auto"/>
        </w:rPr>
      </w:pPr>
    </w:p>
    <w:p>
      <w:pPr>
        <w:ind w:left="1978" w:hanging="646"/>
        <w:spacing w:after="0"/>
        <w:tabs>
          <w:tab w:leader="none" w:pos="1978" w:val="left"/>
        </w:tabs>
        <w:numPr>
          <w:ilvl w:val="1"/>
          <w:numId w:val="258"/>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29" w:lineRule="exact"/>
        <w:rPr>
          <w:rFonts w:ascii="Arial" w:cs="Arial" w:eastAsia="Arial" w:hAnsi="Arial"/>
          <w:sz w:val="20"/>
          <w:szCs w:val="20"/>
          <w:color w:val="auto"/>
        </w:rPr>
      </w:pPr>
    </w:p>
    <w:p>
      <w:pPr>
        <w:jc w:val="both"/>
        <w:ind w:left="1338" w:firstLine="537"/>
        <w:spacing w:after="0" w:line="220" w:lineRule="auto"/>
        <w:tabs>
          <w:tab w:leader="none" w:pos="2541" w:val="left"/>
        </w:tabs>
        <w:numPr>
          <w:ilvl w:val="2"/>
          <w:numId w:val="258"/>
        </w:numPr>
        <w:rPr>
          <w:rFonts w:ascii="Arial" w:cs="Arial" w:eastAsia="Arial" w:hAnsi="Arial"/>
          <w:sz w:val="20"/>
          <w:szCs w:val="20"/>
          <w:color w:val="auto"/>
        </w:rPr>
      </w:pPr>
      <w:r>
        <w:rPr>
          <w:rFonts w:ascii="Arial" w:cs="Arial" w:eastAsia="Arial" w:hAnsi="Arial"/>
          <w:sz w:val="20"/>
          <w:szCs w:val="20"/>
          <w:color w:val="auto"/>
        </w:rPr>
        <w:t>Any Lender that is a U.S. Person shall deliver to Centuri and the Administrative Agent on or prior to the date on which such Lender becomes a Lender 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pacing w:after="0" w:line="196" w:lineRule="exact"/>
        <w:rPr>
          <w:rFonts w:ascii="Arial" w:cs="Arial" w:eastAsia="Arial" w:hAnsi="Arial"/>
          <w:sz w:val="20"/>
          <w:szCs w:val="20"/>
          <w:color w:val="auto"/>
        </w:rPr>
      </w:pPr>
    </w:p>
    <w:p>
      <w:pPr>
        <w:jc w:val="both"/>
        <w:ind w:left="1338" w:firstLine="482"/>
        <w:spacing w:after="0" w:line="220" w:lineRule="auto"/>
        <w:tabs>
          <w:tab w:leader="none" w:pos="2539" w:val="left"/>
        </w:tabs>
        <w:numPr>
          <w:ilvl w:val="2"/>
          <w:numId w:val="258"/>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196" w:lineRule="exact"/>
        <w:rPr>
          <w:rFonts w:ascii="Arial" w:cs="Arial" w:eastAsia="Arial" w:hAnsi="Arial"/>
          <w:sz w:val="20"/>
          <w:szCs w:val="20"/>
          <w:color w:val="auto"/>
        </w:rPr>
      </w:pPr>
    </w:p>
    <w:p>
      <w:pPr>
        <w:jc w:val="both"/>
        <w:ind w:left="1978" w:firstLine="650"/>
        <w:spacing w:after="0" w:line="238" w:lineRule="auto"/>
        <w:tabs>
          <w:tab w:leader="none" w:pos="3180" w:val="left"/>
        </w:tabs>
        <w:numPr>
          <w:ilvl w:val="3"/>
          <w:numId w:val="25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59"/>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73" w:name="page174"/>
    <w:bookmarkEnd w:id="173"/>
    <w:p>
      <w:pPr>
        <w:spacing w:after="0" w:line="209" w:lineRule="exact"/>
        <w:rPr>
          <w:sz w:val="20"/>
          <w:szCs w:val="20"/>
          <w:color w:val="auto"/>
        </w:rPr>
      </w:pPr>
    </w:p>
    <w:p>
      <w:pPr>
        <w:ind w:left="1978" w:right="320"/>
        <w:spacing w:after="0" w:line="236" w:lineRule="auto"/>
        <w:rPr>
          <w:sz w:val="20"/>
          <w:szCs w:val="20"/>
          <w:color w:val="auto"/>
        </w:rPr>
      </w:pPr>
      <w:r>
        <w:rPr>
          <w:rFonts w:ascii="Arial" w:cs="Arial" w:eastAsia="Arial" w:hAnsi="Arial"/>
          <w:sz w:val="20"/>
          <w:szCs w:val="20"/>
          <w:color w:val="auto"/>
        </w:rPr>
        <w:t>an exemption from, or reduction of, United States federal withholding Tax pursuant to the “business profits” or “other income” article of such tax treaty;</w:t>
      </w:r>
    </w:p>
    <w:p>
      <w:pPr>
        <w:spacing w:after="0" w:line="196" w:lineRule="exact"/>
        <w:rPr>
          <w:sz w:val="20"/>
          <w:szCs w:val="20"/>
          <w:color w:val="auto"/>
        </w:rPr>
      </w:pPr>
    </w:p>
    <w:p>
      <w:pPr>
        <w:ind w:left="3258" w:hanging="630"/>
        <w:spacing w:after="0"/>
        <w:tabs>
          <w:tab w:leader="none" w:pos="3258" w:val="left"/>
        </w:tabs>
        <w:numPr>
          <w:ilvl w:val="1"/>
          <w:numId w:val="260"/>
        </w:numPr>
        <w:rPr>
          <w:rFonts w:ascii="Arial" w:cs="Arial" w:eastAsia="Arial" w:hAnsi="Arial"/>
          <w:sz w:val="20"/>
          <w:szCs w:val="20"/>
          <w:color w:val="auto"/>
        </w:rPr>
      </w:pPr>
      <w:r>
        <w:rPr>
          <w:rFonts w:ascii="Arial" w:cs="Arial" w:eastAsia="Arial" w:hAnsi="Arial"/>
          <w:sz w:val="20"/>
          <w:szCs w:val="20"/>
          <w:color w:val="auto"/>
        </w:rPr>
        <w:t>executed copies of IRS Form W-8ECI (or any successor form);</w:t>
      </w:r>
    </w:p>
    <w:p>
      <w:pPr>
        <w:spacing w:after="0" w:line="215" w:lineRule="exact"/>
        <w:rPr>
          <w:rFonts w:ascii="Arial" w:cs="Arial" w:eastAsia="Arial" w:hAnsi="Arial"/>
          <w:sz w:val="20"/>
          <w:szCs w:val="20"/>
          <w:color w:val="auto"/>
        </w:rPr>
      </w:pPr>
    </w:p>
    <w:p>
      <w:pPr>
        <w:jc w:val="both"/>
        <w:ind w:left="1978" w:firstLine="650"/>
        <w:spacing w:after="0" w:line="241" w:lineRule="auto"/>
        <w:tabs>
          <w:tab w:leader="none" w:pos="31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b w:val="1"/>
          <w:bCs w:val="1"/>
          <w:i w:val="1"/>
          <w:iCs w:val="1"/>
          <w:color w:val="auto"/>
        </w:rPr>
        <w:t>Exhibit H-1</w:t>
      </w:r>
      <w:r>
        <w:rPr>
          <w:rFonts w:ascii="Arial" w:cs="Arial" w:eastAsia="Arial" w:hAnsi="Arial"/>
          <w:sz w:val="18"/>
          <w:szCs w:val="18"/>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“U.S. Tax Compliance Certificate”) and (y) executed copies of IRS Form W-8BEN (or any successor form) or W-8BEN-E (or any successor form), as applicable; or</w:t>
      </w:r>
    </w:p>
    <w:p>
      <w:pPr>
        <w:spacing w:after="0" w:line="197" w:lineRule="exact"/>
        <w:rPr>
          <w:rFonts w:ascii="Arial" w:cs="Arial" w:eastAsia="Arial" w:hAnsi="Arial"/>
          <w:sz w:val="18"/>
          <w:szCs w:val="18"/>
          <w:color w:val="auto"/>
        </w:rPr>
      </w:pPr>
    </w:p>
    <w:p>
      <w:pPr>
        <w:jc w:val="both"/>
        <w:ind w:left="1978" w:firstLine="650"/>
        <w:spacing w:after="0" w:line="214" w:lineRule="auto"/>
        <w:tabs>
          <w:tab w:leader="none" w:pos="3180" w:val="left"/>
        </w:tabs>
        <w:numPr>
          <w:ilvl w:val="1"/>
          <w:numId w:val="260"/>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Arial" w:cs="Arial" w:eastAsia="Arial" w:hAnsi="Arial"/>
          <w:sz w:val="20"/>
          <w:szCs w:val="20"/>
          <w:b w:val="1"/>
          <w:bCs w:val="1"/>
          <w:i w:val="1"/>
          <w:iCs w:val="1"/>
          <w:color w:val="auto"/>
        </w:rPr>
        <w:t>Exhibit H-2</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Exhibit H-3</w:t>
      </w:r>
      <w:r>
        <w:rPr>
          <w:rFonts w:ascii="Arial" w:cs="Arial" w:eastAsia="Arial" w:hAnsi="Arial"/>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b w:val="1"/>
          <w:bCs w:val="1"/>
          <w:i w:val="1"/>
          <w:iCs w:val="1"/>
          <w:color w:val="auto"/>
        </w:rPr>
        <w:t>Exhibit H-4</w:t>
      </w:r>
      <w:r>
        <w:rPr>
          <w:rFonts w:ascii="Arial" w:cs="Arial" w:eastAsia="Arial" w:hAnsi="Arial"/>
          <w:sz w:val="20"/>
          <w:szCs w:val="20"/>
          <w:color w:val="auto"/>
        </w:rPr>
        <w:t xml:space="preserve"> on behalf of each such direct and indirect partner;</w:t>
      </w:r>
    </w:p>
    <w:p>
      <w:pPr>
        <w:spacing w:after="0" w:line="195" w:lineRule="exact"/>
        <w:rPr>
          <w:rFonts w:ascii="Arial" w:cs="Arial" w:eastAsia="Arial" w:hAnsi="Arial"/>
          <w:sz w:val="20"/>
          <w:szCs w:val="20"/>
          <w:color w:val="auto"/>
        </w:rPr>
      </w:pPr>
    </w:p>
    <w:p>
      <w:pPr>
        <w:jc w:val="both"/>
        <w:ind w:left="1338" w:firstLine="428"/>
        <w:spacing w:after="0" w:line="225" w:lineRule="auto"/>
        <w:tabs>
          <w:tab w:leader="none" w:pos="254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200" w:lineRule="exact"/>
        <w:rPr>
          <w:sz w:val="20"/>
          <w:szCs w:val="20"/>
          <w:color w:val="auto"/>
        </w:rPr>
      </w:pPr>
    </w:p>
    <w:p>
      <w:pPr>
        <w:jc w:val="both"/>
        <w:ind w:left="1338" w:firstLine="438"/>
        <w:spacing w:after="0" w:line="235" w:lineRule="auto"/>
        <w:tabs>
          <w:tab w:leader="none" w:pos="252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 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263"/>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4" w:name="page175"/>
    <w:bookmarkEnd w:id="174"/>
    <w:p>
      <w:pPr>
        <w:ind w:left="698"/>
        <w:spacing w:after="0"/>
        <w:rPr>
          <w:sz w:val="20"/>
          <w:szCs w:val="20"/>
          <w:color w:val="auto"/>
        </w:rPr>
      </w:pPr>
      <w:r>
        <w:rPr>
          <w:rFonts w:ascii="Arial" w:cs="Arial" w:eastAsia="Arial" w:hAnsi="Arial"/>
          <w:sz w:val="18"/>
          <w:szCs w:val="18"/>
          <w:color w:val="auto"/>
        </w:rPr>
        <w:t>Each Lender agrees that (x) it shall promptly notify Centuri and the Administrative Agent of any change in circumstances which</w:t>
      </w:r>
    </w:p>
    <w:p>
      <w:pPr>
        <w:spacing w:after="0" w:line="12"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would modify or render invalid any claimed exemption or reduction to withholding and (y) if any form or certification it previously delivered expires or becomes obsolete or inaccurate in any respect, it shall update such form or certification or promptly notify Centuri and</w:t>
      </w:r>
    </w:p>
    <w:p>
      <w:pPr>
        <w:spacing w:after="0" w:line="2" w:lineRule="exact"/>
        <w:rPr>
          <w:sz w:val="20"/>
          <w:szCs w:val="20"/>
          <w:color w:val="auto"/>
        </w:rPr>
      </w:pPr>
    </w:p>
    <w:p>
      <w:pPr>
        <w:ind w:left="58" w:right="20"/>
        <w:spacing w:after="0" w:line="266" w:lineRule="auto"/>
        <w:rPr>
          <w:sz w:val="20"/>
          <w:szCs w:val="20"/>
          <w:color w:val="auto"/>
        </w:rPr>
      </w:pPr>
      <w:r>
        <w:rPr>
          <w:rFonts w:ascii="Arial" w:cs="Arial" w:eastAsia="Arial" w:hAnsi="Arial"/>
          <w:sz w:val="18"/>
          <w:szCs w:val="18"/>
          <w:color w:val="auto"/>
        </w:rPr>
        <w:t>the Administrative Agent in writing of its legal inability to do so; provided that no such updating or notification is required to be made on account of any Canadian withholding tax if no form or certification has been previously delivered for Canadian withholding tax purposes.</w:t>
      </w:r>
    </w:p>
    <w:p>
      <w:pPr>
        <w:spacing w:after="0" w:line="173" w:lineRule="exact"/>
        <w:rPr>
          <w:sz w:val="20"/>
          <w:szCs w:val="20"/>
          <w:color w:val="auto"/>
        </w:rPr>
      </w:pPr>
    </w:p>
    <w:p>
      <w:pPr>
        <w:jc w:val="both"/>
        <w:ind w:left="58" w:firstLine="644"/>
        <w:spacing w:after="0" w:line="209" w:lineRule="auto"/>
        <w:tabs>
          <w:tab w:leader="none" w:pos="1234" w:val="left"/>
        </w:tabs>
        <w:numPr>
          <w:ilvl w:val="2"/>
          <w:numId w:val="264"/>
        </w:numPr>
        <w:rPr>
          <w:rFonts w:ascii="Arial" w:cs="Arial" w:eastAsia="Arial" w:hAnsi="Arial"/>
          <w:sz w:val="20"/>
          <w:szCs w:val="20"/>
          <w:color w:val="auto"/>
        </w:rPr>
      </w:pPr>
      <w:r>
        <w:rPr>
          <w:rFonts w:ascii="Arial" w:cs="Arial" w:eastAsia="Arial" w:hAnsi="Arial"/>
          <w:sz w:val="20"/>
          <w:szCs w:val="20"/>
          <w:color w:val="auto"/>
        </w:rPr>
        <w:t>Treatment of Certain Refunds. If any party determines, in its sole discretion exercised in good faith, that it has received a refund of any Taxes as to which it has been indemnified pursuant to this Section 5.11 (including by the payment of additional amounts pursuant to this Section 5.11),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w:t>
      </w:r>
    </w:p>
    <w:p>
      <w:pPr>
        <w:spacing w:after="0" w:line="4" w:lineRule="exact"/>
        <w:rPr>
          <w:rFonts w:ascii="Arial" w:cs="Arial" w:eastAsia="Arial" w:hAnsi="Arial"/>
          <w:sz w:val="20"/>
          <w:szCs w:val="20"/>
          <w:color w:val="auto"/>
        </w:rPr>
      </w:pPr>
    </w:p>
    <w:p>
      <w:pPr>
        <w:jc w:val="both"/>
        <w:ind w:left="58" w:hanging="4"/>
        <w:spacing w:after="0" w:line="221" w:lineRule="auto"/>
        <w:tabs>
          <w:tab w:leader="none" w:pos="58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10" w:lineRule="exact"/>
        <w:rPr>
          <w:rFonts w:ascii="Arial" w:cs="Arial" w:eastAsia="Arial" w:hAnsi="Arial"/>
          <w:sz w:val="19"/>
          <w:szCs w:val="19"/>
          <w:color w:val="auto"/>
        </w:rPr>
      </w:pPr>
    </w:p>
    <w:p>
      <w:pPr>
        <w:jc w:val="both"/>
        <w:ind w:left="58" w:right="20" w:firstLine="644"/>
        <w:spacing w:after="0" w:line="223" w:lineRule="auto"/>
        <w:tabs>
          <w:tab w:leader="none" w:pos="1236" w:val="left"/>
        </w:tabs>
        <w:numPr>
          <w:ilvl w:val="1"/>
          <w:numId w:val="265"/>
        </w:numPr>
        <w:rPr>
          <w:rFonts w:ascii="Arial" w:cs="Arial" w:eastAsia="Arial" w:hAnsi="Arial"/>
          <w:sz w:val="20"/>
          <w:szCs w:val="20"/>
          <w:color w:val="auto"/>
        </w:rPr>
      </w:pPr>
      <w:r>
        <w:rPr>
          <w:rFonts w:ascii="Arial" w:cs="Arial" w:eastAsia="Arial" w:hAnsi="Arial"/>
          <w:sz w:val="20"/>
          <w:szCs w:val="20"/>
          <w:color w:val="auto"/>
        </w:rPr>
        <w:t>Survival. Each party’s obligations under this Section 5.11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96"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color w:val="auto"/>
        </w:rPr>
        <w:t>Mitigation Obligations; Replacement of Lenders.</w:t>
      </w:r>
    </w:p>
    <w:p>
      <w:pPr>
        <w:spacing w:after="0" w:line="283" w:lineRule="exact"/>
        <w:rPr>
          <w:sz w:val="20"/>
          <w:szCs w:val="20"/>
          <w:color w:val="auto"/>
        </w:rPr>
      </w:pPr>
    </w:p>
    <w:p>
      <w:pPr>
        <w:jc w:val="both"/>
        <w:ind w:left="58" w:firstLine="644"/>
        <w:spacing w:after="0" w:line="235" w:lineRule="auto"/>
        <w:tabs>
          <w:tab w:leader="none" w:pos="123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Designation of a Different Lending Office. If any Lender requests compensation under Section 5.10, or requires any Borrower to pay any Indemnified Taxes or additional amounts to any Lender or any Governmental Authority for the account of any Lender pursuant to Section 5.11, or determines that it is unable to fulfill its obligations hereunder due to illegality pursuant to Section 5.8(d),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5.10 or Section 5.11 or avoid illegality under Section 5.8(d),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214" w:lineRule="exact"/>
        <w:rPr>
          <w:rFonts w:ascii="Arial" w:cs="Arial" w:eastAsia="Arial" w:hAnsi="Arial"/>
          <w:sz w:val="18"/>
          <w:szCs w:val="18"/>
          <w:color w:val="auto"/>
        </w:rPr>
      </w:pPr>
    </w:p>
    <w:p>
      <w:pPr>
        <w:jc w:val="both"/>
        <w:ind w:left="58" w:firstLine="644"/>
        <w:spacing w:after="0" w:line="223" w:lineRule="auto"/>
        <w:tabs>
          <w:tab w:leader="none" w:pos="123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Replacement of Lenders. If any Lender requests compensation under Section 5.10, or if the Borrowers are required to pay any Indemnified Taxes or additional amounts to any Lender or any Governmental Authority for the account of any Lender pursuant to Section 5.11, or any Lender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67"/>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75" w:name="page176"/>
    <w:bookmarkEnd w:id="175"/>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that it is unable to fulfill its obligations hereunder due to illegality pursuant to Section 5.8(d) and, in each case, such Lender has declined</w:t>
      </w:r>
    </w:p>
    <w:p>
      <w:pPr>
        <w:spacing w:after="0" w:line="12" w:lineRule="exact"/>
        <w:rPr>
          <w:sz w:val="20"/>
          <w:szCs w:val="20"/>
          <w:color w:val="auto"/>
        </w:rPr>
      </w:pPr>
    </w:p>
    <w:p>
      <w:pPr>
        <w:jc w:val="both"/>
        <w:ind w:left="58"/>
        <w:spacing w:after="0" w:line="226" w:lineRule="auto"/>
        <w:rPr>
          <w:sz w:val="20"/>
          <w:szCs w:val="20"/>
          <w:color w:val="auto"/>
        </w:rPr>
      </w:pPr>
      <w:r>
        <w:rPr>
          <w:rFonts w:ascii="Arial" w:cs="Arial" w:eastAsia="Arial" w:hAnsi="Arial"/>
          <w:sz w:val="18"/>
          <w:szCs w:val="18"/>
          <w:color w:val="auto"/>
        </w:rPr>
        <w:t>or is unable to designate a different Lending Office in accordance with Section 5.12(a), or if any Lender is a Defaulting Lender or a Non-Consenting Lender, then the Borrowers may, at their sole expense and effort, upon notice to such Lender and the Administrative Agent,</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6"/>
          <w:szCs w:val="16"/>
          <w:color w:val="auto"/>
        </w:rPr>
        <w:t>require such Lender to assign and delegate, without recourse (in accordance with and subject to the restrictions contained in, and consents</w:t>
      </w:r>
    </w:p>
    <w:p>
      <w:pPr>
        <w:spacing w:after="0" w:line="19"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required by, Section 12.9), all of its interests, rights (other than its existing rights to payments pursuant to Section 5.10 or Section 5.11) and obligations under this Agreement and the related Loan Documents to an Eligible Assignee that shall assume such obligations (which</w:t>
      </w:r>
    </w:p>
    <w:p>
      <w:pPr>
        <w:spacing w:after="0" w:line="2" w:lineRule="exact"/>
        <w:rPr>
          <w:sz w:val="20"/>
          <w:szCs w:val="20"/>
          <w:color w:val="auto"/>
        </w:rPr>
      </w:pPr>
    </w:p>
    <w:p>
      <w:pPr>
        <w:ind w:left="58"/>
        <w:spacing w:after="0"/>
        <w:rPr>
          <w:sz w:val="20"/>
          <w:szCs w:val="20"/>
          <w:color w:val="auto"/>
        </w:rPr>
      </w:pPr>
      <w:r>
        <w:rPr>
          <w:rFonts w:ascii="Arial" w:cs="Arial" w:eastAsia="Arial" w:hAnsi="Arial"/>
          <w:sz w:val="20"/>
          <w:szCs w:val="20"/>
          <w:color w:val="auto"/>
        </w:rPr>
        <w:t>assignee may be another Lender, if a Lender accepts such assignment); provided that:</w:t>
      </w:r>
    </w:p>
    <w:p>
      <w:pPr>
        <w:spacing w:after="0" w:line="267" w:lineRule="exact"/>
        <w:rPr>
          <w:sz w:val="20"/>
          <w:szCs w:val="20"/>
          <w:color w:val="auto"/>
        </w:rPr>
      </w:pPr>
    </w:p>
    <w:p>
      <w:pPr>
        <w:ind w:left="1878" w:hanging="528"/>
        <w:spacing w:after="0"/>
        <w:tabs>
          <w:tab w:leader="none" w:pos="187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Borrowers shall have paid to the Administrative Agent the assignment fee (if any) specified in Section 12.9;</w:t>
      </w:r>
    </w:p>
    <w:p>
      <w:pPr>
        <w:spacing w:after="0" w:line="306" w:lineRule="exact"/>
        <w:rPr>
          <w:rFonts w:ascii="Arial" w:cs="Arial" w:eastAsia="Arial" w:hAnsi="Arial"/>
          <w:sz w:val="18"/>
          <w:szCs w:val="18"/>
          <w:color w:val="auto"/>
        </w:rPr>
      </w:pPr>
    </w:p>
    <w:p>
      <w:pPr>
        <w:jc w:val="both"/>
        <w:ind w:left="698" w:firstLine="652"/>
        <w:spacing w:after="0" w:line="246" w:lineRule="auto"/>
        <w:tabs>
          <w:tab w:leader="none" w:pos="18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Section 5.9) from the assignee (to the extent of such outstanding principal and accrued interest and fees) or the Borrowers (in the case of all other amounts);</w:t>
      </w:r>
    </w:p>
    <w:p>
      <w:pPr>
        <w:spacing w:after="0" w:line="190" w:lineRule="exact"/>
        <w:rPr>
          <w:rFonts w:ascii="Arial" w:cs="Arial" w:eastAsia="Arial" w:hAnsi="Arial"/>
          <w:sz w:val="18"/>
          <w:szCs w:val="18"/>
          <w:color w:val="auto"/>
        </w:rPr>
      </w:pPr>
    </w:p>
    <w:p>
      <w:pPr>
        <w:jc w:val="both"/>
        <w:ind w:left="698" w:right="20" w:firstLine="652"/>
        <w:spacing w:after="0" w:line="223" w:lineRule="auto"/>
        <w:tabs>
          <w:tab w:leader="none" w:pos="1875"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a claim for compensation under Section 5.10 or payments required to be made pursuant to Section 5.11, such assignment will result in a reduction in such compensation or payments thereafter;</w:t>
      </w:r>
    </w:p>
    <w:p>
      <w:pPr>
        <w:spacing w:after="0" w:line="209" w:lineRule="exact"/>
        <w:rPr>
          <w:rFonts w:ascii="Arial" w:cs="Arial" w:eastAsia="Arial" w:hAnsi="Arial"/>
          <w:sz w:val="20"/>
          <w:szCs w:val="20"/>
          <w:color w:val="auto"/>
        </w:rPr>
      </w:pPr>
    </w:p>
    <w:p>
      <w:pPr>
        <w:ind w:left="1998" w:hanging="648"/>
        <w:spacing w:after="0"/>
        <w:tabs>
          <w:tab w:leader="none" w:pos="1998" w:val="left"/>
        </w:tabs>
        <w:numPr>
          <w:ilvl w:val="0"/>
          <w:numId w:val="26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15" w:lineRule="exact"/>
        <w:rPr>
          <w:rFonts w:ascii="Arial" w:cs="Arial" w:eastAsia="Arial" w:hAnsi="Arial"/>
          <w:sz w:val="20"/>
          <w:szCs w:val="20"/>
          <w:color w:val="auto"/>
        </w:rPr>
      </w:pPr>
    </w:p>
    <w:p>
      <w:pPr>
        <w:ind w:left="698" w:firstLine="652"/>
        <w:spacing w:after="0" w:line="236" w:lineRule="auto"/>
        <w:tabs>
          <w:tab w:leader="none" w:pos="1875"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Non-Consenting Lender, the applicable assignee shall have consented to the applicable amendment, waiver or consent.</w:t>
      </w:r>
    </w:p>
    <w:p>
      <w:pPr>
        <w:spacing w:after="0" w:line="196" w:lineRule="exact"/>
        <w:rPr>
          <w:sz w:val="20"/>
          <w:szCs w:val="20"/>
          <w:color w:val="auto"/>
        </w:rPr>
      </w:pPr>
    </w:p>
    <w:p>
      <w:pPr>
        <w:ind w:left="58" w:right="20" w:firstLine="648"/>
        <w:spacing w:after="0" w:line="257"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80" w:lineRule="exact"/>
        <w:rPr>
          <w:sz w:val="20"/>
          <w:szCs w:val="20"/>
          <w:color w:val="auto"/>
        </w:rPr>
      </w:pPr>
    </w:p>
    <w:p>
      <w:pPr>
        <w:ind w:left="698"/>
        <w:spacing w:after="0"/>
        <w:rPr>
          <w:sz w:val="20"/>
          <w:szCs w:val="20"/>
          <w:color w:val="auto"/>
        </w:rPr>
      </w:pPr>
      <w:r>
        <w:rPr>
          <w:rFonts w:ascii="Arial" w:cs="Arial" w:eastAsia="Arial" w:hAnsi="Arial"/>
          <w:sz w:val="16"/>
          <w:szCs w:val="16"/>
          <w:color w:val="auto"/>
        </w:rPr>
        <w:t>Each party hereto agrees that (x) an assignment required pursuant to this Section 5.12 may be effected pursuant to an Assignment</w:t>
      </w:r>
    </w:p>
    <w:p>
      <w:pPr>
        <w:spacing w:after="0" w:line="35"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and Assumption executed by Centuri, the Administrative Agent and the assignee and (y) the Lender required to make such assignment need not be a party thereto in order for such assignment to be effective and shall be deemed to have consented to and be bound by the</w:t>
      </w:r>
    </w:p>
    <w:p>
      <w:pPr>
        <w:spacing w:after="0" w:line="2" w:lineRule="exact"/>
        <w:rPr>
          <w:sz w:val="20"/>
          <w:szCs w:val="20"/>
          <w:color w:val="auto"/>
        </w:rPr>
      </w:pPr>
    </w:p>
    <w:p>
      <w:pPr>
        <w:ind w:left="58"/>
        <w:spacing w:after="0"/>
        <w:rPr>
          <w:sz w:val="20"/>
          <w:szCs w:val="20"/>
          <w:color w:val="auto"/>
        </w:rPr>
      </w:pPr>
      <w:r>
        <w:rPr>
          <w:rFonts w:ascii="Arial" w:cs="Arial" w:eastAsia="Arial" w:hAnsi="Arial"/>
          <w:sz w:val="16"/>
          <w:szCs w:val="16"/>
          <w:color w:val="auto"/>
        </w:rPr>
        <w:t>terms thereof; provided that, following the effectiveness of any such assignment, the other parties to such assignment agree to execute and</w:t>
      </w:r>
    </w:p>
    <w:p>
      <w:pPr>
        <w:spacing w:after="0" w:line="19" w:lineRule="exact"/>
        <w:rPr>
          <w:sz w:val="20"/>
          <w:szCs w:val="20"/>
          <w:color w:val="auto"/>
        </w:rPr>
      </w:pPr>
    </w:p>
    <w:p>
      <w:pPr>
        <w:ind w:left="58" w:right="20"/>
        <w:spacing w:after="0" w:line="232" w:lineRule="auto"/>
        <w:rPr>
          <w:sz w:val="20"/>
          <w:szCs w:val="20"/>
          <w:color w:val="auto"/>
        </w:rPr>
      </w:pPr>
      <w:r>
        <w:rPr>
          <w:rFonts w:ascii="Arial" w:cs="Arial" w:eastAsia="Arial" w:hAnsi="Arial"/>
          <w:sz w:val="19"/>
          <w:szCs w:val="19"/>
          <w:color w:val="auto"/>
        </w:rPr>
        <w:t>deliver such documents necessary to evidence such assignment as reasonably requested by the applicable Lender or the Administrative Agent, provided, further that any such documents shall be without recourse to or warranty by the parties thereto.</w:t>
      </w:r>
    </w:p>
    <w:p>
      <w:pPr>
        <w:spacing w:after="0" w:line="210"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6"/>
          <w:szCs w:val="16"/>
          <w:color w:val="auto"/>
        </w:rPr>
        <w:t>Incremental Loans.</w:t>
      </w:r>
    </w:p>
    <w:p>
      <w:pPr>
        <w:spacing w:after="0" w:line="270" w:lineRule="exact"/>
        <w:rPr>
          <w:sz w:val="20"/>
          <w:szCs w:val="20"/>
          <w:color w:val="auto"/>
        </w:rPr>
      </w:pPr>
    </w:p>
    <w:p>
      <w:pPr>
        <w:jc w:val="both"/>
        <w:ind w:left="58" w:firstLine="644"/>
        <w:spacing w:after="0" w:line="218" w:lineRule="auto"/>
        <w:tabs>
          <w:tab w:leader="none" w:pos="123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Request for Increase. At any time after the Closing Date, upon written notice to the Administrative Agent, the US Borrowers, or the Canadian Borrowers, as applicable, may, from time to time, request (i) one or more incremental term loans, including a borrowing of an additional term loan, the principal amount of which will be added to the tranche of Term Loan with the latest maturity date (an “Incremental Term Loan”) or (ii) one or more increases in the Revolving Credit Commitments (an “Incremental Revolving Credit Facility Increase” and, together with the initial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spacing w:after="0" w:line="2" w:lineRule="exact"/>
        <w:rPr>
          <w:sz w:val="20"/>
          <w:szCs w:val="20"/>
          <w:color w:val="auto"/>
        </w:rPr>
      </w:pPr>
    </w:p>
    <w:p>
      <w:pPr>
        <w:ind w:left="458" w:hanging="458"/>
        <w:spacing w:after="0"/>
        <w:tabs>
          <w:tab w:leader="none" w:pos="458" w:val="left"/>
        </w:tabs>
        <w:numPr>
          <w:ilvl w:val="0"/>
          <w:numId w:val="27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6" w:name="page177"/>
    <w:bookmarkEnd w:id="176"/>
    <w:p>
      <w:pPr>
        <w:spacing w:after="0" w:line="209" w:lineRule="exact"/>
        <w:rPr>
          <w:sz w:val="20"/>
          <w:szCs w:val="20"/>
          <w:color w:val="auto"/>
        </w:rPr>
      </w:pPr>
    </w:p>
    <w:p>
      <w:pPr>
        <w:ind w:left="58"/>
        <w:spacing w:after="0"/>
        <w:rPr>
          <w:sz w:val="20"/>
          <w:szCs w:val="20"/>
          <w:color w:val="auto"/>
        </w:rPr>
      </w:pPr>
      <w:r>
        <w:rPr>
          <w:rFonts w:ascii="Arial" w:cs="Arial" w:eastAsia="Arial" w:hAnsi="Arial"/>
          <w:sz w:val="18"/>
          <w:szCs w:val="18"/>
          <w:color w:val="auto"/>
        </w:rPr>
        <w:t>Incremental Term Loans, the “Incremental Increases”); provided that (A) the aggregate principal amount for all such Incremental Increases</w:t>
      </w:r>
    </w:p>
    <w:p>
      <w:pPr>
        <w:spacing w:after="0" w:line="12"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and Incremental Equivalent Indebtedness incurred after the Closing Date shall not exceed the sum of (1) the greater of $300,000,000 and Consolidated EBITDA as of the most recently ended four consecutive fiscal quarter period for which financial statements and the related</w:t>
      </w:r>
    </w:p>
    <w:p>
      <w:pPr>
        <w:ind w:left="58"/>
        <w:spacing w:after="0" w:line="236" w:lineRule="auto"/>
        <w:rPr>
          <w:sz w:val="20"/>
          <w:szCs w:val="20"/>
          <w:color w:val="auto"/>
        </w:rPr>
      </w:pPr>
      <w:r>
        <w:rPr>
          <w:rFonts w:ascii="Arial" w:cs="Arial" w:eastAsia="Arial" w:hAnsi="Arial"/>
          <w:sz w:val="18"/>
          <w:szCs w:val="18"/>
          <w:color w:val="auto"/>
        </w:rPr>
        <w:t>Officer’s Compliance Certificate have been delivered pursuant to Sections 8.1(a) or (b) and 8.2(a) plus (2) an amount which, after giving</w:t>
      </w:r>
    </w:p>
    <w:p>
      <w:pPr>
        <w:spacing w:after="0" w:line="1" w:lineRule="exact"/>
        <w:rPr>
          <w:sz w:val="20"/>
          <w:szCs w:val="20"/>
          <w:color w:val="auto"/>
        </w:rPr>
      </w:pPr>
    </w:p>
    <w:p>
      <w:pPr>
        <w:ind w:left="58"/>
        <w:spacing w:after="0" w:line="226" w:lineRule="auto"/>
        <w:rPr>
          <w:sz w:val="20"/>
          <w:szCs w:val="20"/>
          <w:color w:val="auto"/>
        </w:rPr>
      </w:pPr>
      <w:r>
        <w:rPr>
          <w:rFonts w:ascii="Arial" w:cs="Arial" w:eastAsia="Arial" w:hAnsi="Arial"/>
          <w:sz w:val="18"/>
          <w:szCs w:val="18"/>
          <w:color w:val="auto"/>
        </w:rPr>
        <w:t>pro forma effect to such Incremental Increase and/or Incremental Equivalent Indebtedness (assuming that the entire Incremental Increase and/or Incremental Equivalent Indebtedness is funded on the effective date thereof and after giving effect to the use of proceeds thereof</w:t>
      </w:r>
    </w:p>
    <w:p>
      <w:pPr>
        <w:ind w:left="58"/>
        <w:spacing w:after="0" w:line="236" w:lineRule="auto"/>
        <w:rPr>
          <w:sz w:val="20"/>
          <w:szCs w:val="20"/>
          <w:color w:val="auto"/>
        </w:rPr>
      </w:pPr>
      <w:r>
        <w:rPr>
          <w:rFonts w:ascii="Arial" w:cs="Arial" w:eastAsia="Arial" w:hAnsi="Arial"/>
          <w:sz w:val="18"/>
          <w:szCs w:val="18"/>
          <w:color w:val="auto"/>
        </w:rPr>
        <w:t>and any permanent repayment of Indebtedness in connection therewith) pursuant to this clause (2), would not cause the Consolidated Net</w:t>
      </w:r>
    </w:p>
    <w:p>
      <w:pPr>
        <w:spacing w:after="0" w:line="1" w:lineRule="exact"/>
        <w:rPr>
          <w:sz w:val="20"/>
          <w:szCs w:val="20"/>
          <w:color w:val="auto"/>
        </w:rPr>
      </w:pPr>
    </w:p>
    <w:p>
      <w:pPr>
        <w:ind w:left="58" w:right="20"/>
        <w:spacing w:after="0" w:line="226" w:lineRule="auto"/>
        <w:rPr>
          <w:sz w:val="20"/>
          <w:szCs w:val="20"/>
          <w:color w:val="auto"/>
        </w:rPr>
      </w:pPr>
      <w:r>
        <w:rPr>
          <w:rFonts w:ascii="Arial" w:cs="Arial" w:eastAsia="Arial" w:hAnsi="Arial"/>
          <w:sz w:val="18"/>
          <w:szCs w:val="18"/>
          <w:color w:val="auto"/>
        </w:rPr>
        <w:t>Leverage Ratio, as of the most recently ended four consecutive fiscal quarter period for which financial statements and the related Officer’s Compliance Certificate have been delivered pursuant to Sections 8.1(a) or (b) and 8.2(a) (or in the case of any Incremental Term</w:t>
      </w:r>
    </w:p>
    <w:p>
      <w:pPr>
        <w:spacing w:after="0" w:line="2" w:lineRule="exact"/>
        <w:rPr>
          <w:sz w:val="20"/>
          <w:szCs w:val="20"/>
          <w:color w:val="auto"/>
        </w:rPr>
      </w:pPr>
    </w:p>
    <w:p>
      <w:pPr>
        <w:ind w:left="58" w:right="280"/>
        <w:spacing w:after="0" w:line="237" w:lineRule="auto"/>
        <w:rPr>
          <w:sz w:val="20"/>
          <w:szCs w:val="20"/>
          <w:color w:val="auto"/>
        </w:rPr>
      </w:pPr>
      <w:r>
        <w:rPr>
          <w:rFonts w:ascii="Arial" w:cs="Arial" w:eastAsia="Arial" w:hAnsi="Arial"/>
          <w:sz w:val="19"/>
          <w:szCs w:val="19"/>
          <w:color w:val="auto"/>
        </w:rPr>
        <w:t>Loan, the proceeds of which will finance a substantially concurrent Limited Condition Acquisition, as of the LCA Test Date), to exceed 4.00 to 1.00 (in each case, as demonstrated by Centuri in a written certification to the Administrative Agent),</w:t>
      </w:r>
    </w:p>
    <w:p>
      <w:pPr>
        <w:jc w:val="both"/>
        <w:ind w:left="58" w:hanging="4"/>
        <w:spacing w:after="0" w:line="221" w:lineRule="auto"/>
        <w:tabs>
          <w:tab w:leader="none" w:pos="384"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any such request for an increase shall be in a minimum amount of $5,000,000 (or C$5,000,000) for any Incremental Term Loan and $5,000,000 for any Incremental Revolving Credit Facility Increase or, if less, the remaining amount permitted pursuant to the foregoing clause (A) and (C) no Lender will be required or otherwise obligated to provide any portion of such Incremental Increase. Incremental Term Loans may be made to the US Borrowers in Dollars or to the Canadian Borrowers in Canadian Dollars. Unless the applicable Borrower otherwise notifies the Administrative Agent, if all or any portion of any Incremental Increases or Incremental Equivalent Indebtedness would be permitted under clause (A)(2) above on the applicable date of incurrence, such Incremental Increases or Incremental Equivalent Indebtedness (or the relevant portion thereof) shall be deemed to have been incurred in reliance on clause (A)(2) above prior to the utilization of any amount available under clause (A)(1) above.</w:t>
      </w:r>
    </w:p>
    <w:p>
      <w:pPr>
        <w:spacing w:after="0" w:line="196" w:lineRule="exact"/>
        <w:rPr>
          <w:rFonts w:ascii="Arial" w:cs="Arial" w:eastAsia="Arial" w:hAnsi="Arial"/>
          <w:sz w:val="19"/>
          <w:szCs w:val="19"/>
          <w:color w:val="auto"/>
        </w:rPr>
      </w:pPr>
    </w:p>
    <w:p>
      <w:pPr>
        <w:jc w:val="both"/>
        <w:ind w:left="58" w:firstLine="644"/>
        <w:spacing w:after="0" w:line="235" w:lineRule="auto"/>
        <w:tabs>
          <w:tab w:leader="none" w:pos="1235"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Incremental Lenders. Each notice from the applicable Borrower pursuant to this Section shall set forth the requested amount, currency and proposed terms of the relevant Incremental Increase. Incremental Increases may be provided by any existing Lender or by any other Persons (an “Incremental Lender”); provided that the Administrative Agent, each Issuing Lender and/or each Swingline Lender, as applicable, shall have consented (not to be unreasonably withheld, conditioned or delayed) to such Incremental Lender’s providing such Incremental Increases to the extent any such consent would be required under Section 12.9(b)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200" w:lineRule="exact"/>
        <w:rPr>
          <w:rFonts w:ascii="Arial" w:cs="Arial" w:eastAsia="Arial" w:hAnsi="Arial"/>
          <w:sz w:val="18"/>
          <w:szCs w:val="18"/>
          <w:color w:val="auto"/>
        </w:rPr>
      </w:pPr>
    </w:p>
    <w:p>
      <w:pPr>
        <w:jc w:val="both"/>
        <w:ind w:left="58" w:firstLine="644"/>
        <w:spacing w:after="0" w:line="231" w:lineRule="auto"/>
        <w:tabs>
          <w:tab w:leader="none" w:pos="1234" w:val="left"/>
        </w:tabs>
        <w:numPr>
          <w:ilvl w:val="1"/>
          <w:numId w:val="271"/>
        </w:numPr>
        <w:rPr>
          <w:rFonts w:ascii="Arial" w:cs="Arial" w:eastAsia="Arial" w:hAnsi="Arial"/>
          <w:sz w:val="19"/>
          <w:szCs w:val="19"/>
          <w:color w:val="auto"/>
        </w:rPr>
      </w:pPr>
      <w:r>
        <w:rPr>
          <w:rFonts w:ascii="Arial" w:cs="Arial" w:eastAsia="Arial" w:hAnsi="Arial"/>
          <w:sz w:val="19"/>
          <w:szCs w:val="19"/>
          <w:color w:val="auto"/>
        </w:rPr>
        <w:t>Increase Effective Date and Allocations. The Administrative Agent and the applicable Borrower shall determine the effective date (the “Increase Effective Date”) and the final allocation of such Incremental Increase (limited in the case of the Incremental Lenders to their own respective allocations thereof). The Administrative Agent shall promptly notify the applicable Borrower and the Incremental Lenders of the final allocation of such Incremental Increases and the Increase Effective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7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7" w:name="page178"/>
    <w:bookmarkEnd w:id="177"/>
    <w:p>
      <w:pPr>
        <w:ind w:left="38" w:right="20" w:firstLine="646"/>
        <w:spacing w:after="0" w:line="257" w:lineRule="auto"/>
        <w:tabs>
          <w:tab w:leader="none" w:pos="1241"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Terms of Incremental Increases. The terms of each Incremental Increase (which shall be set forth in the relevant Incremental Amendment) shall be determined by the applicable Borrowers and the applicable Incremental Lenders; provided that:</w:t>
      </w:r>
    </w:p>
    <w:p>
      <w:pPr>
        <w:spacing w:after="0" w:line="234" w:lineRule="exact"/>
        <w:rPr>
          <w:rFonts w:ascii="Arial" w:cs="Arial" w:eastAsia="Arial" w:hAnsi="Arial"/>
          <w:sz w:val="19"/>
          <w:szCs w:val="19"/>
          <w:color w:val="auto"/>
        </w:rPr>
      </w:pPr>
    </w:p>
    <w:p>
      <w:pPr>
        <w:ind w:left="1878" w:hanging="546"/>
        <w:spacing w:after="0"/>
        <w:tabs>
          <w:tab w:leader="none" w:pos="1878" w:val="left"/>
        </w:tabs>
        <w:numPr>
          <w:ilvl w:val="1"/>
          <w:numId w:val="273"/>
        </w:numPr>
        <w:rPr>
          <w:rFonts w:ascii="Arial" w:cs="Arial" w:eastAsia="Arial" w:hAnsi="Arial"/>
          <w:sz w:val="19"/>
          <w:szCs w:val="19"/>
          <w:color w:val="auto"/>
        </w:rPr>
      </w:pPr>
      <w:r>
        <w:rPr>
          <w:rFonts w:ascii="Arial" w:cs="Arial" w:eastAsia="Arial" w:hAnsi="Arial"/>
          <w:sz w:val="19"/>
          <w:szCs w:val="19"/>
          <w:color w:val="auto"/>
        </w:rPr>
        <w:t>in the case of each Incremental Term Loan (the terms of which shall be set forth in the relevant Incremental</w:t>
      </w:r>
    </w:p>
    <w:p>
      <w:pPr>
        <w:ind w:left="678"/>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213" w:lineRule="exact"/>
        <w:rPr>
          <w:rFonts w:ascii="Arial" w:cs="Arial" w:eastAsia="Arial" w:hAnsi="Arial"/>
          <w:sz w:val="19"/>
          <w:szCs w:val="19"/>
          <w:color w:val="auto"/>
        </w:rPr>
      </w:pPr>
    </w:p>
    <w:p>
      <w:pPr>
        <w:jc w:val="both"/>
        <w:ind w:left="1338" w:firstLine="537"/>
        <w:spacing w:after="0" w:line="235" w:lineRule="auto"/>
        <w:tabs>
          <w:tab w:leader="none" w:pos="254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the maturity of any such Incremental Term Loan shall not be earlier than the then the latest scheduled maturity date of the Loans and Commitments in effect as of the Increase Effective Date and the Weighted Average Life to Maturity of any such Incremental Term Loan shall not be shorter than the remaining Weighted Average Life to Maturity of</w:t>
      </w:r>
    </w:p>
    <w:p>
      <w:pPr>
        <w:ind w:left="1338"/>
        <w:spacing w:after="0" w:line="199" w:lineRule="auto"/>
        <w:rPr>
          <w:sz w:val="20"/>
          <w:szCs w:val="20"/>
          <w:color w:val="auto"/>
        </w:rPr>
      </w:pPr>
      <w:r>
        <w:rPr>
          <w:rFonts w:ascii="Arial" w:cs="Arial" w:eastAsia="Arial" w:hAnsi="Arial"/>
          <w:sz w:val="20"/>
          <w:szCs w:val="20"/>
          <w:color w:val="auto"/>
        </w:rPr>
        <w:t>such latest maturing Term Loans; provided that the restrictions of this clause</w:t>
      </w:r>
    </w:p>
    <w:p>
      <w:pPr>
        <w:jc w:val="both"/>
        <w:ind w:left="1338" w:right="20" w:hanging="6"/>
        <w:spacing w:after="0" w:line="215" w:lineRule="auto"/>
        <w:tabs>
          <w:tab w:leader="none" w:pos="1894" w:val="left"/>
        </w:tabs>
        <w:numPr>
          <w:ilvl w:val="0"/>
          <w:numId w:val="274"/>
        </w:numPr>
        <w:rPr>
          <w:rFonts w:ascii="Arial" w:cs="Arial" w:eastAsia="Arial" w:hAnsi="Arial"/>
          <w:sz w:val="20"/>
          <w:szCs w:val="20"/>
          <w:color w:val="auto"/>
        </w:rPr>
      </w:pPr>
      <w:r>
        <w:rPr>
          <w:rFonts w:ascii="Arial" w:cs="Arial" w:eastAsia="Arial" w:hAnsi="Arial"/>
          <w:sz w:val="20"/>
          <w:szCs w:val="20"/>
          <w:color w:val="auto"/>
        </w:rPr>
        <w:t>shall not apply to the extent such Incremental Term Loan constitutes a customary bridge or similar facility that is to be automatically converted or exchanged into notes or other permitted Indebtedness that otherwise would satisfy this clause (A) so long as such conversion or exchange is subject only to conditions customary for similar conversions and exchanges and the applicable Borrower irrevocably agrees at the time of incurrence thereof to take all actions necessary to convert or exchange such Incremental Term Loan);</w:t>
      </w:r>
    </w:p>
    <w:p>
      <w:pPr>
        <w:spacing w:after="0" w:line="195" w:lineRule="exact"/>
        <w:rPr>
          <w:rFonts w:ascii="Arial" w:cs="Arial" w:eastAsia="Arial" w:hAnsi="Arial"/>
          <w:sz w:val="20"/>
          <w:szCs w:val="20"/>
          <w:color w:val="auto"/>
        </w:rPr>
      </w:pPr>
    </w:p>
    <w:p>
      <w:pPr>
        <w:jc w:val="both"/>
        <w:ind w:left="1338" w:firstLine="642"/>
        <w:spacing w:after="0" w:line="225" w:lineRule="auto"/>
        <w:tabs>
          <w:tab w:leader="none" w:pos="2541" w:val="left"/>
        </w:tabs>
        <w:numPr>
          <w:ilvl w:val="1"/>
          <w:numId w:val="274"/>
        </w:numPr>
        <w:rPr>
          <w:rFonts w:ascii="Arial" w:cs="Arial" w:eastAsia="Arial" w:hAnsi="Arial"/>
          <w:sz w:val="19"/>
          <w:szCs w:val="19"/>
          <w:color w:val="auto"/>
        </w:rPr>
      </w:pPr>
      <w:r>
        <w:rPr>
          <w:rFonts w:ascii="Arial" w:cs="Arial" w:eastAsia="Arial" w:hAnsi="Arial"/>
          <w:sz w:val="19"/>
          <w:szCs w:val="19"/>
          <w:color w:val="auto"/>
        </w:rPr>
        <w:t>the All-In Yield and pricing grid, if applicable, for such Incremental Term Loan shall be determined by the applicable Incremental Lenders and the applicable Borrower on the applicable Increase Effective Date; provided that if the All-In Yield in respect of any Incremental Term Loan incurred on or prior to the date that is six (6) months after the Closing Date exceeds the All-In Yield for the Initial Term Loan (as reasonably determined by the Administrative Agent) by more than 0.50%, then the Applicable Margin for the Initial Term Loan shall be increased so that the All-In Yield in respect of such Initial Term Loan is equal to the All-In Yield for such Incremental Term Loan minus 0.50% (determined at each level of each applicable pricing grid);</w:t>
      </w:r>
    </w:p>
    <w:p>
      <w:pPr>
        <w:spacing w:after="0" w:line="199" w:lineRule="exact"/>
        <w:rPr>
          <w:rFonts w:ascii="Arial" w:cs="Arial" w:eastAsia="Arial" w:hAnsi="Arial"/>
          <w:sz w:val="19"/>
          <w:szCs w:val="19"/>
          <w:color w:val="auto"/>
        </w:rPr>
      </w:pPr>
    </w:p>
    <w:p>
      <w:pPr>
        <w:jc w:val="both"/>
        <w:ind w:left="1338" w:firstLine="642"/>
        <w:spacing w:after="0" w:line="231" w:lineRule="auto"/>
        <w:tabs>
          <w:tab w:leader="none" w:pos="2541" w:val="left"/>
        </w:tabs>
        <w:numPr>
          <w:ilvl w:val="1"/>
          <w:numId w:val="274"/>
        </w:numPr>
        <w:rPr>
          <w:rFonts w:ascii="Arial" w:cs="Arial" w:eastAsia="Arial" w:hAnsi="Arial"/>
          <w:sz w:val="19"/>
          <w:szCs w:val="19"/>
          <w:color w:val="auto"/>
        </w:rPr>
      </w:pPr>
      <w:r>
        <w:rPr>
          <w:rFonts w:ascii="Arial" w:cs="Arial" w:eastAsia="Arial" w:hAnsi="Arial"/>
          <w:sz w:val="19"/>
          <w:szCs w:val="19"/>
          <w:color w:val="auto"/>
        </w:rPr>
        <w:t>any mandatory prepayment (other than scheduled amortization payments) of each Incremental Term Loan shall be made on a pro rata basis with all then existing Term Loans, except that the applicable Borrower and the Incremental Lenders in respect of such Incremental Term Loan may, in their sole discretion, elect to prepay or receive, as applicable, any prepayments on a less than pro rata basis (but not on a greater than pro rata basis); and</w:t>
      </w:r>
    </w:p>
    <w:p>
      <w:pPr>
        <w:spacing w:after="0" w:line="211" w:lineRule="exact"/>
        <w:rPr>
          <w:rFonts w:ascii="Arial" w:cs="Arial" w:eastAsia="Arial" w:hAnsi="Arial"/>
          <w:sz w:val="19"/>
          <w:szCs w:val="19"/>
          <w:color w:val="auto"/>
        </w:rPr>
      </w:pPr>
    </w:p>
    <w:p>
      <w:pPr>
        <w:jc w:val="both"/>
        <w:ind w:left="1338" w:firstLine="642"/>
        <w:spacing w:after="0" w:line="215" w:lineRule="auto"/>
        <w:tabs>
          <w:tab w:leader="none" w:pos="2542" w:val="left"/>
        </w:tabs>
        <w:numPr>
          <w:ilvl w:val="1"/>
          <w:numId w:val="274"/>
        </w:numPr>
        <w:rPr>
          <w:rFonts w:ascii="Arial" w:cs="Arial" w:eastAsia="Arial" w:hAnsi="Arial"/>
          <w:sz w:val="20"/>
          <w:szCs w:val="20"/>
          <w:color w:val="auto"/>
        </w:rPr>
      </w:pPr>
      <w:r>
        <w:rPr>
          <w:rFonts w:ascii="Arial" w:cs="Arial" w:eastAsia="Arial" w:hAnsi="Arial"/>
          <w:sz w:val="20"/>
          <w:szCs w:val="20"/>
          <w:color w:val="auto"/>
        </w:rPr>
        <w:t>except as provided above, all other terms and conditions applicable to any Incremental Term Loan shall be consistent with the terms and conditions of the Initial Term Loan or otherwise reasonably satisfactory to the Administrative Agent and the applicable Borrower (provided that such other terms and conditions, taken as a whole, shall not be more favorable to the Lenders under any Incremental Term Loans than such other terms and conditions, taken as a whole, under the Initial Term Loans);</w:t>
      </w:r>
    </w:p>
    <w:p>
      <w:pPr>
        <w:spacing w:after="0" w:line="212" w:lineRule="exact"/>
        <w:rPr>
          <w:sz w:val="20"/>
          <w:szCs w:val="20"/>
          <w:color w:val="auto"/>
        </w:rPr>
      </w:pPr>
    </w:p>
    <w:p>
      <w:pPr>
        <w:ind w:left="678" w:right="500" w:firstLine="654"/>
        <w:spacing w:after="0" w:line="229" w:lineRule="auto"/>
        <w:tabs>
          <w:tab w:leader="none" w:pos="188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in the case of each Incremental Revolving Credit Facility Increase (the terms of which shall be set forth in the relevant Incremental Amendment):</w:t>
      </w:r>
    </w:p>
    <w:p>
      <w:pPr>
        <w:spacing w:after="0" w:line="209" w:lineRule="exact"/>
        <w:rPr>
          <w:rFonts w:ascii="Arial" w:cs="Arial" w:eastAsia="Arial" w:hAnsi="Arial"/>
          <w:sz w:val="20"/>
          <w:szCs w:val="20"/>
          <w:color w:val="auto"/>
        </w:rPr>
      </w:pPr>
    </w:p>
    <w:p>
      <w:pPr>
        <w:ind w:left="1338" w:firstLine="537"/>
        <w:spacing w:after="0" w:line="269" w:lineRule="auto"/>
        <w:tabs>
          <w:tab w:leader="none" w:pos="254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Revolving Credit Loans made with respect to the Incremental Revolving Credit Facility Increase shall mature on the Revolving Credit Maturity Date and shall bear interest at the rate applicable to the Revolving Credit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76"/>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78" w:name="page179"/>
    <w:bookmarkEnd w:id="178"/>
    <w:p>
      <w:pPr>
        <w:spacing w:after="0" w:line="209" w:lineRule="exact"/>
        <w:rPr>
          <w:sz w:val="20"/>
          <w:szCs w:val="20"/>
          <w:color w:val="auto"/>
        </w:rPr>
      </w:pPr>
    </w:p>
    <w:p>
      <w:pPr>
        <w:jc w:val="both"/>
        <w:ind w:left="1338" w:right="20" w:firstLine="483"/>
        <w:spacing w:after="0" w:line="238" w:lineRule="auto"/>
        <w:tabs>
          <w:tab w:leader="none" w:pos="2541"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applicable Borrower shall pay any and all costs required pursuant to Section 5.9 in connection with such reallocation as if such reallocation were a repayment); and</w:t>
      </w:r>
    </w:p>
    <w:p>
      <w:pPr>
        <w:spacing w:after="0" w:line="196" w:lineRule="exact"/>
        <w:rPr>
          <w:rFonts w:ascii="Arial" w:cs="Arial" w:eastAsia="Arial" w:hAnsi="Arial"/>
          <w:sz w:val="18"/>
          <w:szCs w:val="18"/>
          <w:color w:val="auto"/>
        </w:rPr>
      </w:pPr>
    </w:p>
    <w:p>
      <w:pPr>
        <w:jc w:val="both"/>
        <w:ind w:left="1338" w:firstLine="428"/>
        <w:spacing w:after="0" w:line="220" w:lineRule="auto"/>
        <w:tabs>
          <w:tab w:leader="none" w:pos="2540" w:val="left"/>
        </w:tabs>
        <w:numPr>
          <w:ilvl w:val="2"/>
          <w:numId w:val="277"/>
        </w:numPr>
        <w:rPr>
          <w:rFonts w:ascii="Arial" w:cs="Arial" w:eastAsia="Arial" w:hAnsi="Arial"/>
          <w:sz w:val="20"/>
          <w:szCs w:val="20"/>
          <w:color w:val="auto"/>
        </w:rPr>
      </w:pPr>
      <w:r>
        <w:rPr>
          <w:rFonts w:ascii="Arial" w:cs="Arial" w:eastAsia="Arial" w:hAnsi="Arial"/>
          <w:sz w:val="20"/>
          <w:szCs w:val="20"/>
          <w:color w:val="auto"/>
        </w:rPr>
        <w:t>except as provided above, all of the other terms and conditions applicable to such Incremental Revolving Credit Facility Increase shall, except to the extent otherwise provided in this Section 5.13, be identical to the terms and conditions applicable to the Revolving Credit Facility, including the Applicable Margin and unused fees (but may have different upfront fees);</w:t>
      </w:r>
    </w:p>
    <w:p>
      <w:pPr>
        <w:spacing w:after="0" w:line="209" w:lineRule="exact"/>
        <w:rPr>
          <w:rFonts w:ascii="Arial" w:cs="Arial" w:eastAsia="Arial" w:hAnsi="Arial"/>
          <w:sz w:val="20"/>
          <w:szCs w:val="20"/>
          <w:color w:val="auto"/>
        </w:rPr>
      </w:pPr>
    </w:p>
    <w:p>
      <w:pPr>
        <w:jc w:val="both"/>
        <w:ind w:left="678" w:firstLine="654"/>
        <w:spacing w:after="0" w:line="223" w:lineRule="auto"/>
        <w:tabs>
          <w:tab w:leader="none" w:pos="1882" w:val="left"/>
        </w:tabs>
        <w:numPr>
          <w:ilvl w:val="1"/>
          <w:numId w:val="278"/>
        </w:numPr>
        <w:rPr>
          <w:rFonts w:ascii="Arial" w:cs="Arial" w:eastAsia="Arial" w:hAnsi="Arial"/>
          <w:sz w:val="20"/>
          <w:szCs w:val="20"/>
          <w:color w:val="auto"/>
        </w:rPr>
      </w:pPr>
      <w:r>
        <w:rPr>
          <w:rFonts w:ascii="Arial" w:cs="Arial" w:eastAsia="Arial" w:hAnsi="Arial"/>
          <w:sz w:val="20"/>
          <w:szCs w:val="20"/>
          <w:color w:val="auto"/>
        </w:rPr>
        <w:t>each Incremental Increase shall constitute US Obligations of the US Borrowers or Canadian Obligations of the Canadian Borrowers, as applicable, and shall be secured and guaranteed with the other Extensions of Credit on a pari passu basis; and</w:t>
      </w:r>
    </w:p>
    <w:p>
      <w:pPr>
        <w:spacing w:after="0" w:line="195" w:lineRule="exact"/>
        <w:rPr>
          <w:rFonts w:ascii="Arial" w:cs="Arial" w:eastAsia="Arial" w:hAnsi="Arial"/>
          <w:sz w:val="20"/>
          <w:szCs w:val="20"/>
          <w:color w:val="auto"/>
        </w:rPr>
      </w:pPr>
    </w:p>
    <w:p>
      <w:pPr>
        <w:jc w:val="both"/>
        <w:ind w:left="678" w:right="20" w:firstLine="654"/>
        <w:spacing w:after="0" w:line="220" w:lineRule="auto"/>
        <w:tabs>
          <w:tab w:leader="none" w:pos="1880" w:val="left"/>
        </w:tabs>
        <w:numPr>
          <w:ilvl w:val="1"/>
          <w:numId w:val="278"/>
        </w:numPr>
        <w:rPr>
          <w:rFonts w:ascii="Arial" w:cs="Arial" w:eastAsia="Arial" w:hAnsi="Arial"/>
          <w:sz w:val="20"/>
          <w:szCs w:val="20"/>
          <w:color w:val="auto"/>
        </w:rPr>
      </w:pPr>
      <w:r>
        <w:rPr>
          <w:rFonts w:ascii="Arial" w:cs="Arial" w:eastAsia="Arial" w:hAnsi="Arial"/>
          <w:sz w:val="20"/>
          <w:szCs w:val="20"/>
          <w:color w:val="auto"/>
        </w:rPr>
        <w:t>any Incremental Lender with an Incremental Revolving Credit Facility Increase shall be entitled to the same voting rights as the existing Revolving Credit Lenders under the Revolving Credit Facility and any Extensions of Credit made in connection with each Incremental Revolving Credit Facility Increase shall receive proceeds of prepayments on the same basis as the other Revolving Credit Loans made hereunder.</w:t>
      </w:r>
    </w:p>
    <w:p>
      <w:pPr>
        <w:spacing w:after="0" w:line="209" w:lineRule="exact"/>
        <w:rPr>
          <w:rFonts w:ascii="Arial" w:cs="Arial" w:eastAsia="Arial" w:hAnsi="Arial"/>
          <w:sz w:val="20"/>
          <w:szCs w:val="20"/>
          <w:color w:val="auto"/>
        </w:rPr>
      </w:pPr>
    </w:p>
    <w:p>
      <w:pPr>
        <w:jc w:val="both"/>
        <w:ind w:left="38" w:firstLine="646"/>
        <w:spacing w:after="0" w:line="235" w:lineRule="auto"/>
        <w:tabs>
          <w:tab w:leader="none" w:pos="1241" w:val="left"/>
        </w:tabs>
        <w:numPr>
          <w:ilvl w:val="0"/>
          <w:numId w:val="279"/>
        </w:numPr>
        <w:rPr>
          <w:rFonts w:ascii="Arial" w:cs="Arial" w:eastAsia="Arial" w:hAnsi="Arial"/>
          <w:sz w:val="19"/>
          <w:szCs w:val="19"/>
          <w:color w:val="auto"/>
        </w:rPr>
      </w:pPr>
      <w:r>
        <w:rPr>
          <w:rFonts w:ascii="Arial" w:cs="Arial" w:eastAsia="Arial" w:hAnsi="Arial"/>
          <w:sz w:val="19"/>
          <w:szCs w:val="19"/>
          <w:color w:val="auto"/>
        </w:rPr>
        <w:t>Conditions to Effectiveness of Incremental Increases.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Section 1.12:</w:t>
      </w:r>
    </w:p>
    <w:p>
      <w:pPr>
        <w:spacing w:after="0" w:line="262" w:lineRule="exact"/>
        <w:rPr>
          <w:rFonts w:ascii="Arial" w:cs="Arial" w:eastAsia="Arial" w:hAnsi="Arial"/>
          <w:sz w:val="19"/>
          <w:szCs w:val="19"/>
          <w:color w:val="auto"/>
        </w:rPr>
      </w:pPr>
    </w:p>
    <w:p>
      <w:pPr>
        <w:ind w:left="678" w:right="20" w:firstLine="654"/>
        <w:spacing w:after="0" w:line="229" w:lineRule="auto"/>
        <w:tabs>
          <w:tab w:leader="none" w:pos="1882" w:val="left"/>
        </w:tabs>
        <w:numPr>
          <w:ilvl w:val="1"/>
          <w:numId w:val="279"/>
        </w:numPr>
        <w:rPr>
          <w:rFonts w:ascii="Arial" w:cs="Arial" w:eastAsia="Arial" w:hAnsi="Arial"/>
          <w:sz w:val="20"/>
          <w:szCs w:val="20"/>
          <w:color w:val="auto"/>
        </w:rPr>
      </w:pPr>
      <w:r>
        <w:rPr>
          <w:rFonts w:ascii="Arial" w:cs="Arial" w:eastAsia="Arial" w:hAnsi="Arial"/>
          <w:sz w:val="20"/>
          <w:szCs w:val="20"/>
          <w:color w:val="auto"/>
        </w:rPr>
        <w:t>no Default or Event of Default shall exist on such Increase Effective Date immediately prior to or after giving effect to (A) such Incremental Increase or (B) the making of any Extensions of Credit pursuant thereto;</w:t>
      </w:r>
    </w:p>
    <w:p>
      <w:pPr>
        <w:spacing w:after="0" w:line="209" w:lineRule="exact"/>
        <w:rPr>
          <w:rFonts w:ascii="Arial" w:cs="Arial" w:eastAsia="Arial" w:hAnsi="Arial"/>
          <w:sz w:val="20"/>
          <w:szCs w:val="20"/>
          <w:color w:val="auto"/>
        </w:rPr>
      </w:pPr>
    </w:p>
    <w:p>
      <w:pPr>
        <w:jc w:val="both"/>
        <w:ind w:left="678" w:firstLine="654"/>
        <w:spacing w:after="0" w:line="223" w:lineRule="auto"/>
        <w:tabs>
          <w:tab w:leader="none" w:pos="1880" w:val="left"/>
        </w:tabs>
        <w:numPr>
          <w:ilvl w:val="1"/>
          <w:numId w:val="279"/>
        </w:numPr>
        <w:rPr>
          <w:rFonts w:ascii="Arial" w:cs="Arial" w:eastAsia="Arial" w:hAnsi="Arial"/>
          <w:sz w:val="20"/>
          <w:szCs w:val="20"/>
          <w:color w:val="auto"/>
        </w:rPr>
      </w:pPr>
      <w:r>
        <w:rPr>
          <w:rFonts w:ascii="Arial" w:cs="Arial" w:eastAsia="Arial" w:hAnsi="Arial"/>
          <w:sz w:val="20"/>
          <w:szCs w:val="20"/>
          <w:color w:val="auto"/>
        </w:rPr>
        <w:t>all of the representations and warranties set forth in Article VII shall be true and correct in all material respects (or if qualified by materiality or Material Adverse Effect, in all respects) as of such Increase Effective Date, or if such representation speaks as of an earlier date, as of such earlier date;</w:t>
      </w:r>
    </w:p>
    <w:p>
      <w:pPr>
        <w:spacing w:after="0" w:line="195" w:lineRule="exact"/>
        <w:rPr>
          <w:rFonts w:ascii="Arial" w:cs="Arial" w:eastAsia="Arial" w:hAnsi="Arial"/>
          <w:sz w:val="20"/>
          <w:szCs w:val="20"/>
          <w:color w:val="auto"/>
        </w:rPr>
      </w:pPr>
    </w:p>
    <w:p>
      <w:pPr>
        <w:jc w:val="both"/>
        <w:ind w:left="678" w:firstLine="654"/>
        <w:spacing w:after="0" w:line="217" w:lineRule="auto"/>
        <w:tabs>
          <w:tab w:leader="none" w:pos="1882" w:val="left"/>
        </w:tabs>
        <w:numPr>
          <w:ilvl w:val="1"/>
          <w:numId w:val="279"/>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Centuri, an Officer’s Compliance Certificate demonstrating that the Consolidated Companies are in pro forma compliance with the financial covenants set forth in Section 9.13 (based on the financial statements most recently delivered pursuant to Section 8.1) after giving effect to such Incremental Increase (assuming that the entire applicable Incremental Term Loan and/or Incremental Revolving Credit Facility Increase is fully funded on the effective date thereof) and any Permitted Acquisition, refinancing of Indebtedness or other event consummated in connection therewith giving rise to a Pro Forma Basis adjustment;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80"/>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9" w:name="page180"/>
    <w:bookmarkEnd w:id="179"/>
    <w:p>
      <w:pPr>
        <w:ind w:left="698" w:right="20" w:firstLine="652"/>
        <w:spacing w:after="0" w:line="236" w:lineRule="auto"/>
        <w:tabs>
          <w:tab w:leader="none" w:pos="1886" w:val="left"/>
        </w:tabs>
        <w:numPr>
          <w:ilvl w:val="1"/>
          <w:numId w:val="281"/>
        </w:numPr>
        <w:rPr>
          <w:rFonts w:ascii="Arial" w:cs="Arial" w:eastAsia="Arial" w:hAnsi="Arial"/>
          <w:sz w:val="20"/>
          <w:szCs w:val="20"/>
          <w:color w:val="auto"/>
        </w:rPr>
      </w:pPr>
      <w:r>
        <w:rPr>
          <w:rFonts w:ascii="Arial" w:cs="Arial" w:eastAsia="Arial" w:hAnsi="Arial"/>
          <w:sz w:val="20"/>
          <w:szCs w:val="20"/>
          <w:color w:val="auto"/>
        </w:rPr>
        <w:t>the Credit Parties shall have executed an Incremental Amendment in form and substance reasonably acceptable to the applicable Borrower and the applicable Incremental Lenders; and</w:t>
      </w:r>
    </w:p>
    <w:p>
      <w:pPr>
        <w:spacing w:after="0" w:line="195" w:lineRule="exact"/>
        <w:rPr>
          <w:rFonts w:ascii="Arial" w:cs="Arial" w:eastAsia="Arial" w:hAnsi="Arial"/>
          <w:sz w:val="20"/>
          <w:szCs w:val="20"/>
          <w:color w:val="auto"/>
        </w:rPr>
      </w:pPr>
    </w:p>
    <w:p>
      <w:pPr>
        <w:jc w:val="both"/>
        <w:ind w:left="698" w:firstLine="652"/>
        <w:spacing w:after="0" w:line="220" w:lineRule="auto"/>
        <w:tabs>
          <w:tab w:leader="none" w:pos="1875" w:val="left"/>
        </w:tabs>
        <w:numPr>
          <w:ilvl w:val="1"/>
          <w:numId w:val="281"/>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applicable Borrower, any customary legal opinions or other documents (including a resolution duly adopted by the board of directors (or equivalent governing body) of each Credit Party authorizing such Incremental Increase), and other documents reasonably requested by Administrative Agent in connection with such Incremental Increase.</w:t>
      </w:r>
    </w:p>
    <w:p>
      <w:pPr>
        <w:spacing w:after="0" w:line="196" w:lineRule="exact"/>
        <w:rPr>
          <w:rFonts w:ascii="Arial" w:cs="Arial" w:eastAsia="Arial" w:hAnsi="Arial"/>
          <w:sz w:val="20"/>
          <w:szCs w:val="20"/>
          <w:color w:val="auto"/>
        </w:rPr>
      </w:pPr>
    </w:p>
    <w:p>
      <w:pPr>
        <w:jc w:val="both"/>
        <w:ind w:left="58" w:firstLine="644"/>
        <w:spacing w:after="0" w:line="218" w:lineRule="auto"/>
        <w:tabs>
          <w:tab w:leader="none" w:pos="1234" w:val="left"/>
        </w:tabs>
        <w:numPr>
          <w:ilvl w:val="0"/>
          <w:numId w:val="282"/>
        </w:numPr>
        <w:rPr>
          <w:rFonts w:ascii="Arial" w:cs="Arial" w:eastAsia="Arial" w:hAnsi="Arial"/>
          <w:sz w:val="20"/>
          <w:szCs w:val="20"/>
          <w:color w:val="auto"/>
        </w:rPr>
      </w:pPr>
      <w:r>
        <w:rPr>
          <w:rFonts w:ascii="Arial" w:cs="Arial" w:eastAsia="Arial" w:hAnsi="Arial"/>
          <w:sz w:val="20"/>
          <w:szCs w:val="20"/>
          <w:color w:val="auto"/>
        </w:rPr>
        <w:t>Incremental Amendments. Each such Incremental Increase shall be effected pursuant to an amendment (an “Incremental Amendment”)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Section 5.13;</w:t>
      </w:r>
    </w:p>
    <w:p>
      <w:pPr>
        <w:spacing w:after="0" w:line="265" w:lineRule="exact"/>
        <w:rPr>
          <w:rFonts w:ascii="Arial" w:cs="Arial" w:eastAsia="Arial" w:hAnsi="Arial"/>
          <w:sz w:val="20"/>
          <w:szCs w:val="20"/>
          <w:color w:val="auto"/>
        </w:rPr>
      </w:pPr>
    </w:p>
    <w:p>
      <w:pPr>
        <w:ind w:left="1238" w:hanging="536"/>
        <w:spacing w:after="0"/>
        <w:tabs>
          <w:tab w:leader="none" w:pos="1238" w:val="left"/>
        </w:tabs>
        <w:numPr>
          <w:ilvl w:val="0"/>
          <w:numId w:val="282"/>
        </w:numPr>
        <w:rPr>
          <w:rFonts w:ascii="Arial" w:cs="Arial" w:eastAsia="Arial" w:hAnsi="Arial"/>
          <w:sz w:val="20"/>
          <w:szCs w:val="20"/>
          <w:color w:val="auto"/>
        </w:rPr>
      </w:pPr>
      <w:r>
        <w:rPr>
          <w:rFonts w:ascii="Arial" w:cs="Arial" w:eastAsia="Arial" w:hAnsi="Arial"/>
          <w:sz w:val="20"/>
          <w:szCs w:val="20"/>
          <w:color w:val="auto"/>
        </w:rPr>
        <w:t>Conflicting Provisions. This Section shall supersede any provisions in Section 5.6 or 12.2 to the contrary.</w:t>
      </w:r>
    </w:p>
    <w:p>
      <w:pPr>
        <w:spacing w:after="0" w:line="216"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16"/>
          <w:szCs w:val="16"/>
          <w:color w:val="auto"/>
        </w:rPr>
        <w:t>Cash Collateral</w:t>
      </w:r>
    </w:p>
    <w:p>
      <w:pPr>
        <w:spacing w:after="0" w:line="283" w:lineRule="exact"/>
        <w:rPr>
          <w:sz w:val="20"/>
          <w:szCs w:val="20"/>
          <w:color w:val="auto"/>
        </w:rPr>
      </w:pPr>
    </w:p>
    <w:p>
      <w:pPr>
        <w:jc w:val="both"/>
        <w:ind w:left="58" w:hanging="4"/>
        <w:spacing w:after="0" w:line="218" w:lineRule="auto"/>
        <w:tabs>
          <w:tab w:leader="none" w:pos="183"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Section 5.15(a)(iv) and any Cash Collateral provided by such Defaulting Lender) in an amount not less than the Minimum Collateral Amount.</w:t>
      </w:r>
    </w:p>
    <w:p>
      <w:pPr>
        <w:spacing w:after="0" w:line="197" w:lineRule="exact"/>
        <w:rPr>
          <w:rFonts w:ascii="Arial" w:cs="Arial" w:eastAsia="Arial" w:hAnsi="Arial"/>
          <w:sz w:val="20"/>
          <w:szCs w:val="20"/>
          <w:color w:val="auto"/>
        </w:rPr>
      </w:pPr>
    </w:p>
    <w:p>
      <w:pPr>
        <w:jc w:val="both"/>
        <w:ind w:left="58" w:firstLine="644"/>
        <w:spacing w:after="0" w:line="223" w:lineRule="auto"/>
        <w:tabs>
          <w:tab w:leader="none" w:pos="1235" w:val="left"/>
        </w:tabs>
        <w:numPr>
          <w:ilvl w:val="1"/>
          <w:numId w:val="283"/>
        </w:numPr>
        <w:rPr>
          <w:rFonts w:ascii="Arial" w:cs="Arial" w:eastAsia="Arial" w:hAnsi="Arial"/>
          <w:sz w:val="19"/>
          <w:szCs w:val="19"/>
          <w:color w:val="auto"/>
        </w:rPr>
      </w:pPr>
      <w:r>
        <w:rPr>
          <w:rFonts w:ascii="Arial" w:cs="Arial" w:eastAsia="Arial" w:hAnsi="Arial"/>
          <w:sz w:val="19"/>
          <w:szCs w:val="19"/>
          <w:color w:val="auto"/>
        </w:rPr>
        <w:t>Grant of Security Interest.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 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7" w:lineRule="exact"/>
        <w:rPr>
          <w:rFonts w:ascii="Arial" w:cs="Arial" w:eastAsia="Arial" w:hAnsi="Arial"/>
          <w:sz w:val="19"/>
          <w:szCs w:val="19"/>
          <w:color w:val="auto"/>
        </w:rPr>
      </w:pPr>
    </w:p>
    <w:p>
      <w:pPr>
        <w:jc w:val="both"/>
        <w:ind w:left="58" w:firstLine="644"/>
        <w:spacing w:after="0" w:line="229" w:lineRule="auto"/>
        <w:tabs>
          <w:tab w:leader="none" w:pos="1234" w:val="left"/>
        </w:tabs>
        <w:numPr>
          <w:ilvl w:val="1"/>
          <w:numId w:val="283"/>
        </w:numPr>
        <w:rPr>
          <w:rFonts w:ascii="Arial" w:cs="Arial" w:eastAsia="Arial" w:hAnsi="Arial"/>
          <w:sz w:val="19"/>
          <w:szCs w:val="19"/>
          <w:color w:val="auto"/>
        </w:rPr>
      </w:pPr>
      <w:r>
        <w:rPr>
          <w:rFonts w:ascii="Arial" w:cs="Arial" w:eastAsia="Arial" w:hAnsi="Arial"/>
          <w:sz w:val="19"/>
          <w:szCs w:val="19"/>
          <w:color w:val="auto"/>
        </w:rPr>
        <w:t>Application. Notwithstanding anything to the contrary contained in this Agreement or any other Loan Document, Cash Collateral provided under this Section 5.14 or Section 5.15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99" w:lineRule="exact"/>
        <w:rPr>
          <w:rFonts w:ascii="Arial" w:cs="Arial" w:eastAsia="Arial" w:hAnsi="Arial"/>
          <w:sz w:val="19"/>
          <w:szCs w:val="19"/>
          <w:color w:val="auto"/>
        </w:rPr>
      </w:pPr>
    </w:p>
    <w:p>
      <w:pPr>
        <w:jc w:val="both"/>
        <w:ind w:left="58" w:firstLine="644"/>
        <w:spacing w:after="0" w:line="227" w:lineRule="auto"/>
        <w:tabs>
          <w:tab w:leader="none" w:pos="1234"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Termination of Requirement. Cash Collateral (or the appropriate portion thereof) provided to reduce the Fronting Exposure of any Issuing Lender and/or any Swingline Lender, as applicable, shall no longer be required to be held as Cash Collateral pursuant to this Section 5.14 following (i) the elimination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84"/>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80" w:name="page181"/>
    <w:bookmarkEnd w:id="180"/>
    <w:p>
      <w:pPr>
        <w:ind w:left="38"/>
        <w:spacing w:after="0"/>
        <w:rPr>
          <w:sz w:val="20"/>
          <w:szCs w:val="20"/>
          <w:color w:val="auto"/>
        </w:rPr>
      </w:pPr>
      <w:r>
        <w:rPr>
          <w:rFonts w:ascii="Arial" w:cs="Arial" w:eastAsia="Arial" w:hAnsi="Arial"/>
          <w:sz w:val="19"/>
          <w:szCs w:val="19"/>
          <w:color w:val="auto"/>
        </w:rPr>
        <w:t>of the applicable Fronting Exposure (including by the termination of Defaulting Lender status of the applicable Lender), or (ii) the</w:t>
      </w:r>
    </w:p>
    <w:p>
      <w:pPr>
        <w:ind w:left="38" w:right="20"/>
        <w:spacing w:after="0" w:line="255" w:lineRule="auto"/>
        <w:rPr>
          <w:sz w:val="20"/>
          <w:szCs w:val="20"/>
          <w:color w:val="auto"/>
        </w:rPr>
      </w:pPr>
      <w:r>
        <w:rPr>
          <w:rFonts w:ascii="Arial" w:cs="Arial" w:eastAsia="Arial" w:hAnsi="Arial"/>
          <w:sz w:val="16"/>
          <w:szCs w:val="16"/>
          <w:color w:val="auto"/>
        </w:rPr>
        <w:t>determination by the Administrative Agent, the Issuing Lenders and the Swingline Lenders that there exists excess Cash Collateral; provided that, subject to Section 5.15, the Person providing Cash Collateral, the Issuing Lenders and the Swingline Lenders may agree that</w:t>
      </w:r>
    </w:p>
    <w:p>
      <w:pPr>
        <w:spacing w:after="0" w:line="1" w:lineRule="exact"/>
        <w:rPr>
          <w:sz w:val="20"/>
          <w:szCs w:val="20"/>
          <w:color w:val="auto"/>
        </w:rPr>
      </w:pPr>
    </w:p>
    <w:p>
      <w:pPr>
        <w:ind w:left="38"/>
        <w:spacing w:after="0"/>
        <w:rPr>
          <w:sz w:val="20"/>
          <w:szCs w:val="20"/>
          <w:color w:val="auto"/>
        </w:rPr>
      </w:pPr>
      <w:r>
        <w:rPr>
          <w:rFonts w:ascii="Arial" w:cs="Arial" w:eastAsia="Arial" w:hAnsi="Arial"/>
          <w:sz w:val="20"/>
          <w:szCs w:val="20"/>
          <w:color w:val="auto"/>
        </w:rPr>
        <w:t>Cash Collateral shall be held to support future anticipated Fronting Exposure or other obligations.</w:t>
      </w:r>
    </w:p>
    <w:p>
      <w:pPr>
        <w:spacing w:after="0" w:line="200" w:lineRule="exact"/>
        <w:rPr>
          <w:sz w:val="20"/>
          <w:szCs w:val="20"/>
          <w:color w:val="auto"/>
        </w:rPr>
      </w:pPr>
    </w:p>
    <w:p>
      <w:pPr>
        <w:ind w:left="678"/>
        <w:spacing w:after="0"/>
        <w:tabs>
          <w:tab w:leader="none" w:pos="2098"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8"/>
          <w:szCs w:val="18"/>
          <w:color w:val="auto"/>
        </w:rPr>
        <w:t>Defaulting Lenders.</w:t>
      </w:r>
    </w:p>
    <w:p>
      <w:pPr>
        <w:spacing w:after="0" w:line="283" w:lineRule="exact"/>
        <w:rPr>
          <w:sz w:val="20"/>
          <w:szCs w:val="20"/>
          <w:color w:val="auto"/>
        </w:rPr>
      </w:pPr>
    </w:p>
    <w:p>
      <w:pPr>
        <w:jc w:val="both"/>
        <w:ind w:left="38" w:firstLine="646"/>
        <w:spacing w:after="0" w:line="227" w:lineRule="auto"/>
        <w:tabs>
          <w:tab w:leader="none" w:pos="1241" w:val="left"/>
        </w:tabs>
        <w:numPr>
          <w:ilvl w:val="0"/>
          <w:numId w:val="285"/>
        </w:numPr>
        <w:rPr>
          <w:rFonts w:ascii="Arial" w:cs="Arial" w:eastAsia="Arial" w:hAnsi="Arial"/>
          <w:sz w:val="20"/>
          <w:szCs w:val="20"/>
          <w:color w:val="auto"/>
        </w:rPr>
      </w:pPr>
      <w:r>
        <w:rPr>
          <w:rFonts w:ascii="Arial" w:cs="Arial" w:eastAsia="Arial" w:hAnsi="Arial"/>
          <w:sz w:val="20"/>
          <w:szCs w:val="20"/>
          <w:color w:val="auto"/>
        </w:rPr>
        <w:t>Defaulting Lender Adjustments. Notwithstanding anything to the contrary contained in this Agreement, if any Lender becomes a Defaulting Lender, then, until such time as such Lender is no longer a Defaulting Lender, to the extent permitted by Applicable Law:</w:t>
      </w:r>
    </w:p>
    <w:p>
      <w:pPr>
        <w:spacing w:after="0" w:line="197" w:lineRule="exact"/>
        <w:rPr>
          <w:rFonts w:ascii="Arial" w:cs="Arial" w:eastAsia="Arial" w:hAnsi="Arial"/>
          <w:sz w:val="20"/>
          <w:szCs w:val="20"/>
          <w:color w:val="auto"/>
        </w:rPr>
      </w:pPr>
    </w:p>
    <w:p>
      <w:pPr>
        <w:jc w:val="both"/>
        <w:ind w:left="678" w:right="20" w:firstLine="654"/>
        <w:spacing w:after="0" w:line="223" w:lineRule="auto"/>
        <w:tabs>
          <w:tab w:leader="none" w:pos="1882" w:val="left"/>
        </w:tabs>
        <w:numPr>
          <w:ilvl w:val="1"/>
          <w:numId w:val="285"/>
        </w:numPr>
        <w:rPr>
          <w:rFonts w:ascii="Arial" w:cs="Arial" w:eastAsia="Arial" w:hAnsi="Arial"/>
          <w:sz w:val="20"/>
          <w:szCs w:val="20"/>
          <w:color w:val="auto"/>
        </w:rPr>
      </w:pPr>
      <w:r>
        <w:rPr>
          <w:rFonts w:ascii="Arial" w:cs="Arial" w:eastAsia="Arial" w:hAnsi="Arial"/>
          <w:sz w:val="20"/>
          <w:szCs w:val="20"/>
          <w:color w:val="auto"/>
        </w:rPr>
        <w:t>Waivers and Amendments. Such Defaulting Lender’s right to approve or disapprove any amendment, waiver or consent with respect to this Agreement shall be restricted as set forth in the definitions of “Required Lenders”, “Required Revolving Credit Lenders” or “Required Term Loan Lenders” and Section 12.2.</w:t>
      </w:r>
    </w:p>
    <w:p>
      <w:pPr>
        <w:spacing w:after="0" w:line="263" w:lineRule="exact"/>
        <w:rPr>
          <w:rFonts w:ascii="Arial" w:cs="Arial" w:eastAsia="Arial" w:hAnsi="Arial"/>
          <w:sz w:val="20"/>
          <w:szCs w:val="20"/>
          <w:color w:val="auto"/>
        </w:rPr>
      </w:pPr>
    </w:p>
    <w:p>
      <w:pPr>
        <w:jc w:val="both"/>
        <w:ind w:left="678" w:firstLine="654"/>
        <w:spacing w:after="0" w:line="232" w:lineRule="auto"/>
        <w:tabs>
          <w:tab w:leader="none" w:pos="18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Defaulting Lender Waterfall.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12.4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the Issuing Lenders or the Swingline Lenders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Fronting Exposure of the Issuing Lenders and the Swingline Lenders with respect to such Defaulting Lender in accordance with Section 5.14;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Borrowers, to be held in a deposit account and released pro rata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Section 5.14;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Lenders or the Swingline Lenders as a result of any judgment of a court of competent jurisdiction obtained by any Lender, any Issuing Lender or any Swingline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to such Defaulting Lender or as otherwise directed by a court of competent jurisdiction; provided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Section 6.2 were satisfied or waived, such payment shall be applied solely to pay the Loans of, and funded participations in Letters of Credit or Swingline Loans owed to, all Non-Defaulting Lenders on a pro rata basis prior to being applied to the payment of any Loans of, or funded participations in Letters of Credit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86"/>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81" w:name="page182"/>
    <w:bookmarkEnd w:id="181"/>
    <w:p>
      <w:pPr>
        <w:spacing w:after="0" w:line="209" w:lineRule="exact"/>
        <w:rPr>
          <w:sz w:val="20"/>
          <w:szCs w:val="20"/>
          <w:color w:val="auto"/>
        </w:rPr>
      </w:pPr>
    </w:p>
    <w:p>
      <w:pPr>
        <w:ind w:left="678"/>
        <w:spacing w:after="0"/>
        <w:rPr>
          <w:sz w:val="20"/>
          <w:szCs w:val="20"/>
          <w:color w:val="auto"/>
        </w:rPr>
      </w:pPr>
      <w:r>
        <w:rPr>
          <w:rFonts w:ascii="Arial" w:cs="Arial" w:eastAsia="Arial" w:hAnsi="Arial"/>
          <w:sz w:val="18"/>
          <w:szCs w:val="18"/>
          <w:color w:val="auto"/>
        </w:rPr>
        <w:t>Swingline Loans owed to, such Defaulting Lender until such time as all Loans and funded and unfunded participations in L/C</w:t>
      </w:r>
    </w:p>
    <w:p>
      <w:pPr>
        <w:spacing w:after="0" w:line="12" w:lineRule="exact"/>
        <w:rPr>
          <w:sz w:val="20"/>
          <w:szCs w:val="20"/>
          <w:color w:val="auto"/>
        </w:rPr>
      </w:pPr>
    </w:p>
    <w:p>
      <w:pPr>
        <w:ind w:left="678"/>
        <w:spacing w:after="0" w:line="226" w:lineRule="auto"/>
        <w:rPr>
          <w:sz w:val="20"/>
          <w:szCs w:val="20"/>
          <w:color w:val="auto"/>
        </w:rPr>
      </w:pPr>
      <w:r>
        <w:rPr>
          <w:rFonts w:ascii="Arial" w:cs="Arial" w:eastAsia="Arial" w:hAnsi="Arial"/>
          <w:sz w:val="18"/>
          <w:szCs w:val="18"/>
          <w:color w:val="auto"/>
        </w:rPr>
        <w:t>Obligations and Swingline Loans are held by the Lenders pro rata in accordance with the Revolving Credit Commitments under the applicable Revolving Credit Facility without giving effect to Section 5.15(a)(iv). Any payments, prepayments or other amounts</w:t>
      </w:r>
    </w:p>
    <w:p>
      <w:pPr>
        <w:ind w:left="678"/>
        <w:spacing w:after="0" w:line="236" w:lineRule="auto"/>
        <w:rPr>
          <w:sz w:val="20"/>
          <w:szCs w:val="20"/>
          <w:color w:val="auto"/>
        </w:rPr>
      </w:pPr>
      <w:r>
        <w:rPr>
          <w:rFonts w:ascii="Arial" w:cs="Arial" w:eastAsia="Arial" w:hAnsi="Arial"/>
          <w:sz w:val="18"/>
          <w:szCs w:val="18"/>
          <w:color w:val="auto"/>
        </w:rPr>
        <w:t>paid or payable to a Defaulting Lender that are applied (or held) to pay amounts owed by a Defaulting Lender or to post Cash</w:t>
      </w:r>
    </w:p>
    <w:p>
      <w:pPr>
        <w:spacing w:after="0" w:line="1" w:lineRule="exact"/>
        <w:rPr>
          <w:sz w:val="20"/>
          <w:szCs w:val="20"/>
          <w:color w:val="auto"/>
        </w:rPr>
      </w:pPr>
    </w:p>
    <w:p>
      <w:pPr>
        <w:ind w:left="678" w:right="20"/>
        <w:spacing w:after="0" w:line="220" w:lineRule="auto"/>
        <w:rPr>
          <w:sz w:val="20"/>
          <w:szCs w:val="20"/>
          <w:color w:val="auto"/>
        </w:rPr>
      </w:pPr>
      <w:r>
        <w:rPr>
          <w:rFonts w:ascii="Arial" w:cs="Arial" w:eastAsia="Arial" w:hAnsi="Arial"/>
          <w:sz w:val="20"/>
          <w:szCs w:val="20"/>
          <w:color w:val="auto"/>
        </w:rPr>
        <w:t>Collateral pursuant to this Section 5.15(a)(ii) shall be deemed paid to and redirected by such Defaulting Lender, and each Lender irrevocably consents hereto.</w:t>
      </w:r>
    </w:p>
    <w:p>
      <w:pPr>
        <w:spacing w:after="0" w:line="210" w:lineRule="exact"/>
        <w:rPr>
          <w:sz w:val="20"/>
          <w:szCs w:val="20"/>
          <w:color w:val="auto"/>
        </w:rPr>
      </w:pPr>
    </w:p>
    <w:p>
      <w:pPr>
        <w:ind w:left="1978" w:hanging="646"/>
        <w:spacing w:after="0"/>
        <w:tabs>
          <w:tab w:leader="none" w:pos="1978" w:val="left"/>
        </w:tabs>
        <w:numPr>
          <w:ilvl w:val="0"/>
          <w:numId w:val="287"/>
        </w:numPr>
        <w:rPr>
          <w:rFonts w:ascii="Arial" w:cs="Arial" w:eastAsia="Arial" w:hAnsi="Arial"/>
          <w:sz w:val="20"/>
          <w:szCs w:val="20"/>
          <w:color w:val="auto"/>
        </w:rPr>
      </w:pPr>
      <w:r>
        <w:rPr>
          <w:rFonts w:ascii="Arial" w:cs="Arial" w:eastAsia="Arial" w:hAnsi="Arial"/>
          <w:sz w:val="20"/>
          <w:szCs w:val="20"/>
          <w:color w:val="auto"/>
        </w:rPr>
        <w:t>Certain Fees.</w:t>
      </w:r>
    </w:p>
    <w:p>
      <w:pPr>
        <w:spacing w:after="0" w:line="283" w:lineRule="exact"/>
        <w:rPr>
          <w:rFonts w:ascii="Arial" w:cs="Arial" w:eastAsia="Arial" w:hAnsi="Arial"/>
          <w:sz w:val="20"/>
          <w:szCs w:val="20"/>
          <w:color w:val="auto"/>
        </w:rPr>
      </w:pPr>
    </w:p>
    <w:p>
      <w:pPr>
        <w:jc w:val="both"/>
        <w:ind w:left="1338" w:firstLine="537"/>
        <w:spacing w:after="0" w:line="223" w:lineRule="auto"/>
        <w:tabs>
          <w:tab w:leader="none" w:pos="2541" w:val="left"/>
        </w:tabs>
        <w:numPr>
          <w:ilvl w:val="1"/>
          <w:numId w:val="287"/>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195" w:lineRule="exact"/>
        <w:rPr>
          <w:rFonts w:ascii="Arial" w:cs="Arial" w:eastAsia="Arial" w:hAnsi="Arial"/>
          <w:sz w:val="20"/>
          <w:szCs w:val="20"/>
          <w:color w:val="auto"/>
        </w:rPr>
      </w:pPr>
    </w:p>
    <w:p>
      <w:pPr>
        <w:jc w:val="both"/>
        <w:ind w:left="1338" w:firstLine="482"/>
        <w:spacing w:after="0" w:line="220" w:lineRule="auto"/>
        <w:tabs>
          <w:tab w:leader="none" w:pos="2539" w:val="left"/>
        </w:tabs>
        <w:numPr>
          <w:ilvl w:val="1"/>
          <w:numId w:val="287"/>
        </w:numPr>
        <w:rPr>
          <w:rFonts w:ascii="Arial" w:cs="Arial" w:eastAsia="Arial" w:hAnsi="Arial"/>
          <w:sz w:val="20"/>
          <w:szCs w:val="20"/>
          <w:color w:val="auto"/>
        </w:rPr>
      </w:pPr>
      <w:r>
        <w:rPr>
          <w:rFonts w:ascii="Arial" w:cs="Arial" w:eastAsia="Arial" w:hAnsi="Arial"/>
          <w:sz w:val="20"/>
          <w:szCs w:val="20"/>
          <w:color w:val="auto"/>
        </w:rPr>
        <w:t>Each Defaulting Lender shall be entitled to receive letter of credit commissions pursuant to Section 3.3 for any period during which that Lender is a Defaulting Lender only to the extent allocable to its Revolving Credit Commitment Percentage of the stated amount of Letters of Credit for which it has provided Cash Collateral pursuant to Section 5.14.</w:t>
      </w:r>
    </w:p>
    <w:p>
      <w:pPr>
        <w:spacing w:after="0" w:line="263" w:lineRule="exact"/>
        <w:rPr>
          <w:rFonts w:ascii="Arial" w:cs="Arial" w:eastAsia="Arial" w:hAnsi="Arial"/>
          <w:sz w:val="20"/>
          <w:szCs w:val="20"/>
          <w:color w:val="auto"/>
        </w:rPr>
      </w:pPr>
    </w:p>
    <w:p>
      <w:pPr>
        <w:jc w:val="both"/>
        <w:ind w:left="1338" w:firstLine="428"/>
        <w:spacing w:after="0" w:line="238" w:lineRule="auto"/>
        <w:tabs>
          <w:tab w:leader="none" w:pos="25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 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96" w:lineRule="exact"/>
        <w:rPr>
          <w:rFonts w:ascii="Arial" w:cs="Arial" w:eastAsia="Arial" w:hAnsi="Arial"/>
          <w:sz w:val="18"/>
          <w:szCs w:val="18"/>
          <w:color w:val="auto"/>
        </w:rPr>
      </w:pPr>
    </w:p>
    <w:p>
      <w:pPr>
        <w:jc w:val="both"/>
        <w:ind w:left="678" w:firstLine="654"/>
        <w:spacing w:after="0" w:line="235" w:lineRule="auto"/>
        <w:tabs>
          <w:tab w:leader="none" w:pos="18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Reallocation of Participations to Reduce Fronting Exposure.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 Section 6.2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 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rFonts w:ascii="Arial" w:cs="Arial" w:eastAsia="Arial" w:hAnsi="Arial"/>
          <w:sz w:val="18"/>
          <w:szCs w:val="18"/>
          <w:color w:val="auto"/>
        </w:rPr>
      </w:pPr>
    </w:p>
    <w:p>
      <w:pPr>
        <w:jc w:val="both"/>
        <w:ind w:left="678" w:firstLine="654"/>
        <w:spacing w:after="0" w:line="227" w:lineRule="auto"/>
        <w:tabs>
          <w:tab w:leader="none" w:pos="1882" w:val="left"/>
        </w:tabs>
        <w:numPr>
          <w:ilvl w:val="0"/>
          <w:numId w:val="287"/>
        </w:numPr>
        <w:rPr>
          <w:rFonts w:ascii="Arial" w:cs="Arial" w:eastAsia="Arial" w:hAnsi="Arial"/>
          <w:sz w:val="20"/>
          <w:szCs w:val="20"/>
          <w:color w:val="auto"/>
        </w:rPr>
      </w:pPr>
      <w:r>
        <w:rPr>
          <w:rFonts w:ascii="Arial" w:cs="Arial" w:eastAsia="Arial" w:hAnsi="Arial"/>
          <w:sz w:val="20"/>
          <w:szCs w:val="20"/>
          <w:color w:val="auto"/>
        </w:rPr>
        <w:t>Cash Collateral, Repayment of Swingline Loans. If the reallocation described in clause (iv) above cannot, or can only partially, be effected, the Borrowers shall, without prejudice to any right or remedy available to it hereunder or under law, (x) first, repay Swingline Loans in 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88"/>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82" w:name="page183"/>
    <w:bookmarkEnd w:id="182"/>
    <w:p>
      <w:pPr>
        <w:ind w:left="698" w:right="520"/>
        <w:spacing w:after="0" w:line="236" w:lineRule="auto"/>
        <w:rPr>
          <w:sz w:val="20"/>
          <w:szCs w:val="20"/>
          <w:color w:val="auto"/>
        </w:rPr>
      </w:pPr>
      <w:r>
        <w:rPr>
          <w:rFonts w:ascii="Arial" w:cs="Arial" w:eastAsia="Arial" w:hAnsi="Arial"/>
          <w:sz w:val="20"/>
          <w:szCs w:val="20"/>
          <w:color w:val="auto"/>
        </w:rPr>
        <w:t>amount equal to the Swingline Lenders’ Fronting Exposure and (y) second, Cash Collateralize the Issuing Lenders’ Fronting Exposure in accordance with the procedures set forth in Section 5.14.</w:t>
      </w:r>
    </w:p>
    <w:p>
      <w:pPr>
        <w:spacing w:after="0" w:line="263" w:lineRule="exact"/>
        <w:rPr>
          <w:sz w:val="20"/>
          <w:szCs w:val="20"/>
          <w:color w:val="auto"/>
        </w:rPr>
      </w:pPr>
    </w:p>
    <w:p>
      <w:pPr>
        <w:jc w:val="both"/>
        <w:ind w:left="58" w:firstLine="644"/>
        <w:spacing w:after="0" w:line="234" w:lineRule="auto"/>
        <w:tabs>
          <w:tab w:leader="none" w:pos="123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Defaulting Lender Cure.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under the applicable Credit Facility (without giving effect to Section 5.15(a)(iv)),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10" w:lineRule="exact"/>
        <w:rPr>
          <w:sz w:val="20"/>
          <w:szCs w:val="20"/>
          <w:color w:val="auto"/>
        </w:rPr>
      </w:pPr>
    </w:p>
    <w:p>
      <w:pPr>
        <w:ind w:left="698"/>
        <w:spacing w:after="0"/>
        <w:tabs>
          <w:tab w:leader="none" w:pos="2118" w:val="left"/>
        </w:tabs>
        <w:rPr>
          <w:sz w:val="20"/>
          <w:szCs w:val="20"/>
          <w:color w:val="auto"/>
        </w:rPr>
      </w:pPr>
      <w:r>
        <w:rPr>
          <w:rFonts w:ascii="Arial" w:cs="Arial" w:eastAsia="Arial" w:hAnsi="Arial"/>
          <w:sz w:val="20"/>
          <w:szCs w:val="20"/>
          <w:color w:val="auto"/>
        </w:rPr>
        <w:t>SECTION 5.16</w:t>
      </w:r>
      <w:r>
        <w:rPr>
          <w:sz w:val="20"/>
          <w:szCs w:val="20"/>
          <w:color w:val="auto"/>
        </w:rPr>
        <w:tab/>
      </w:r>
      <w:r>
        <w:rPr>
          <w:rFonts w:ascii="Arial" w:cs="Arial" w:eastAsia="Arial" w:hAnsi="Arial"/>
          <w:sz w:val="18"/>
          <w:szCs w:val="18"/>
          <w:color w:val="auto"/>
        </w:rPr>
        <w:t>Centuri as Agent for the Borrowers; Nature of Obligations</w:t>
      </w:r>
    </w:p>
    <w:p>
      <w:pPr>
        <w:spacing w:after="0" w:line="270" w:lineRule="exact"/>
        <w:rPr>
          <w:sz w:val="20"/>
          <w:szCs w:val="20"/>
          <w:color w:val="auto"/>
        </w:rPr>
      </w:pPr>
    </w:p>
    <w:p>
      <w:pPr>
        <w:ind w:left="58"/>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ind w:left="58" w:firstLine="644"/>
        <w:spacing w:after="0" w:line="274" w:lineRule="auto"/>
        <w:tabs>
          <w:tab w:leader="none" w:pos="123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Each Borrower hereby irrevocably appoints and authorizes Centuri (a) to provide the Administrative Agent with all notices with 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 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 any summons, notice or other similar item shall be deemed effective receipt by the Consolidated Companies.</w:t>
      </w:r>
    </w:p>
    <w:p>
      <w:pPr>
        <w:spacing w:after="0" w:line="170" w:lineRule="exact"/>
        <w:rPr>
          <w:rFonts w:ascii="Arial" w:cs="Arial" w:eastAsia="Arial" w:hAnsi="Arial"/>
          <w:sz w:val="16"/>
          <w:szCs w:val="16"/>
          <w:color w:val="auto"/>
        </w:rPr>
      </w:pPr>
    </w:p>
    <w:p>
      <w:pPr>
        <w:jc w:val="both"/>
        <w:ind w:left="58" w:firstLine="644"/>
        <w:spacing w:after="0" w:line="231" w:lineRule="auto"/>
        <w:tabs>
          <w:tab w:leader="none" w:pos="1234" w:val="left"/>
        </w:tabs>
        <w:numPr>
          <w:ilvl w:val="0"/>
          <w:numId w:val="290"/>
        </w:numPr>
        <w:rPr>
          <w:rFonts w:ascii="Arial" w:cs="Arial" w:eastAsia="Arial" w:hAnsi="Arial"/>
          <w:sz w:val="19"/>
          <w:szCs w:val="19"/>
          <w:color w:val="auto"/>
        </w:rPr>
      </w:pPr>
      <w:r>
        <w:rPr>
          <w:rFonts w:ascii="Arial" w:cs="Arial" w:eastAsia="Arial" w:hAnsi="Arial"/>
          <w:sz w:val="19"/>
          <w:szCs w:val="19"/>
          <w:color w:val="auto"/>
        </w:rPr>
        <w:t>Notwithstanding anything to contrary contained in the Loan Documents, (a) the US Borrowers shall be jointly and severally liable for all Obligations and (b) the Canadian Borrowers shall be jointly and severally liable for all Canadian Obligations, but in no event shall any Canadian Borrower have any obligation with respect to the US Obligations. In the event of any conflict or inconsistency between this Section 5.16(b) and any other provision of any Loan Document, this Section 5.16(b) shall control.</w:t>
      </w:r>
    </w:p>
    <w:p>
      <w:pPr>
        <w:spacing w:after="0" w:line="266" w:lineRule="exact"/>
        <w:rPr>
          <w:sz w:val="20"/>
          <w:szCs w:val="20"/>
          <w:color w:val="auto"/>
        </w:rPr>
      </w:pPr>
    </w:p>
    <w:p>
      <w:pPr>
        <w:ind w:left="698"/>
        <w:spacing w:after="0"/>
        <w:tabs>
          <w:tab w:leader="none" w:pos="2098" w:val="left"/>
        </w:tabs>
        <w:rPr>
          <w:sz w:val="20"/>
          <w:szCs w:val="20"/>
          <w:color w:val="auto"/>
        </w:rPr>
      </w:pPr>
      <w:r>
        <w:rPr>
          <w:rFonts w:ascii="Arial" w:cs="Arial" w:eastAsia="Arial" w:hAnsi="Arial"/>
          <w:sz w:val="20"/>
          <w:szCs w:val="20"/>
          <w:color w:val="auto"/>
        </w:rPr>
        <w:t>SECTION 5.17</w:t>
      </w:r>
      <w:r>
        <w:rPr>
          <w:sz w:val="20"/>
          <w:szCs w:val="20"/>
          <w:color w:val="auto"/>
        </w:rPr>
        <w:tab/>
      </w:r>
      <w:r>
        <w:rPr>
          <w:rFonts w:ascii="Arial" w:cs="Arial" w:eastAsia="Arial" w:hAnsi="Arial"/>
          <w:sz w:val="18"/>
          <w:szCs w:val="18"/>
          <w:color w:val="auto"/>
        </w:rPr>
        <w:t>Additional Borrowers</w:t>
      </w:r>
    </w:p>
    <w:p>
      <w:pPr>
        <w:spacing w:after="0" w:line="283" w:lineRule="exact"/>
        <w:rPr>
          <w:sz w:val="20"/>
          <w:szCs w:val="20"/>
          <w:color w:val="auto"/>
        </w:rPr>
      </w:pPr>
    </w:p>
    <w:p>
      <w:pPr>
        <w:jc w:val="both"/>
        <w:ind w:left="58" w:hanging="5"/>
        <w:spacing w:after="0" w:line="223" w:lineRule="auto"/>
        <w:tabs>
          <w:tab w:leader="none" w:pos="212" w:val="left"/>
        </w:tabs>
        <w:numPr>
          <w:ilvl w:val="0"/>
          <w:numId w:val="291"/>
        </w:numPr>
        <w:rPr>
          <w:rFonts w:ascii="Arial" w:cs="Arial" w:eastAsia="Arial" w:hAnsi="Arial"/>
          <w:sz w:val="19"/>
          <w:szCs w:val="19"/>
          <w:color w:val="auto"/>
        </w:rPr>
      </w:pPr>
      <w:r>
        <w:rPr>
          <w:rFonts w:ascii="Arial" w:cs="Arial" w:eastAsia="Arial" w:hAnsi="Arial"/>
          <w:sz w:val="19"/>
          <w:szCs w:val="19"/>
          <w:color w:val="auto"/>
        </w:rPr>
        <w:t xml:space="preserve">Subject to Section 8.14, Centuri may at any time, upon not less than fifteen (15) Business Days’ notice from Centuri to the Administrative Agent and the Lenders (or such shorter period as may be agreed by the Administrative Agent in its sole discretion), request that a Wholly-Owned US Subsidiary or Wholly-Owned Canadian Subsidiary (each, an “Applicant Borrower”) be designated as an Additional Borrower to receive Loans and request Letters of Credit hereunder by delivering to the Administrative Agent (which shall promptly deliver counterparts thereof to each Lender) a duly executed notice and agreement in substantially the form of </w:t>
      </w:r>
      <w:r>
        <w:rPr>
          <w:rFonts w:ascii="Arial" w:cs="Arial" w:eastAsia="Arial" w:hAnsi="Arial"/>
          <w:sz w:val="19"/>
          <w:szCs w:val="19"/>
          <w:b w:val="1"/>
          <w:bCs w:val="1"/>
          <w:i w:val="1"/>
          <w:iCs w:val="1"/>
          <w:color w:val="auto"/>
        </w:rPr>
        <w:t>Exhibit I</w:t>
      </w:r>
      <w:r>
        <w:rPr>
          <w:rFonts w:ascii="Arial" w:cs="Arial" w:eastAsia="Arial" w:hAnsi="Arial"/>
          <w:sz w:val="19"/>
          <w:szCs w:val="19"/>
          <w:color w:val="auto"/>
        </w:rPr>
        <w:t xml:space="preserve"> (an “Additional Borrower Request and Assumption Agreement”); provided that no US Subsidiary or Canadian Subsidiary may be designated as an Additional Borrower without the consent of each Revolving Credit Lender unless such US Subsidiary or Canadian Subsidiary is already a US Subsidiary Guarantor or Canadian Subsidiary Guarantor, as applicable. The parties hereto acknowledge and agree that prior to any Applicant Borrower becoming entitled to utilize the Credit Facilities,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8"/>
        <w:spacing w:after="0"/>
        <w:rPr>
          <w:sz w:val="20"/>
          <w:szCs w:val="20"/>
          <w:color w:val="auto"/>
        </w:rPr>
      </w:pPr>
      <w:r>
        <w:rPr>
          <w:rFonts w:ascii="Arial" w:cs="Arial" w:eastAsia="Arial" w:hAnsi="Arial"/>
          <w:sz w:val="14"/>
          <w:szCs w:val="14"/>
          <w:color w:val="FF0000"/>
          <w:strike w:val="1"/>
        </w:rPr>
        <w:t>146960219_6</w:t>
      </w:r>
    </w:p>
    <w:p>
      <w:pPr>
        <w:ind w:left="458" w:hanging="458"/>
        <w:spacing w:after="0" w:line="227" w:lineRule="auto"/>
        <w:tabs>
          <w:tab w:leader="none" w:pos="458" w:val="left"/>
        </w:tabs>
        <w:numPr>
          <w:ilvl w:val="0"/>
          <w:numId w:val="292"/>
        </w:numPr>
        <w:rPr>
          <w:rFonts w:ascii="Arial" w:cs="Arial" w:eastAsia="Arial" w:hAnsi="Arial"/>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078"/>
          </w:cols>
          <w:pgMar w:left="382" w:top="1405" w:right="439" w:bottom="1440" w:gutter="0" w:footer="0" w:header="0"/>
        </w:sectPr>
      </w:pPr>
    </w:p>
    <w:bookmarkStart w:id="183" w:name="page184"/>
    <w:bookmarkEnd w:id="183"/>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Administrative Agent and the Lenders shall have received such supporting Security Documents, supplements to the Loan Documents,</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resolutions, incumbency certificates, opinions of counsel, all documentation and other information in order to comply with requirements of any Anti-Money Laundering Laws including, without limitation, the PATRIOT Act and any applicable “know your customer” rules and</w:t>
      </w:r>
    </w:p>
    <w:p>
      <w:pPr>
        <w:ind w:left="60"/>
        <w:spacing w:after="0" w:line="236" w:lineRule="auto"/>
        <w:rPr>
          <w:sz w:val="20"/>
          <w:szCs w:val="20"/>
          <w:color w:val="auto"/>
        </w:rPr>
      </w:pPr>
      <w:r>
        <w:rPr>
          <w:rFonts w:ascii="Arial" w:cs="Arial" w:eastAsia="Arial" w:hAnsi="Arial"/>
          <w:sz w:val="18"/>
          <w:szCs w:val="18"/>
          <w:color w:val="auto"/>
        </w:rPr>
        <w:t>regulations, Beneficial Ownership Certification and other documents or information, in form, content and scope reasonably satisfactory to</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the Administrative Agent, as may be required by the Administrative Agent or the Lenders in their sole discretion, and Notes signed by such new Borrowers to the extent any Lenders so require. If the Administrative Agent and the Lenders agree that an Applicant Borrower</w:t>
      </w:r>
    </w:p>
    <w:p>
      <w:pPr>
        <w:ind w:left="60"/>
        <w:spacing w:after="0" w:line="236" w:lineRule="auto"/>
        <w:rPr>
          <w:sz w:val="20"/>
          <w:szCs w:val="20"/>
          <w:color w:val="auto"/>
        </w:rPr>
      </w:pPr>
      <w:r>
        <w:rPr>
          <w:rFonts w:ascii="Arial" w:cs="Arial" w:eastAsia="Arial" w:hAnsi="Arial"/>
          <w:sz w:val="18"/>
          <w:szCs w:val="18"/>
          <w:color w:val="auto"/>
        </w:rPr>
        <w:t>shall be entitled to receive Loans and request Letters of Credit hereunder, then promptly following receipt of all such requested documents</w:t>
      </w:r>
    </w:p>
    <w:p>
      <w:pPr>
        <w:spacing w:after="0" w:line="1" w:lineRule="exact"/>
        <w:rPr>
          <w:sz w:val="20"/>
          <w:szCs w:val="20"/>
          <w:color w:val="auto"/>
        </w:rPr>
      </w:pPr>
    </w:p>
    <w:p>
      <w:pPr>
        <w:ind w:left="60"/>
        <w:spacing w:after="0" w:line="215" w:lineRule="auto"/>
        <w:rPr>
          <w:sz w:val="20"/>
          <w:szCs w:val="20"/>
          <w:color w:val="auto"/>
        </w:rPr>
      </w:pPr>
      <w:r>
        <w:rPr>
          <w:rFonts w:ascii="Arial" w:cs="Arial" w:eastAsia="Arial" w:hAnsi="Arial"/>
          <w:sz w:val="19"/>
          <w:szCs w:val="19"/>
          <w:color w:val="auto"/>
        </w:rPr>
        <w:t xml:space="preserve">and information described above, the Administrative Agent shall send a notice in substantially the form of </w:t>
      </w:r>
      <w:r>
        <w:rPr>
          <w:rFonts w:ascii="Arial" w:cs="Arial" w:eastAsia="Arial" w:hAnsi="Arial"/>
          <w:sz w:val="19"/>
          <w:szCs w:val="19"/>
          <w:b w:val="1"/>
          <w:bCs w:val="1"/>
          <w:i w:val="1"/>
          <w:iCs w:val="1"/>
          <w:color w:val="auto"/>
        </w:rPr>
        <w:t>Exhibit J</w:t>
      </w:r>
      <w:r>
        <w:rPr>
          <w:rFonts w:ascii="Arial" w:cs="Arial" w:eastAsia="Arial" w:hAnsi="Arial"/>
          <w:sz w:val="19"/>
          <w:szCs w:val="19"/>
          <w:color w:val="auto"/>
        </w:rPr>
        <w:t xml:space="preserve"> (an “Additional Borrower Notice”) to Centuri and the Lenders specifying the effective date upon which the Applicant Borrower shall constitute an</w:t>
      </w:r>
    </w:p>
    <w:p>
      <w:pPr>
        <w:ind w:left="60"/>
        <w:spacing w:after="0" w:line="234" w:lineRule="auto"/>
        <w:rPr>
          <w:sz w:val="20"/>
          <w:szCs w:val="20"/>
          <w:color w:val="auto"/>
        </w:rPr>
      </w:pPr>
      <w:r>
        <w:rPr>
          <w:rFonts w:ascii="Arial" w:cs="Arial" w:eastAsia="Arial" w:hAnsi="Arial"/>
          <w:sz w:val="18"/>
          <w:szCs w:val="18"/>
          <w:color w:val="auto"/>
        </w:rPr>
        <w:t>Additional Borrower for purposes hereof, whereupon each of the Lenders agrees to permit such Additional Borrower to receive Loans and</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request Letters of Credit hereunder, on the terms and conditions set forth herein, and each of the parties agrees that such Additional Borrower otherwise shall be a Borrower for all purposes of this Agreement; provided that no Notice of Borrowing or Letter of Credit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 may be submitted by or on behalf of such Additional Borrower until the date five (5) Business Days after such effective date.</w:t>
      </w:r>
    </w:p>
    <w:p>
      <w:pPr>
        <w:spacing w:after="0" w:line="223"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8"/>
          <w:szCs w:val="18"/>
          <w:color w:val="auto"/>
        </w:rPr>
        <w:t>Refinancing Facilities.</w:t>
      </w:r>
    </w:p>
    <w:p>
      <w:pPr>
        <w:spacing w:after="0" w:line="283" w:lineRule="exact"/>
        <w:rPr>
          <w:sz w:val="20"/>
          <w:szCs w:val="20"/>
          <w:color w:val="auto"/>
        </w:rPr>
      </w:pPr>
    </w:p>
    <w:p>
      <w:pPr>
        <w:jc w:val="both"/>
        <w:ind w:left="60" w:firstLine="644"/>
        <w:spacing w:after="0" w:line="238" w:lineRule="auto"/>
        <w:tabs>
          <w:tab w:leader="none" w:pos="123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Borrowers may by written notice to the Administrative Agent elect to request the establishment of (i) one or more additional tranches or Classes of term loans under this Agreement (“Refinancing Term Loans”) or one or more series of debt securities (“Refinancing Notes”), which refinance, renew, replace, defease or refund (collectively, “Refinance”) one or more Classes of Term Loans under this Agreement or (ii) one or more additional revolving facilities under this Agreement providing for revolving commitments (“Refinancing Revolving Credit Commitments” and the revolving loans thereunder, “Refinancing Revolving Loans”) which Refinances one or more Classes of Revolving Credit Commitments (and Revolving Credit Loans thereunder) under this Agreement; provided that:</w:t>
      </w:r>
    </w:p>
    <w:p>
      <w:pPr>
        <w:spacing w:after="0" w:line="266" w:lineRule="exact"/>
        <w:rPr>
          <w:rFonts w:ascii="Arial" w:cs="Arial" w:eastAsia="Arial" w:hAnsi="Arial"/>
          <w:sz w:val="18"/>
          <w:szCs w:val="18"/>
          <w:color w:val="auto"/>
        </w:rPr>
      </w:pPr>
    </w:p>
    <w:p>
      <w:pPr>
        <w:ind w:left="1880" w:hanging="528"/>
        <w:spacing w:after="0"/>
        <w:tabs>
          <w:tab w:leader="none" w:pos="188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result therefrom;</w:t>
      </w:r>
    </w:p>
    <w:p>
      <w:pPr>
        <w:spacing w:after="0" w:line="229" w:lineRule="exact"/>
        <w:rPr>
          <w:rFonts w:ascii="Arial" w:cs="Arial" w:eastAsia="Arial" w:hAnsi="Arial"/>
          <w:sz w:val="20"/>
          <w:szCs w:val="20"/>
          <w:color w:val="auto"/>
        </w:rPr>
      </w:pPr>
    </w:p>
    <w:p>
      <w:pPr>
        <w:jc w:val="both"/>
        <w:ind w:left="700" w:firstLine="652"/>
        <w:spacing w:after="0" w:line="298" w:lineRule="auto"/>
        <w:tabs>
          <w:tab w:leader="none" w:pos="188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principal amount of such Refinancing Debt or Refinancing Revolving Credit Commitments may not exceed the aggregate principal amount of the Term Loans or Revolving Credit Commitments being Refinanced plus accrued and unpaid interest thereon, any prepayment premiums applicable thereto and reasonable fees and expenses incurred in connection therewith;</w:t>
      </w:r>
    </w:p>
    <w:p>
      <w:pPr>
        <w:spacing w:after="0" w:line="151" w:lineRule="exact"/>
        <w:rPr>
          <w:rFonts w:ascii="Arial" w:cs="Arial" w:eastAsia="Arial" w:hAnsi="Arial"/>
          <w:sz w:val="16"/>
          <w:szCs w:val="16"/>
          <w:color w:val="auto"/>
        </w:rPr>
      </w:pPr>
    </w:p>
    <w:p>
      <w:pPr>
        <w:jc w:val="both"/>
        <w:ind w:left="700" w:firstLine="652"/>
        <w:spacing w:after="0" w:line="243" w:lineRule="auto"/>
        <w:tabs>
          <w:tab w:leader="none" w:pos="187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final maturity date of such Refinancing Debt or Refinancing Revolving Credit Commitments shall not be earlier than the maturity date of the Term Loans (or, in the case of any unsecured or junior lien Refinancing Debt, no earlier than the date that is 91 days after the latest final maturity date of the Term Loans existing at the time of such refinancing or replacement) or Revolving Credit Commitments being Refinanced, and the Weighted Average Life to Maturity of such Refinancing Debt shall be no earlier than the then remaining Weighted Average Life to Maturity of each Class of Term Loans being refinanced;</w:t>
      </w:r>
    </w:p>
    <w:p>
      <w:pPr>
        <w:spacing w:after="0" w:line="194" w:lineRule="exact"/>
        <w:rPr>
          <w:rFonts w:ascii="Arial" w:cs="Arial" w:eastAsia="Arial" w:hAnsi="Arial"/>
          <w:sz w:val="18"/>
          <w:szCs w:val="18"/>
          <w:color w:val="auto"/>
        </w:rPr>
      </w:pPr>
    </w:p>
    <w:p>
      <w:pPr>
        <w:jc w:val="both"/>
        <w:ind w:left="700" w:firstLine="652"/>
        <w:spacing w:after="0" w:line="246" w:lineRule="auto"/>
        <w:tabs>
          <w:tab w:leader="none" w:pos="1889"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other terms and conditions of such Refinancing Debt or Refinancing Revolving Credit Commitments (except as otherwise provided in clause (iii) above and with respect to pricing, interest rate margins, premiums, discounts, fees, rate floors and optional prepayment or redemption terms), taken as a whole shall (as reasonably determined by the Borrowers) be substantially similar to, or (taken as a whole) not materially less favorable to the Borrowers and their respective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84" w:name="page185"/>
    <w:bookmarkEnd w:id="184"/>
    <w:p>
      <w:pPr>
        <w:ind w:left="680"/>
        <w:spacing w:after="0"/>
        <w:rPr>
          <w:sz w:val="20"/>
          <w:szCs w:val="20"/>
          <w:color w:val="auto"/>
        </w:rPr>
      </w:pPr>
      <w:r>
        <w:rPr>
          <w:rFonts w:ascii="Arial" w:cs="Arial" w:eastAsia="Arial" w:hAnsi="Arial"/>
          <w:sz w:val="18"/>
          <w:szCs w:val="18"/>
          <w:color w:val="auto"/>
        </w:rPr>
        <w:t>Subsidiaries than, the terms, taken as a whole, applicable to Term Loans or Revolving Credit Commitments being Refinanced,</w:t>
      </w:r>
    </w:p>
    <w:p>
      <w:pPr>
        <w:spacing w:after="0" w:line="12" w:lineRule="exact"/>
        <w:rPr>
          <w:sz w:val="20"/>
          <w:szCs w:val="20"/>
          <w:color w:val="auto"/>
        </w:rPr>
      </w:pPr>
    </w:p>
    <w:p>
      <w:pPr>
        <w:ind w:left="680"/>
        <w:spacing w:after="0" w:line="226" w:lineRule="auto"/>
        <w:rPr>
          <w:sz w:val="20"/>
          <w:szCs w:val="20"/>
          <w:color w:val="auto"/>
        </w:rPr>
      </w:pPr>
      <w:r>
        <w:rPr>
          <w:rFonts w:ascii="Arial" w:cs="Arial" w:eastAsia="Arial" w:hAnsi="Arial"/>
          <w:sz w:val="18"/>
          <w:szCs w:val="18"/>
          <w:color w:val="auto"/>
        </w:rPr>
        <w:t>except to the extent such covenants and other terms apply solely to any period after the latest final Term Loan Maturity Date or Revolving Credit Maturity Date of the Term Loans and/or Revolving Credit Commitments being Refinanced (or, in the case of any</w:t>
      </w:r>
    </w:p>
    <w:p>
      <w:pPr>
        <w:spacing w:after="0" w:line="2" w:lineRule="exact"/>
        <w:rPr>
          <w:sz w:val="20"/>
          <w:szCs w:val="20"/>
          <w:color w:val="auto"/>
        </w:rPr>
      </w:pPr>
    </w:p>
    <w:p>
      <w:pPr>
        <w:ind w:left="680"/>
        <w:spacing w:after="0" w:line="227" w:lineRule="auto"/>
        <w:rPr>
          <w:sz w:val="20"/>
          <w:szCs w:val="20"/>
          <w:color w:val="auto"/>
        </w:rPr>
      </w:pPr>
      <w:r>
        <w:rPr>
          <w:rFonts w:ascii="Arial" w:cs="Arial" w:eastAsia="Arial" w:hAnsi="Arial"/>
          <w:sz w:val="20"/>
          <w:szCs w:val="20"/>
          <w:color w:val="auto"/>
        </w:rPr>
        <w:t>unsecured or junior lien Refinancing Debt, after the date that is 91 days after such latest final Term Loan Maturity Date or Revolving Credit Maturity Date);</w:t>
      </w:r>
    </w:p>
    <w:p>
      <w:pPr>
        <w:spacing w:after="0" w:line="197" w:lineRule="exact"/>
        <w:rPr>
          <w:sz w:val="20"/>
          <w:szCs w:val="20"/>
          <w:color w:val="auto"/>
        </w:rPr>
      </w:pPr>
    </w:p>
    <w:p>
      <w:pPr>
        <w:jc w:val="both"/>
        <w:ind w:left="680" w:firstLine="654"/>
        <w:spacing w:after="0" w:line="246" w:lineRule="auto"/>
        <w:tabs>
          <w:tab w:leader="none" w:pos="18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proceeds of such Refinancing Debt, Refinancing Revolving Credit Commitments or Refinancing Revolving Loans shall be applied, concurrently or substantially concurrently with the incurrence thereof (in accordance with Section 4.4(b) (i)), solely to the repayment of the outstanding amount of one or more Classes of Term Loans or permanently reduce one or more Classes of Revolving Credit Commitments and Revolving Credit Loans, as the case may be, being Refinanced thereby;</w:t>
      </w:r>
    </w:p>
    <w:p>
      <w:pPr>
        <w:spacing w:after="0" w:line="190" w:lineRule="exact"/>
        <w:rPr>
          <w:rFonts w:ascii="Arial" w:cs="Arial" w:eastAsia="Arial" w:hAnsi="Arial"/>
          <w:sz w:val="18"/>
          <w:szCs w:val="18"/>
          <w:color w:val="auto"/>
        </w:rPr>
      </w:pPr>
    </w:p>
    <w:p>
      <w:pPr>
        <w:jc w:val="both"/>
        <w:ind w:left="680" w:right="20" w:firstLine="654"/>
        <w:spacing w:after="0" w:line="239" w:lineRule="auto"/>
        <w:tabs>
          <w:tab w:leader="none" w:pos="1876" w:val="left"/>
        </w:tabs>
        <w:numPr>
          <w:ilvl w:val="1"/>
          <w:numId w:val="294"/>
        </w:numPr>
        <w:rPr>
          <w:rFonts w:ascii="Arial" w:cs="Arial" w:eastAsia="Arial" w:hAnsi="Arial"/>
          <w:sz w:val="19"/>
          <w:szCs w:val="19"/>
          <w:color w:val="auto"/>
        </w:rPr>
      </w:pPr>
      <w:r>
        <w:rPr>
          <w:rFonts w:ascii="Arial" w:cs="Arial" w:eastAsia="Arial" w:hAnsi="Arial"/>
          <w:sz w:val="19"/>
          <w:szCs w:val="19"/>
          <w:color w:val="auto"/>
        </w:rPr>
        <w:t>each Class of Refinancing Term Loans or Refinancing Revolving Credit Commitments shall be in an aggregate amount of $5,000,000 or any whole multiple of $1,000,000 in excess thereof (or such other amount necessary to repay or replace any Class of outstanding Term Loans or Refinancing Revolving Credit Commitments in full);</w:t>
      </w:r>
    </w:p>
    <w:p>
      <w:pPr>
        <w:spacing w:after="0" w:line="197" w:lineRule="exact"/>
        <w:rPr>
          <w:rFonts w:ascii="Arial" w:cs="Arial" w:eastAsia="Arial" w:hAnsi="Arial"/>
          <w:sz w:val="19"/>
          <w:szCs w:val="19"/>
          <w:color w:val="auto"/>
        </w:rPr>
      </w:pPr>
    </w:p>
    <w:p>
      <w:pPr>
        <w:ind w:left="680" w:right="20" w:firstLine="654"/>
        <w:spacing w:after="0" w:line="236" w:lineRule="auto"/>
        <w:tabs>
          <w:tab w:leader="none" w:pos="1881" w:val="left"/>
        </w:tabs>
        <w:numPr>
          <w:ilvl w:val="1"/>
          <w:numId w:val="294"/>
        </w:numPr>
        <w:rPr>
          <w:rFonts w:ascii="Arial" w:cs="Arial" w:eastAsia="Arial" w:hAnsi="Arial"/>
          <w:sz w:val="20"/>
          <w:szCs w:val="20"/>
          <w:color w:val="auto"/>
        </w:rPr>
      </w:pPr>
      <w:r>
        <w:rPr>
          <w:rFonts w:ascii="Arial" w:cs="Arial" w:eastAsia="Arial" w:hAnsi="Arial"/>
          <w:sz w:val="20"/>
          <w:szCs w:val="20"/>
          <w:color w:val="auto"/>
        </w:rPr>
        <w:t>no Subsidiary that is not also a Subsidiary Guarantor may be a borrower or a guarantor with respect to such Refinancing Debt, Refinancing Revolving Credit Commitments and/or Refinancing Revolving Loans;</w:t>
      </w:r>
    </w:p>
    <w:p>
      <w:pPr>
        <w:spacing w:after="0" w:line="195" w:lineRule="exact"/>
        <w:rPr>
          <w:rFonts w:ascii="Arial" w:cs="Arial" w:eastAsia="Arial" w:hAnsi="Arial"/>
          <w:sz w:val="20"/>
          <w:szCs w:val="20"/>
          <w:color w:val="auto"/>
        </w:rPr>
      </w:pPr>
    </w:p>
    <w:p>
      <w:pPr>
        <w:jc w:val="both"/>
        <w:ind w:left="680" w:firstLine="654"/>
        <w:spacing w:after="0" w:line="229" w:lineRule="auto"/>
        <w:tabs>
          <w:tab w:leader="none" w:pos="1881" w:val="left"/>
        </w:tabs>
        <w:numPr>
          <w:ilvl w:val="1"/>
          <w:numId w:val="294"/>
        </w:numPr>
        <w:rPr>
          <w:rFonts w:ascii="Arial" w:cs="Arial" w:eastAsia="Arial" w:hAnsi="Arial"/>
          <w:sz w:val="19"/>
          <w:szCs w:val="19"/>
          <w:color w:val="auto"/>
        </w:rPr>
      </w:pPr>
      <w:r>
        <w:rPr>
          <w:rFonts w:ascii="Arial" w:cs="Arial" w:eastAsia="Arial" w:hAnsi="Arial"/>
          <w:sz w:val="19"/>
          <w:szCs w:val="19"/>
          <w:color w:val="auto"/>
        </w:rPr>
        <w:t>Refinancing Debt, Refinancing Revolving Credit Commitments and/or Refinancing Revolving Loans may be unsecured or may only be secured by the Collateral and may rank pari passu or junior in right of payment and/or security with the remaining Revolving Credit Commitments, Revolving Credit Loans and/or Term Loans, so long as the holders of any Refinancing Debt, Refinancing Revolving Credit Commitments and/or Refinancing Revolving Loans that are junior in right of payment and/or security are subject to an Acceptable Intercreditor Agreement;</w:t>
      </w:r>
    </w:p>
    <w:p>
      <w:pPr>
        <w:spacing w:after="0" w:line="199" w:lineRule="exact"/>
        <w:rPr>
          <w:rFonts w:ascii="Arial" w:cs="Arial" w:eastAsia="Arial" w:hAnsi="Arial"/>
          <w:sz w:val="19"/>
          <w:szCs w:val="19"/>
          <w:color w:val="auto"/>
        </w:rPr>
      </w:pPr>
    </w:p>
    <w:p>
      <w:pPr>
        <w:ind w:left="680" w:firstLine="654"/>
        <w:spacing w:after="0" w:line="236" w:lineRule="auto"/>
        <w:tabs>
          <w:tab w:leader="none" w:pos="1879" w:val="left"/>
        </w:tabs>
        <w:numPr>
          <w:ilvl w:val="1"/>
          <w:numId w:val="294"/>
        </w:numPr>
        <w:rPr>
          <w:rFonts w:ascii="Arial" w:cs="Arial" w:eastAsia="Arial" w:hAnsi="Arial"/>
          <w:sz w:val="20"/>
          <w:szCs w:val="20"/>
          <w:color w:val="auto"/>
        </w:rPr>
      </w:pPr>
      <w:r>
        <w:rPr>
          <w:rFonts w:ascii="Arial" w:cs="Arial" w:eastAsia="Arial" w:hAnsi="Arial"/>
          <w:sz w:val="20"/>
          <w:szCs w:val="20"/>
          <w:color w:val="auto"/>
        </w:rPr>
        <w:t>such Refinancing Debt or Refinancing Revolving Credit Commitments shall not be secured by any asset of the Borrowers and their respective Subsidiaries other than the Collateral;</w:t>
      </w:r>
    </w:p>
    <w:p>
      <w:pPr>
        <w:spacing w:after="0" w:line="195" w:lineRule="exact"/>
        <w:rPr>
          <w:rFonts w:ascii="Arial" w:cs="Arial" w:eastAsia="Arial" w:hAnsi="Arial"/>
          <w:sz w:val="20"/>
          <w:szCs w:val="20"/>
          <w:color w:val="auto"/>
        </w:rPr>
      </w:pPr>
    </w:p>
    <w:p>
      <w:pPr>
        <w:jc w:val="both"/>
        <w:ind w:left="680" w:firstLine="654"/>
        <w:spacing w:after="0" w:line="214" w:lineRule="auto"/>
        <w:tabs>
          <w:tab w:leader="none" w:pos="1879" w:val="left"/>
        </w:tabs>
        <w:numPr>
          <w:ilvl w:val="1"/>
          <w:numId w:val="294"/>
        </w:numPr>
        <w:rPr>
          <w:rFonts w:ascii="Arial" w:cs="Arial" w:eastAsia="Arial" w:hAnsi="Arial"/>
          <w:sz w:val="20"/>
          <w:szCs w:val="20"/>
          <w:color w:val="auto"/>
        </w:rPr>
      </w:pPr>
      <w:r>
        <w:rPr>
          <w:rFonts w:ascii="Arial" w:cs="Arial" w:eastAsia="Arial" w:hAnsi="Arial"/>
          <w:sz w:val="20"/>
          <w:szCs w:val="20"/>
          <w:color w:val="auto"/>
        </w:rPr>
        <w:t>in the case of any Refinancing Revolving Credit Commitments, substantially concurrently with the effectiveness thereof, all the Revolving Credit Commitments then in effect shall be terminated, and all the Revolving Credit Loans then outstanding, together with all interest thereon, and all other amounts accrued for the benefit of the Revolving Credit Lenders, shall be repaid or paid (it being understood, however, that any Letters of Credit may continue to be outstanding hereunder), and the aggregate amount of such Refinancing Revolving Credit Commitments does not exceed the aggregate amount of the Revolving Credit Commitments so terminated; and</w:t>
      </w:r>
    </w:p>
    <w:p>
      <w:pPr>
        <w:spacing w:after="0" w:line="200" w:lineRule="exact"/>
        <w:rPr>
          <w:rFonts w:ascii="Arial" w:cs="Arial" w:eastAsia="Arial" w:hAnsi="Arial"/>
          <w:sz w:val="20"/>
          <w:szCs w:val="20"/>
          <w:color w:val="auto"/>
        </w:rPr>
      </w:pPr>
    </w:p>
    <w:p>
      <w:pPr>
        <w:jc w:val="both"/>
        <w:ind w:left="680" w:right="20" w:firstLine="654"/>
        <w:spacing w:after="0" w:line="220" w:lineRule="auto"/>
        <w:tabs>
          <w:tab w:leader="none" w:pos="1882" w:val="left"/>
        </w:tabs>
        <w:numPr>
          <w:ilvl w:val="1"/>
          <w:numId w:val="294"/>
        </w:numPr>
        <w:rPr>
          <w:rFonts w:ascii="Arial" w:cs="Arial" w:eastAsia="Arial" w:hAnsi="Arial"/>
          <w:sz w:val="20"/>
          <w:szCs w:val="20"/>
          <w:color w:val="auto"/>
        </w:rPr>
      </w:pPr>
      <w:r>
        <w:rPr>
          <w:rFonts w:ascii="Arial" w:cs="Arial" w:eastAsia="Arial" w:hAnsi="Arial"/>
          <w:sz w:val="20"/>
          <w:szCs w:val="20"/>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w:t>
      </w:r>
    </w:p>
    <w:p>
      <w:pPr>
        <w:spacing w:after="0" w:line="209" w:lineRule="exact"/>
        <w:rPr>
          <w:rFonts w:ascii="Arial" w:cs="Arial" w:eastAsia="Arial" w:hAnsi="Arial"/>
          <w:sz w:val="20"/>
          <w:szCs w:val="20"/>
          <w:color w:val="auto"/>
        </w:rPr>
      </w:pPr>
    </w:p>
    <w:p>
      <w:pPr>
        <w:ind w:left="40" w:right="180" w:firstLine="645"/>
        <w:spacing w:after="0" w:line="229" w:lineRule="auto"/>
        <w:tabs>
          <w:tab w:leader="none" w:pos="1242" w:val="left"/>
        </w:tabs>
        <w:numPr>
          <w:ilvl w:val="0"/>
          <w:numId w:val="295"/>
        </w:numPr>
        <w:rPr>
          <w:rFonts w:ascii="Arial" w:cs="Arial" w:eastAsia="Arial" w:hAnsi="Arial"/>
          <w:sz w:val="20"/>
          <w:szCs w:val="20"/>
          <w:color w:val="auto"/>
        </w:rPr>
      </w:pPr>
      <w:r>
        <w:rPr>
          <w:rFonts w:ascii="Arial" w:cs="Arial" w:eastAsia="Arial" w:hAnsi="Arial"/>
          <w:sz w:val="20"/>
          <w:szCs w:val="20"/>
          <w:color w:val="auto"/>
        </w:rPr>
        <w:t>Each such notice shall specify the date (each, a “Refinancing Effective Date”) on which the applicable Borrower proposes that the Refinancing Debt be made or the Refinancing Revolving Credit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185" w:name="page186"/>
    <w:bookmarkEnd w:id="185"/>
    <w:p>
      <w:pPr>
        <w:ind w:left="60" w:right="20"/>
        <w:spacing w:after="0" w:line="236" w:lineRule="auto"/>
        <w:rPr>
          <w:sz w:val="20"/>
          <w:szCs w:val="20"/>
          <w:color w:val="auto"/>
        </w:rPr>
      </w:pPr>
      <w:r>
        <w:rPr>
          <w:rFonts w:ascii="Arial" w:cs="Arial" w:eastAsia="Arial" w:hAnsi="Arial"/>
          <w:sz w:val="20"/>
          <w:szCs w:val="20"/>
          <w:color w:val="auto"/>
        </w:rPr>
        <w:t>Commitments shall become effective, which shall be a date not less than three (3) Business Days (or such shorter period as may be agreed to by the Administrative Agent) after the date on which such notice is delivered to the Administrative Agent.</w:t>
      </w:r>
    </w:p>
    <w:p>
      <w:pPr>
        <w:spacing w:after="0" w:line="196" w:lineRule="exact"/>
        <w:rPr>
          <w:sz w:val="20"/>
          <w:szCs w:val="20"/>
          <w:color w:val="auto"/>
        </w:rPr>
      </w:pPr>
    </w:p>
    <w:p>
      <w:pPr>
        <w:jc w:val="both"/>
        <w:ind w:left="60" w:firstLine="644"/>
        <w:spacing w:after="0" w:line="223" w:lineRule="auto"/>
        <w:tabs>
          <w:tab w:leader="none" w:pos="123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The Borrowers may approach any Lender or any other Person that would be an Eligible Assignee of the applicable Class of Loans or Commitments pursuant to Section 12.9(b) to provide all or a portion of the Refinancing Term Loans or Refinancing Revolving Credit Commitments (a “Refinancing Lender”); provided that any Lender offered or approached to provide all or a portion of the Refinancing Term Loans may elect or decline, in its sole discretion, to provide a Refinancing Term Loan or Refinancing Revolving Credit Commitment, as applicable. Any Refinancing Term Loans or Refinancing Revolving Credit Commitment made on any Refinancing Effective Date shall be designated a series (a “Refinancing Series”) of Refinancing Term Loans or Refinancing Revolving Credit Commitments for all purposes of this Agreement; provided that (i) any Refinancing Term Loans may, to the extent provided in the applicable Refinancing Amendment, be designated as an increase in any previously established Refinancing Series of Refinancing Term Loans made to the applicable Borrower and (ii) any Refinancing Revolving Credit Commitments may, to the extent provided in the applicable Refinancing Amendment, be designated as an increase in any previously established Refinancing Series of Refinancing Revolving Credit Commitments.</w:t>
      </w:r>
    </w:p>
    <w:p>
      <w:pPr>
        <w:spacing w:after="0" w:line="196" w:lineRule="exact"/>
        <w:rPr>
          <w:rFonts w:ascii="Arial" w:cs="Arial" w:eastAsia="Arial" w:hAnsi="Arial"/>
          <w:sz w:val="19"/>
          <w:szCs w:val="19"/>
          <w:color w:val="auto"/>
        </w:rPr>
      </w:pPr>
    </w:p>
    <w:p>
      <w:pPr>
        <w:jc w:val="both"/>
        <w:ind w:left="60" w:firstLine="644"/>
        <w:spacing w:after="0" w:line="232" w:lineRule="auto"/>
        <w:tabs>
          <w:tab w:leader="none" w:pos="12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Administrative Agent and the Lenders hereby consent to the transactions contemplated by this Section 5.18 (including, for the avoidance of doubt, the payment of interest, fees, amortization or premium in respect of the Refinancing Term Loans and Refinancing Revolving Credit Commitments, and Refinancing Revolving Loans on the terms specified by the Borrowers) and hereby waive the requirements of this Agreement (including, but not limited to, Section 5.6 and Section 12.2) or any other Loan Document that may otherwise prohibit such Refinance or any other transaction contemplated by this Section 5.18. The Refinancing Term Loans and Refinancing Revolving Credit Commitments shall be established pursuant to an amendment to this Agreement among the applicable Borrower and the applicable Refinancing Lenders providing such Refinancing Term Loans or Refinancing Revolving Credit Commitments (a “Refinancing Amendment”) which shall be consistent with the provisions set forth in this Section 5.18. The Refinancing Notes shall be established pursuant to documentation which shall be consistent with the provisions set forth in Section 5.18(a). Each Refinancing Amendment shall be binding on the Lenders, the Administrative Agent, the Credit Parties party thereto and the other parties hereto without the consent of any other Lender (except with respect to Refinancing Revolving Credit Commitments as provided above) and the Lenders hereby irrevocably authorize the Administrative Agent to enter into amendments to this Agreement and the other Loan Documents as may be necessary or appropriate in the reasonable opinion of the Administrative Agent and the Borrowers, to effect the provisions of this Section 5.18, including in order to establish new tranches or sub-tranches in respect of the Refinancing Term Loans or Refinancing Revolving Credit Commitments and Refinancing Revolving Loans and such technical amendments as may be necessary or appropriate in connection therewith and to adjust the amortization schedule in Section 4.3(a) (insofar as such schedule relates to payments due to Lenders, the Term Loans of which are Refinanced; provided that no such amendment shall reduce the pro rata share of any such payment that would have otherwise been payable to the Lenders, the Term Loans of which are not Refinanced). The Administrative Agent shall be permitted, and is hereby authorized, to enter into such Refinancing Amendments with the Borrowers to effect the foregoing. The effectiveness of any Refinancing Amendment shall be subject to the satisfaction on the date thereof of conditions as may be required by the Refinancing Lenders providing such Refinancing Amendment.</w:t>
      </w:r>
    </w:p>
    <w:p>
      <w:pPr>
        <w:spacing w:after="0" w:line="199" w:lineRule="exact"/>
        <w:rPr>
          <w:rFonts w:ascii="Arial" w:cs="Arial" w:eastAsia="Arial" w:hAnsi="Arial"/>
          <w:sz w:val="18"/>
          <w:szCs w:val="18"/>
          <w:color w:val="auto"/>
        </w:rPr>
      </w:pPr>
    </w:p>
    <w:p>
      <w:pPr>
        <w:jc w:val="both"/>
        <w:ind w:left="60" w:right="20" w:firstLine="644"/>
        <w:spacing w:after="0" w:line="259" w:lineRule="auto"/>
        <w:tabs>
          <w:tab w:leader="none" w:pos="12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any Refinancing Revolving Credit Commitment is designated as an increase in any previously established Refinancing Revolving Credit Commitment, on the Refinancing Effective Date, subject to the satisfaction of the foregoing terms and conditions, each of the Refinancing Lenders with Refinancing Revolving Credit Commitments of such Refinancing Series shall purchase from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186" w:name="page187"/>
    <w:bookmarkEnd w:id="186"/>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Lenders with Refinancing Revolving Credit Commitments of such Refinancing Series, at the principal amount thereof and in the</w:t>
      </w:r>
    </w:p>
    <w:p>
      <w:pPr>
        <w:spacing w:after="0" w:line="1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applicable currencies, such interests in the Revolving Credit Loans under such Refinancing Revolving Credit Commitments outstanding immediately prior to such Refinancing as shall be necessary in order that, after giving effect to all such assignments and purchases, the</w:t>
      </w:r>
    </w:p>
    <w:p>
      <w:pPr>
        <w:ind w:left="60"/>
        <w:spacing w:after="0" w:line="236" w:lineRule="auto"/>
        <w:rPr>
          <w:sz w:val="20"/>
          <w:szCs w:val="20"/>
          <w:color w:val="auto"/>
        </w:rPr>
      </w:pPr>
      <w:r>
        <w:rPr>
          <w:rFonts w:ascii="Arial" w:cs="Arial" w:eastAsia="Arial" w:hAnsi="Arial"/>
          <w:sz w:val="18"/>
          <w:szCs w:val="18"/>
          <w:color w:val="auto"/>
        </w:rPr>
        <w:t>Refinancing Revolving Loans of such Refinancing Series will be held by Refinancing Lenders thereunder ratably in accordance with the</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percentage of the total Refinancing Revolving Credit Commitments of all Refinancing Lenders represented by each such Refinancing Lender’s Refinancing Revolving Credit Commitment. After giving effect to any Refinancing Revolving Credit Commitments, all</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auto"/>
        </w:rPr>
        <w:t>outstanding Swingline Loans and Letters of Credit shall be participated on a pro rata basis by all Lenders with a Revolving Credit Commitment in accordance with their revised Revolving Credit Commitment Percentages.</w:t>
      </w:r>
    </w:p>
    <w:p>
      <w:pPr>
        <w:spacing w:after="0" w:line="197" w:lineRule="exact"/>
        <w:rPr>
          <w:sz w:val="20"/>
          <w:szCs w:val="20"/>
          <w:color w:val="auto"/>
        </w:rPr>
      </w:pPr>
    </w:p>
    <w:p>
      <w:pPr>
        <w:jc w:val="both"/>
        <w:ind w:left="60" w:firstLine="644"/>
        <w:spacing w:after="0" w:line="235" w:lineRule="auto"/>
        <w:tabs>
          <w:tab w:leader="none" w:pos="123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Administrative Agent is authorized to enter into any Acceptable Intercreditor Agreement (and any amendments, amendments and restatements, restatements or waivers of or supplements to or other modifications to, such agreements) and to take all actions (and execute all documents) required (or otherwise deemed advisable by the Administrative Agent) in connection with the incurrence by any Credit Party of any Refinancing Debt, in order to permit such Refinancing Debt to be secured by a valid, perfected lien and the parties hereto acknowledge that any Acceptable Intercreditor Agreement will be binding upon them. Each Lender (i) hereby agrees that it will be bound by and will take no actions contrary to the provisions of any Acceptable Intercreditor Agreement and (ii) hereby authorizes and instructs the Administrative Agent to enter into any Acceptable Intercreditor Agreement (and any amendments, amendments and restatements, restatements or waivers of or supplements to or other modifications to, such agreements) in connection with the incurrence by any Credit Party of any Refinancing Debt, in order to permit such Refinancing Debt to be secured by a valid, perfected lien and to subject the Liens on the Collateral securing the Secured Obligations to the provisions thereof.</w:t>
      </w:r>
    </w:p>
    <w:p>
      <w:pPr>
        <w:spacing w:after="0" w:line="200" w:lineRule="exact"/>
        <w:rPr>
          <w:rFonts w:ascii="Arial" w:cs="Arial" w:eastAsia="Arial" w:hAnsi="Arial"/>
          <w:sz w:val="18"/>
          <w:szCs w:val="18"/>
          <w:color w:val="auto"/>
        </w:rPr>
      </w:pPr>
    </w:p>
    <w:p>
      <w:pPr>
        <w:jc w:val="both"/>
        <w:ind w:left="60" w:right="20" w:firstLine="643"/>
        <w:spacing w:after="0" w:line="246" w:lineRule="auto"/>
        <w:tabs>
          <w:tab w:leader="none" w:pos="123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Notwithstanding the terms of Sections 5.13, 5.18 and 5.19,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204"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5.19</w:t>
      </w:r>
      <w:r>
        <w:rPr>
          <w:sz w:val="20"/>
          <w:szCs w:val="20"/>
          <w:color w:val="auto"/>
        </w:rPr>
        <w:tab/>
      </w:r>
      <w:r>
        <w:rPr>
          <w:rFonts w:ascii="Arial" w:cs="Arial" w:eastAsia="Arial" w:hAnsi="Arial"/>
          <w:sz w:val="16"/>
          <w:szCs w:val="16"/>
          <w:color w:val="auto"/>
        </w:rPr>
        <w:t>Amend and Extend Transactions.</w:t>
      </w:r>
    </w:p>
    <w:p>
      <w:pPr>
        <w:spacing w:after="0" w:line="270" w:lineRule="exact"/>
        <w:rPr>
          <w:sz w:val="20"/>
          <w:szCs w:val="20"/>
          <w:color w:val="auto"/>
        </w:rPr>
      </w:pPr>
    </w:p>
    <w:p>
      <w:pPr>
        <w:jc w:val="both"/>
        <w:ind w:left="60" w:firstLine="644"/>
        <w:spacing w:after="0" w:line="221" w:lineRule="auto"/>
        <w:tabs>
          <w:tab w:leader="none" w:pos="123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Borrowers may, by written notice to the Administrative Agent from time to time, request an extension (each, an “Extension”) of the maturity date of any Class of Term Loans with a like maturity date or Revolving Credit Commitments with a like maturity date. Such notice shall (i) set forth the amount of the applicable Class of Revolving Credit Commitments and/or Term Loans that will be subject to the Extension (which shall be in a minimum amount of $25,000,000 and minimum increments of $5,000,000),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Credit Commitments and/or Term Loans to which such Extension relates. Each Lender of the applicable Class shall be offered (an “Extension Offer”) an opportunity to participate in such Extension on a pro rata basis and on the same terms and conditions as each other Lender of such Class pursuant to procedures established by, or reasonably acceptable to, the Administrative Agent and the Borrowers; provided that no Lender will be required or otherwise obligated to participate in such Extension.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87" w:name="page188"/>
    <w:bookmarkEnd w:id="187"/>
    <w:p>
      <w:pPr>
        <w:spacing w:after="0" w:line="209" w:lineRule="exact"/>
        <w:rPr>
          <w:sz w:val="20"/>
          <w:szCs w:val="20"/>
          <w:color w:val="auto"/>
        </w:rPr>
      </w:pPr>
    </w:p>
    <w:p>
      <w:pPr>
        <w:ind w:left="60" w:right="20"/>
        <w:spacing w:after="0" w:line="236" w:lineRule="auto"/>
        <w:rPr>
          <w:sz w:val="20"/>
          <w:szCs w:val="20"/>
          <w:color w:val="auto"/>
        </w:rPr>
      </w:pPr>
      <w:r>
        <w:rPr>
          <w:rFonts w:ascii="Arial" w:cs="Arial" w:eastAsia="Arial" w:hAnsi="Arial"/>
          <w:sz w:val="20"/>
          <w:szCs w:val="20"/>
          <w:color w:val="auto"/>
        </w:rPr>
        <w:t>applicable, of Lenders of the applicable Class shall be extended ratably up to such maximum amount based on the respective principal amounts with respect to which such Lenders have accepted such Extension Offer.</w:t>
      </w:r>
    </w:p>
    <w:p>
      <w:pPr>
        <w:spacing w:after="0" w:line="196" w:lineRule="exact"/>
        <w:rPr>
          <w:sz w:val="20"/>
          <w:szCs w:val="20"/>
          <w:color w:val="auto"/>
        </w:rPr>
      </w:pPr>
    </w:p>
    <w:p>
      <w:pPr>
        <w:jc w:val="both"/>
        <w:ind w:left="60" w:firstLine="644"/>
        <w:spacing w:after="0" w:line="238" w:lineRule="auto"/>
        <w:tabs>
          <w:tab w:leader="none" w:pos="123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following shall be conditions precedent to the effectiveness of any Extension: (i) no Default or Event of Default shall have occurred and be continuing immediately prior to and immediately after giving effect to such Extension, (ii) the representations and warranties set forth in Article VII and in each other Loan Document shall be deemed to be made and shall be true and correct in all material respects on and as of the effective date of such Extension, (iii) the Issuing Lenders and the Swingline Lender shall have consented to any Extension of the Revolving Credit Commitments, to the extent that such Extension provides for the issuance or extension of Letters of Credit or making of Swingline Loans at any time during the extended period and (iv) the terms of such Extended Revolving Credit Commitments and Extended Term Loans shall comply with paragraph (c) of this Section.</w:t>
      </w:r>
    </w:p>
    <w:p>
      <w:pPr>
        <w:spacing w:after="0" w:line="196" w:lineRule="exact"/>
        <w:rPr>
          <w:rFonts w:ascii="Arial" w:cs="Arial" w:eastAsia="Arial" w:hAnsi="Arial"/>
          <w:sz w:val="18"/>
          <w:szCs w:val="18"/>
          <w:color w:val="auto"/>
        </w:rPr>
      </w:pPr>
    </w:p>
    <w:p>
      <w:pPr>
        <w:jc w:val="both"/>
        <w:ind w:left="60" w:firstLine="644"/>
        <w:spacing w:after="0" w:line="219" w:lineRule="auto"/>
        <w:tabs>
          <w:tab w:leader="none" w:pos="1236" w:val="left"/>
        </w:tabs>
        <w:numPr>
          <w:ilvl w:val="1"/>
          <w:numId w:val="299"/>
        </w:numPr>
        <w:rPr>
          <w:rFonts w:ascii="Arial" w:cs="Arial" w:eastAsia="Arial" w:hAnsi="Arial"/>
          <w:sz w:val="19"/>
          <w:szCs w:val="19"/>
          <w:color w:val="auto"/>
        </w:rPr>
      </w:pPr>
      <w:r>
        <w:rPr>
          <w:rFonts w:ascii="Arial" w:cs="Arial" w:eastAsia="Arial" w:hAnsi="Arial"/>
          <w:sz w:val="19"/>
          <w:szCs w:val="19"/>
          <w:color w:val="auto"/>
        </w:rPr>
        <w:t xml:space="preserve">The terms of each Extension shall be determined by the Borrowers and the applicable extending Lenders and set forth in an Extension Amendment; provided that (i) the final maturity date of any Extended Revolving Credit Commitment or Extended Term Loan shall be no earlier than the Revolving Credit Maturity Date or the Term Loan Maturity Date, respectively, (ii)(A) there shall be no scheduled amortization of the loans or reductions of commitments under any Extended Revolving Credit Commitments and (B) the Weighted Average Life to Maturity of the Extended Term Loans shall be no shorter than the remaining Weighted Average Life to Maturity of the existing Term Loans, (iii) the Extended Revolving Credit Loans and the Extended Term Loans will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with respect to security with the existing Revolving Credit Loans and the existing Term Loans and the borrower and guarantors of the Extended Revolving Credit Commitments or Extended Term Loans, as applicable, shall be the same as the Borrowers and Subsidiary Guarantors with respect to the existing Revolving Credit Loans or Term Loans, as applicable, (iv) the interest rate margin, rate floors, fees, original issue discount and premium applicable to any Extended Revolving Credit Commitment (and the Extended Revolving Credit Loans thereunder) and Extended Term Loans shall be determined by the Borrowers and the applicable extending Lenders, (v)(A) the Extended Term Loans may participate on a pro rata or less than pro rata (but not greater than pro rata) basis in mandatory prepayments with the other Term Loans and</w:t>
      </w:r>
    </w:p>
    <w:p>
      <w:pPr>
        <w:spacing w:after="0" w:line="2" w:lineRule="exact"/>
        <w:rPr>
          <w:rFonts w:ascii="Arial" w:cs="Arial" w:eastAsia="Arial" w:hAnsi="Arial"/>
          <w:sz w:val="19"/>
          <w:szCs w:val="19"/>
          <w:color w:val="auto"/>
        </w:rPr>
      </w:pPr>
    </w:p>
    <w:p>
      <w:pPr>
        <w:jc w:val="both"/>
        <w:ind w:left="60" w:hanging="4"/>
        <w:spacing w:after="0" w:line="223" w:lineRule="auto"/>
        <w:tabs>
          <w:tab w:leader="none" w:pos="588" w:val="left"/>
        </w:tabs>
        <w:numPr>
          <w:ilvl w:val="0"/>
          <w:numId w:val="300"/>
        </w:numPr>
        <w:rPr>
          <w:rFonts w:ascii="Arial" w:cs="Arial" w:eastAsia="Arial" w:hAnsi="Arial"/>
          <w:sz w:val="19"/>
          <w:szCs w:val="19"/>
          <w:color w:val="auto"/>
        </w:rPr>
      </w:pPr>
      <w:r>
        <w:rPr>
          <w:rFonts w:ascii="Arial" w:cs="Arial" w:eastAsia="Arial" w:hAnsi="Arial"/>
          <w:sz w:val="19"/>
          <w:szCs w:val="19"/>
          <w:color w:val="auto"/>
        </w:rPr>
        <w:t>borrowing and prepayment of Extended Revolving Credit Loans, or reductions of Extended Revolving Credit Commitments, and participation in Letters of Credit and Swingline Loans, shall be on a pro rata basis with the other Revolving Credit Loans or Revolving Credit Commitments (other than upon the maturity of the non-extended Revolving Credit Loans and Revolving Credit Commitments) and (vi) the terms of the Extended Revolving Credit Commitments or Extended Term Loans, as applicable, shall be substantially identical to the terms set forth herein (except as set forth in clauses (i) through (v) above).</w:t>
      </w:r>
    </w:p>
    <w:p>
      <w:pPr>
        <w:spacing w:after="0" w:line="210" w:lineRule="exact"/>
        <w:rPr>
          <w:rFonts w:ascii="Arial" w:cs="Arial" w:eastAsia="Arial" w:hAnsi="Arial"/>
          <w:sz w:val="19"/>
          <w:szCs w:val="19"/>
          <w:color w:val="auto"/>
        </w:rPr>
      </w:pPr>
    </w:p>
    <w:p>
      <w:pPr>
        <w:jc w:val="both"/>
        <w:ind w:left="60" w:firstLine="644"/>
        <w:spacing w:after="0" w:line="223" w:lineRule="auto"/>
        <w:tabs>
          <w:tab w:leader="none" w:pos="1236" w:val="left"/>
        </w:tabs>
        <w:numPr>
          <w:ilvl w:val="1"/>
          <w:numId w:val="300"/>
        </w:numPr>
        <w:rPr>
          <w:rFonts w:ascii="Arial" w:cs="Arial" w:eastAsia="Arial" w:hAnsi="Arial"/>
          <w:sz w:val="19"/>
          <w:szCs w:val="19"/>
          <w:color w:val="auto"/>
        </w:rPr>
      </w:pPr>
      <w:r>
        <w:rPr>
          <w:rFonts w:ascii="Arial" w:cs="Arial" w:eastAsia="Arial" w:hAnsi="Arial"/>
          <w:sz w:val="19"/>
          <w:szCs w:val="19"/>
          <w:color w:val="auto"/>
        </w:rPr>
        <w:t>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Administrative Agent and the Borrowers in connection with the establishment of such new Class or tranche (including to preserve the pro rata treatment of the extended and non-extended Classes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88" w:name="page189"/>
    <w:bookmarkEnd w:id="188"/>
    <w:p>
      <w:pPr>
        <w:spacing w:after="0" w:line="209" w:lineRule="exact"/>
        <w:rPr>
          <w:sz w:val="20"/>
          <w:szCs w:val="20"/>
          <w:color w:val="auto"/>
        </w:rPr>
      </w:pPr>
    </w:p>
    <w:p>
      <w:pPr>
        <w:ind w:left="60" w:right="300"/>
        <w:spacing w:after="0" w:line="236" w:lineRule="auto"/>
        <w:rPr>
          <w:sz w:val="20"/>
          <w:szCs w:val="20"/>
          <w:color w:val="auto"/>
        </w:rPr>
      </w:pPr>
      <w:r>
        <w:rPr>
          <w:rFonts w:ascii="Arial" w:cs="Arial" w:eastAsia="Arial" w:hAnsi="Arial"/>
          <w:sz w:val="20"/>
          <w:szCs w:val="20"/>
          <w:color w:val="auto"/>
        </w:rPr>
        <w:t>tranches and to provide for the reallocation of Revolving Credit Exposure upon the expiration or termination of the commitments under any Class or tranche), in each case on terms consistent with this section.</w:t>
      </w:r>
    </w:p>
    <w:p>
      <w:pPr>
        <w:spacing w:after="0" w:line="196" w:lineRule="exact"/>
        <w:rPr>
          <w:sz w:val="20"/>
          <w:szCs w:val="20"/>
          <w:color w:val="auto"/>
        </w:rPr>
      </w:pPr>
    </w:p>
    <w:p>
      <w:pPr>
        <w:jc w:val="both"/>
        <w:ind w:left="60" w:right="20" w:firstLine="644"/>
        <w:spacing w:after="0" w:line="246" w:lineRule="auto"/>
        <w:tabs>
          <w:tab w:leader="none" w:pos="123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Notwithstanding the terms of Sections 5.13, 5.18 and 5.19,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CONDITIONS OF CLOSING AND BORROWING</w:t>
      </w:r>
    </w:p>
    <w:p>
      <w:pPr>
        <w:spacing w:after="0" w:line="216"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color w:val="auto"/>
        </w:rPr>
        <w:t>Conditions to Closing and Initial Extensions of Credit</w:t>
      </w:r>
    </w:p>
    <w:p>
      <w:pPr>
        <w:spacing w:after="0" w:line="283" w:lineRule="exact"/>
        <w:rPr>
          <w:sz w:val="20"/>
          <w:szCs w:val="20"/>
          <w:color w:val="auto"/>
        </w:rPr>
      </w:pPr>
    </w:p>
    <w:p>
      <w:pPr>
        <w:ind w:left="60" w:hanging="4"/>
        <w:spacing w:after="0" w:line="236" w:lineRule="auto"/>
        <w:tabs>
          <w:tab w:leader="none" w:pos="1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obligation of the Lenders to close this Agreement and to make the initial Loans or issue or participate in the initial Letter of Credit, if any, on the Closing Date is subject to the satisfaction of each of the following conditions:</w:t>
      </w:r>
    </w:p>
    <w:p>
      <w:pPr>
        <w:spacing w:after="0" w:line="195" w:lineRule="exact"/>
        <w:rPr>
          <w:rFonts w:ascii="Arial" w:cs="Arial" w:eastAsia="Arial" w:hAnsi="Arial"/>
          <w:sz w:val="20"/>
          <w:szCs w:val="20"/>
          <w:color w:val="auto"/>
        </w:rPr>
      </w:pPr>
    </w:p>
    <w:p>
      <w:pPr>
        <w:jc w:val="both"/>
        <w:ind w:left="60" w:firstLine="644"/>
        <w:spacing w:after="0" w:line="226" w:lineRule="auto"/>
        <w:tabs>
          <w:tab w:leader="none" w:pos="1236" w:val="left"/>
        </w:tabs>
        <w:numPr>
          <w:ilvl w:val="1"/>
          <w:numId w:val="302"/>
        </w:numPr>
        <w:rPr>
          <w:rFonts w:ascii="Arial" w:cs="Arial" w:eastAsia="Arial" w:hAnsi="Arial"/>
          <w:sz w:val="19"/>
          <w:szCs w:val="19"/>
          <w:color w:val="auto"/>
        </w:rPr>
      </w:pPr>
      <w:r>
        <w:rPr>
          <w:rFonts w:ascii="Arial" w:cs="Arial" w:eastAsia="Arial" w:hAnsi="Arial"/>
          <w:sz w:val="19"/>
          <w:szCs w:val="19"/>
          <w:color w:val="auto"/>
        </w:rPr>
        <w:t>Executed Loan Documents. This Agreement, a US Revolving Credit Note and a Canadian Revolving Credit Note in favor of each Revolving Credit Lender requesting a US Revolving Credit Note and a Canadian Revolving Credit Note, a US Term Loan Note and a Canadian Term Loan Note in favor of each Term Loan Lender requesting a US Term Loan Note, a US Swingline Note in favor of the Swingline Lender and a Canadian Swingline Note in favor of the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w:t>
      </w:r>
    </w:p>
    <w:p>
      <w:pPr>
        <w:spacing w:after="0" w:line="196" w:lineRule="exact"/>
        <w:rPr>
          <w:rFonts w:ascii="Arial" w:cs="Arial" w:eastAsia="Arial" w:hAnsi="Arial"/>
          <w:sz w:val="19"/>
          <w:szCs w:val="19"/>
          <w:color w:val="auto"/>
        </w:rPr>
      </w:pPr>
    </w:p>
    <w:p>
      <w:pPr>
        <w:ind w:left="60" w:right="20" w:firstLine="644"/>
        <w:spacing w:after="0" w:line="236" w:lineRule="auto"/>
        <w:tabs>
          <w:tab w:leader="none" w:pos="1236" w:val="left"/>
        </w:tabs>
        <w:numPr>
          <w:ilvl w:val="1"/>
          <w:numId w:val="302"/>
        </w:numPr>
        <w:rPr>
          <w:rFonts w:ascii="Arial" w:cs="Arial" w:eastAsia="Arial" w:hAnsi="Arial"/>
          <w:sz w:val="20"/>
          <w:szCs w:val="20"/>
          <w:color w:val="auto"/>
        </w:rPr>
      </w:pPr>
      <w:r>
        <w:rPr>
          <w:rFonts w:ascii="Arial" w:cs="Arial" w:eastAsia="Arial" w:hAnsi="Arial"/>
          <w:sz w:val="20"/>
          <w:szCs w:val="20"/>
          <w:color w:val="auto"/>
        </w:rPr>
        <w:t>Closing Certificates; Etc. The Administrative Agent shall have received each of the following in form and substance reasonably satisfactory to the Administrative Agent:</w:t>
      </w:r>
    </w:p>
    <w:p>
      <w:pPr>
        <w:spacing w:after="0" w:line="195" w:lineRule="exact"/>
        <w:rPr>
          <w:rFonts w:ascii="Arial" w:cs="Arial" w:eastAsia="Arial" w:hAnsi="Arial"/>
          <w:sz w:val="20"/>
          <w:szCs w:val="20"/>
          <w:color w:val="auto"/>
        </w:rPr>
      </w:pPr>
    </w:p>
    <w:p>
      <w:pPr>
        <w:jc w:val="both"/>
        <w:ind w:left="700" w:firstLine="652"/>
        <w:spacing w:after="0" w:line="224" w:lineRule="auto"/>
        <w:tabs>
          <w:tab w:leader="none" w:pos="1877" w:val="left"/>
        </w:tabs>
        <w:numPr>
          <w:ilvl w:val="2"/>
          <w:numId w:val="302"/>
        </w:numPr>
        <w:rPr>
          <w:rFonts w:ascii="Arial" w:cs="Arial" w:eastAsia="Arial" w:hAnsi="Arial"/>
          <w:sz w:val="19"/>
          <w:szCs w:val="19"/>
          <w:color w:val="auto"/>
        </w:rPr>
      </w:pPr>
      <w:r>
        <w:rPr>
          <w:rFonts w:ascii="Arial" w:cs="Arial" w:eastAsia="Arial" w:hAnsi="Arial"/>
          <w:sz w:val="19"/>
          <w:szCs w:val="19"/>
          <w:color w:val="auto"/>
        </w:rPr>
        <w:t>Officer’s Certificate.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provided that the only representations and warranties under this Agreement or any other Loan Document the accuracy of which shall be a condition to the availability of the initial Extensions of Credit on the Closing Date shall be the Specified Representations; (B) the condition set forth in Section 6.1(f)(iv) is satisfied; (C) attached thereto is a true and correct copy of the Drum Merger Agreement as in effect on the Closing Date; and (D) each of the Credit Parties, as applicable, has satisfied each of the conditions set forth in Section 6.1 and Section 6.2.</w:t>
      </w:r>
    </w:p>
    <w:p>
      <w:pPr>
        <w:spacing w:after="0" w:line="257" w:lineRule="exact"/>
        <w:rPr>
          <w:rFonts w:ascii="Arial" w:cs="Arial" w:eastAsia="Arial" w:hAnsi="Arial"/>
          <w:sz w:val="19"/>
          <w:szCs w:val="19"/>
          <w:color w:val="auto"/>
        </w:rPr>
      </w:pPr>
    </w:p>
    <w:p>
      <w:pPr>
        <w:jc w:val="both"/>
        <w:ind w:left="700" w:firstLine="652"/>
        <w:spacing w:after="0" w:line="241" w:lineRule="auto"/>
        <w:tabs>
          <w:tab w:leader="none" w:pos="1888" w:val="left"/>
        </w:tabs>
        <w:numPr>
          <w:ilvl w:val="2"/>
          <w:numId w:val="302"/>
        </w:numPr>
        <w:rPr>
          <w:rFonts w:ascii="Arial" w:cs="Arial" w:eastAsia="Arial" w:hAnsi="Arial"/>
          <w:sz w:val="18"/>
          <w:szCs w:val="18"/>
          <w:color w:val="auto"/>
        </w:rPr>
      </w:pPr>
      <w:r>
        <w:rPr>
          <w:rFonts w:ascii="Arial" w:cs="Arial" w:eastAsia="Arial" w:hAnsi="Arial"/>
          <w:sz w:val="18"/>
          <w:szCs w:val="18"/>
          <w:color w:val="auto"/>
        </w:rPr>
        <w:t>Officer’s Certificate of each Credit Party.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89" w:name="page190"/>
    <w:bookmarkEnd w:id="189"/>
    <w:p>
      <w:pPr>
        <w:ind w:left="680"/>
        <w:spacing w:after="0"/>
        <w:rPr>
          <w:sz w:val="20"/>
          <w:szCs w:val="20"/>
          <w:color w:val="auto"/>
        </w:rPr>
      </w:pPr>
      <w:r>
        <w:rPr>
          <w:rFonts w:ascii="Arial" w:cs="Arial" w:eastAsia="Arial" w:hAnsi="Arial"/>
          <w:sz w:val="18"/>
          <w:szCs w:val="18"/>
          <w:color w:val="auto"/>
        </w:rPr>
        <w:t>Closing Date, (C) resolutions duly adopted by the board of directors (or other governing body) of such Credit Party authorizing</w:t>
      </w:r>
    </w:p>
    <w:p>
      <w:pPr>
        <w:spacing w:after="0" w:line="12" w:lineRule="exact"/>
        <w:rPr>
          <w:sz w:val="20"/>
          <w:szCs w:val="20"/>
          <w:color w:val="auto"/>
        </w:rPr>
      </w:pPr>
    </w:p>
    <w:p>
      <w:pPr>
        <w:ind w:left="680" w:right="20"/>
        <w:spacing w:after="0" w:line="226" w:lineRule="auto"/>
        <w:rPr>
          <w:sz w:val="20"/>
          <w:szCs w:val="20"/>
          <w:color w:val="auto"/>
        </w:rPr>
      </w:pPr>
      <w:r>
        <w:rPr>
          <w:rFonts w:ascii="Arial" w:cs="Arial" w:eastAsia="Arial" w:hAnsi="Arial"/>
          <w:sz w:val="18"/>
          <w:szCs w:val="18"/>
          <w:color w:val="auto"/>
        </w:rPr>
        <w:t>and approving the transactions contemplated hereunder and the execution, delivery and performance of this Agreement and the other Loan Documents to which it is a party, and (D) with respect to the US Credit Parties only, each certificate required to be</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delivered pursuant to Section 6.1(b)(iii).</w:t>
      </w:r>
    </w:p>
    <w:p>
      <w:pPr>
        <w:spacing w:after="0" w:line="267" w:lineRule="exact"/>
        <w:rPr>
          <w:sz w:val="20"/>
          <w:szCs w:val="20"/>
          <w:color w:val="auto"/>
        </w:rPr>
      </w:pPr>
    </w:p>
    <w:p>
      <w:pPr>
        <w:ind w:left="680" w:firstLine="654"/>
        <w:spacing w:after="0" w:line="236" w:lineRule="auto"/>
        <w:tabs>
          <w:tab w:leader="none" w:pos="1884" w:val="left"/>
        </w:tabs>
        <w:numPr>
          <w:ilvl w:val="1"/>
          <w:numId w:val="303"/>
        </w:numPr>
        <w:rPr>
          <w:rFonts w:ascii="Arial" w:cs="Arial" w:eastAsia="Arial" w:hAnsi="Arial"/>
          <w:sz w:val="20"/>
          <w:szCs w:val="20"/>
          <w:color w:val="auto"/>
        </w:rPr>
      </w:pPr>
      <w:r>
        <w:rPr>
          <w:rFonts w:ascii="Arial" w:cs="Arial" w:eastAsia="Arial" w:hAnsi="Arial"/>
          <w:sz w:val="20"/>
          <w:szCs w:val="20"/>
          <w:color w:val="auto"/>
        </w:rPr>
        <w:t>Certificates of Good Standing. Certificates as of a recent date of the good standing of each Credit Party under the laws of its jurisdiction of incorporation, organization or formation (or equivalent), as applicable.</w:t>
      </w:r>
    </w:p>
    <w:p>
      <w:pPr>
        <w:spacing w:after="0" w:line="195" w:lineRule="exact"/>
        <w:rPr>
          <w:rFonts w:ascii="Arial" w:cs="Arial" w:eastAsia="Arial" w:hAnsi="Arial"/>
          <w:sz w:val="20"/>
          <w:szCs w:val="20"/>
          <w:color w:val="auto"/>
        </w:rPr>
      </w:pPr>
    </w:p>
    <w:p>
      <w:pPr>
        <w:jc w:val="both"/>
        <w:ind w:left="680" w:right="20" w:firstLine="654"/>
        <w:spacing w:after="0" w:line="220" w:lineRule="auto"/>
        <w:tabs>
          <w:tab w:leader="none" w:pos="1881" w:val="left"/>
        </w:tabs>
        <w:numPr>
          <w:ilvl w:val="1"/>
          <w:numId w:val="303"/>
        </w:numPr>
        <w:rPr>
          <w:rFonts w:ascii="Arial" w:cs="Arial" w:eastAsia="Arial" w:hAnsi="Arial"/>
          <w:sz w:val="20"/>
          <w:szCs w:val="20"/>
          <w:color w:val="auto"/>
        </w:rPr>
      </w:pPr>
      <w:r>
        <w:rPr>
          <w:rFonts w:ascii="Arial" w:cs="Arial" w:eastAsia="Arial" w:hAnsi="Arial"/>
          <w:sz w:val="20"/>
          <w:szCs w:val="20"/>
          <w:color w:val="auto"/>
        </w:rPr>
        <w:t>Opinions of Counsel.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196" w:lineRule="exact"/>
        <w:rPr>
          <w:rFonts w:ascii="Arial" w:cs="Arial" w:eastAsia="Arial" w:hAnsi="Arial"/>
          <w:sz w:val="20"/>
          <w:szCs w:val="20"/>
          <w:color w:val="auto"/>
        </w:rPr>
      </w:pPr>
    </w:p>
    <w:p>
      <w:pPr>
        <w:ind w:left="1320" w:hanging="634"/>
        <w:spacing w:after="0"/>
        <w:tabs>
          <w:tab w:leader="none" w:pos="132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Personal Property Collateral.</w:t>
      </w:r>
    </w:p>
    <w:p>
      <w:pPr>
        <w:spacing w:after="0" w:line="283" w:lineRule="exact"/>
        <w:rPr>
          <w:rFonts w:ascii="Arial" w:cs="Arial" w:eastAsia="Arial" w:hAnsi="Arial"/>
          <w:sz w:val="20"/>
          <w:szCs w:val="20"/>
          <w:color w:val="auto"/>
        </w:rPr>
      </w:pPr>
    </w:p>
    <w:p>
      <w:pPr>
        <w:jc w:val="both"/>
        <w:ind w:left="680" w:firstLine="654"/>
        <w:spacing w:after="0" w:line="218" w:lineRule="auto"/>
        <w:tabs>
          <w:tab w:leader="none" w:pos="1884" w:val="left"/>
        </w:tabs>
        <w:numPr>
          <w:ilvl w:val="1"/>
          <w:numId w:val="304"/>
        </w:numPr>
        <w:rPr>
          <w:rFonts w:ascii="Arial" w:cs="Arial" w:eastAsia="Arial" w:hAnsi="Arial"/>
          <w:sz w:val="20"/>
          <w:szCs w:val="20"/>
          <w:color w:val="auto"/>
        </w:rPr>
      </w:pPr>
      <w:r>
        <w:rPr>
          <w:rFonts w:ascii="Arial" w:cs="Arial" w:eastAsia="Arial" w:hAnsi="Arial"/>
          <w:sz w:val="20"/>
          <w:szCs w:val="20"/>
          <w:color w:val="auto"/>
        </w:rPr>
        <w:t>Filings and Recordings. The Administrative Agent shall have received all filings and recordations that are necessary to perfect the security interests of the Administrative Agent, on behalf of the US Secured Parties and the Canadian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97" w:lineRule="exact"/>
        <w:rPr>
          <w:rFonts w:ascii="Arial" w:cs="Arial" w:eastAsia="Arial" w:hAnsi="Arial"/>
          <w:sz w:val="20"/>
          <w:szCs w:val="20"/>
          <w:color w:val="auto"/>
        </w:rPr>
      </w:pPr>
    </w:p>
    <w:p>
      <w:pPr>
        <w:jc w:val="both"/>
        <w:ind w:left="680" w:firstLine="654"/>
        <w:spacing w:after="0" w:line="218" w:lineRule="auto"/>
        <w:tabs>
          <w:tab w:leader="none" w:pos="1881" w:val="left"/>
        </w:tabs>
        <w:numPr>
          <w:ilvl w:val="1"/>
          <w:numId w:val="304"/>
        </w:numPr>
        <w:rPr>
          <w:rFonts w:ascii="Arial" w:cs="Arial" w:eastAsia="Arial" w:hAnsi="Arial"/>
          <w:sz w:val="20"/>
          <w:szCs w:val="20"/>
          <w:color w:val="auto"/>
        </w:rPr>
      </w:pPr>
      <w:r>
        <w:rPr>
          <w:rFonts w:ascii="Arial" w:cs="Arial" w:eastAsia="Arial" w:hAnsi="Arial"/>
          <w:sz w:val="20"/>
          <w:szCs w:val="20"/>
          <w:color w:val="auto"/>
        </w:rPr>
        <w:t>Pledged Collateral. The Administrative Agent shall have received, subject to Section 8.19,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197" w:lineRule="exact"/>
        <w:rPr>
          <w:rFonts w:ascii="Arial" w:cs="Arial" w:eastAsia="Arial" w:hAnsi="Arial"/>
          <w:sz w:val="20"/>
          <w:szCs w:val="20"/>
          <w:color w:val="auto"/>
        </w:rPr>
      </w:pPr>
    </w:p>
    <w:p>
      <w:pPr>
        <w:jc w:val="both"/>
        <w:ind w:left="680" w:firstLine="654"/>
        <w:spacing w:after="0" w:line="220" w:lineRule="auto"/>
        <w:tabs>
          <w:tab w:leader="none" w:pos="1884" w:val="left"/>
        </w:tabs>
        <w:numPr>
          <w:ilvl w:val="1"/>
          <w:numId w:val="304"/>
        </w:numPr>
        <w:rPr>
          <w:rFonts w:ascii="Arial" w:cs="Arial" w:eastAsia="Arial" w:hAnsi="Arial"/>
          <w:sz w:val="20"/>
          <w:szCs w:val="20"/>
          <w:color w:val="auto"/>
        </w:rPr>
      </w:pPr>
      <w:r>
        <w:rPr>
          <w:rFonts w:ascii="Arial" w:cs="Arial" w:eastAsia="Arial" w:hAnsi="Arial"/>
          <w:sz w:val="20"/>
          <w:szCs w:val="20"/>
          <w:color w:val="auto"/>
        </w:rPr>
        <w:t>Lien Search.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196" w:lineRule="exact"/>
        <w:rPr>
          <w:rFonts w:ascii="Arial" w:cs="Arial" w:eastAsia="Arial" w:hAnsi="Arial"/>
          <w:sz w:val="20"/>
          <w:szCs w:val="20"/>
          <w:color w:val="auto"/>
        </w:rPr>
      </w:pPr>
    </w:p>
    <w:p>
      <w:pPr>
        <w:ind w:left="1320" w:hanging="634"/>
        <w:spacing w:after="0"/>
        <w:tabs>
          <w:tab w:leader="none" w:pos="132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83" w:lineRule="exact"/>
        <w:rPr>
          <w:rFonts w:ascii="Arial" w:cs="Arial" w:eastAsia="Arial" w:hAnsi="Arial"/>
          <w:sz w:val="20"/>
          <w:szCs w:val="20"/>
          <w:color w:val="auto"/>
        </w:rPr>
      </w:pPr>
    </w:p>
    <w:p>
      <w:pPr>
        <w:ind w:left="1320" w:hanging="634"/>
        <w:spacing w:after="0"/>
        <w:tabs>
          <w:tab w:leader="none" w:pos="132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Financial Matters.</w:t>
      </w:r>
    </w:p>
    <w:p>
      <w:pPr>
        <w:spacing w:after="0" w:line="283" w:lineRule="exact"/>
        <w:rPr>
          <w:rFonts w:ascii="Arial" w:cs="Arial" w:eastAsia="Arial" w:hAnsi="Arial"/>
          <w:sz w:val="20"/>
          <w:szCs w:val="20"/>
          <w:color w:val="auto"/>
        </w:rPr>
      </w:pPr>
    </w:p>
    <w:p>
      <w:pPr>
        <w:jc w:val="both"/>
        <w:ind w:left="680" w:firstLine="654"/>
        <w:spacing w:after="0" w:line="265" w:lineRule="auto"/>
        <w:tabs>
          <w:tab w:leader="none" w:pos="1884" w:val="left"/>
        </w:tabs>
        <w:numPr>
          <w:ilvl w:val="1"/>
          <w:numId w:val="304"/>
        </w:numPr>
        <w:rPr>
          <w:rFonts w:ascii="Arial" w:cs="Arial" w:eastAsia="Arial" w:hAnsi="Arial"/>
          <w:sz w:val="16"/>
          <w:szCs w:val="16"/>
          <w:color w:val="auto"/>
        </w:rPr>
      </w:pPr>
      <w:r>
        <w:rPr>
          <w:rFonts w:ascii="Arial" w:cs="Arial" w:eastAsia="Arial" w:hAnsi="Arial"/>
          <w:sz w:val="16"/>
          <w:szCs w:val="16"/>
          <w:color w:val="auto"/>
        </w:rPr>
        <w:t>Financial Statements. The Agents shall have received (A) the audited Consolidated balance sheet of Centuri and its Subsidiaries for the Fiscal Year ended on December 31, 2020 and the related audited statements of income and retained earnings and cash flows for each such Fiscal Year, (B) an unaudited Consolidated balance sheet of Centuri and its Subsidiaries for the fiscal</w:t>
      </w:r>
    </w:p>
    <w:p>
      <w:pPr>
        <w:spacing w:after="0" w:line="1" w:lineRule="exact"/>
        <w:rPr>
          <w:sz w:val="20"/>
          <w:szCs w:val="20"/>
          <w:color w:val="auto"/>
        </w:rPr>
      </w:pPr>
    </w:p>
    <w:p>
      <w:pPr>
        <w:ind w:left="680" w:right="20"/>
        <w:spacing w:after="0" w:line="204" w:lineRule="auto"/>
        <w:rPr>
          <w:sz w:val="20"/>
          <w:szCs w:val="20"/>
          <w:color w:val="auto"/>
        </w:rPr>
      </w:pPr>
      <w:r>
        <w:rPr>
          <w:rFonts w:ascii="Arial" w:cs="Arial" w:eastAsia="Arial" w:hAnsi="Arial"/>
          <w:sz w:val="20"/>
          <w:szCs w:val="20"/>
          <w:color w:val="auto"/>
        </w:rPr>
        <w:t>quarter ended on June 30, 2021 and related statements of operations for the six-month period then ended and such financial statements described in this clause (B) are publicly available,</w:t>
      </w:r>
    </w:p>
    <w:p>
      <w:pPr>
        <w:spacing w:after="0" w:line="1" w:lineRule="exact"/>
        <w:rPr>
          <w:sz w:val="20"/>
          <w:szCs w:val="20"/>
          <w:color w:val="auto"/>
        </w:rPr>
      </w:pPr>
    </w:p>
    <w:p>
      <w:pPr>
        <w:jc w:val="both"/>
        <w:ind w:left="680" w:firstLine="6"/>
        <w:spacing w:after="0" w:line="216" w:lineRule="auto"/>
        <w:tabs>
          <w:tab w:leader="none" w:pos="1235" w:val="left"/>
        </w:tabs>
        <w:numPr>
          <w:ilvl w:val="0"/>
          <w:numId w:val="305"/>
        </w:numPr>
        <w:rPr>
          <w:rFonts w:ascii="Arial" w:cs="Arial" w:eastAsia="Arial" w:hAnsi="Arial"/>
          <w:sz w:val="20"/>
          <w:szCs w:val="20"/>
          <w:color w:val="auto"/>
        </w:rPr>
      </w:pPr>
      <w:r>
        <w:rPr>
          <w:rFonts w:ascii="Arial" w:cs="Arial" w:eastAsia="Arial" w:hAnsi="Arial"/>
          <w:sz w:val="20"/>
          <w:szCs w:val="20"/>
          <w:color w:val="auto"/>
        </w:rPr>
        <w:t>unaudited Consolidated balance sheets and the related Consolidated statements of income and cash flows of Centuri and its Subsidiaries for each interim fiscal quarter ended after June 30, 2021 and at least 45 days prior to the Closing Date, (D) the audited Consolidated balance sheet of Drum and its Subsidiaries for the fiscal years ended December 31, 2020 and December 31, 2019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190" w:name="page191"/>
    <w:bookmarkEnd w:id="190"/>
    <w:p>
      <w:pPr>
        <w:spacing w:after="0" w:line="19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related audited statements of income and retained earnings and cash flows for each such fiscal year,</w:t>
      </w:r>
    </w:p>
    <w:p>
      <w:pPr>
        <w:jc w:val="both"/>
        <w:ind w:left="680" w:firstLine="6"/>
        <w:spacing w:after="0" w:line="216" w:lineRule="auto"/>
        <w:tabs>
          <w:tab w:leader="none" w:pos="984" w:val="left"/>
        </w:tabs>
        <w:numPr>
          <w:ilvl w:val="1"/>
          <w:numId w:val="306"/>
        </w:numPr>
        <w:rPr>
          <w:rFonts w:ascii="Arial" w:cs="Arial" w:eastAsia="Arial" w:hAnsi="Arial"/>
          <w:sz w:val="20"/>
          <w:szCs w:val="20"/>
          <w:color w:val="auto"/>
        </w:rPr>
      </w:pPr>
      <w:r>
        <w:rPr>
          <w:rFonts w:ascii="Arial" w:cs="Arial" w:eastAsia="Arial" w:hAnsi="Arial"/>
          <w:sz w:val="20"/>
          <w:szCs w:val="20"/>
          <w:color w:val="auto"/>
        </w:rPr>
        <w:t>an unaudited Consolidated balance sheet of Drum and its Subsidiaries for the fiscal quarter ended on June 30, 2021 and related statements of operations for the six-month period then ended and (F) unaudited Consolidated balance sheets and the related Consolidated statements of income and cash flows of Drum and its Subsidiaries for each interim fiscal quarter ended after June 30, 2021 and at least 45 days prior to the Closing Date.</w:t>
      </w:r>
    </w:p>
    <w:p>
      <w:pPr>
        <w:spacing w:after="0" w:line="195" w:lineRule="exact"/>
        <w:rPr>
          <w:rFonts w:ascii="Arial" w:cs="Arial" w:eastAsia="Arial" w:hAnsi="Arial"/>
          <w:sz w:val="20"/>
          <w:szCs w:val="20"/>
          <w:color w:val="auto"/>
        </w:rPr>
      </w:pPr>
    </w:p>
    <w:p>
      <w:pPr>
        <w:jc w:val="both"/>
        <w:ind w:left="680" w:firstLine="654"/>
        <w:spacing w:after="0" w:line="236" w:lineRule="auto"/>
        <w:tabs>
          <w:tab w:leader="none" w:pos="1881" w:val="left"/>
        </w:tabs>
        <w:numPr>
          <w:ilvl w:val="2"/>
          <w:numId w:val="306"/>
        </w:numPr>
        <w:rPr>
          <w:rFonts w:ascii="Arial" w:cs="Arial" w:eastAsia="Arial" w:hAnsi="Arial"/>
          <w:sz w:val="18"/>
          <w:szCs w:val="18"/>
          <w:color w:val="auto"/>
        </w:rPr>
      </w:pPr>
      <w:r>
        <w:rPr>
          <w:rFonts w:ascii="Arial" w:cs="Arial" w:eastAsia="Arial" w:hAnsi="Arial"/>
          <w:sz w:val="18"/>
          <w:szCs w:val="18"/>
          <w:color w:val="auto"/>
        </w:rPr>
        <w:t>Financial Condition/Solvency Certificate. Centuri shall have delivered to the Administrative Agent a certificate, in form and substance satisfactory to the Administrative Agent, and certified as accurate by the chief financial officer of Centuri, that</w:t>
      </w:r>
    </w:p>
    <w:p>
      <w:pPr>
        <w:jc w:val="both"/>
        <w:ind w:left="680" w:firstLine="6"/>
        <w:spacing w:after="0" w:line="222" w:lineRule="auto"/>
        <w:tabs>
          <w:tab w:leader="none" w:pos="1012" w:val="left"/>
        </w:tabs>
        <w:numPr>
          <w:ilvl w:val="1"/>
          <w:numId w:val="307"/>
        </w:numPr>
        <w:rPr>
          <w:rFonts w:ascii="Arial" w:cs="Arial" w:eastAsia="Arial" w:hAnsi="Arial"/>
          <w:sz w:val="20"/>
          <w:szCs w:val="20"/>
          <w:color w:val="auto"/>
        </w:rPr>
      </w:pPr>
      <w:r>
        <w:rPr>
          <w:rFonts w:ascii="Arial" w:cs="Arial" w:eastAsia="Arial" w:hAnsi="Arial"/>
          <w:sz w:val="20"/>
          <w:szCs w:val="20"/>
          <w:color w:val="auto"/>
        </w:rPr>
        <w:t>after giving effect to the Transactions, Centuri and its Subsidiaries, on a Consolidated basis, are Solvent and (B) the financial projections previously delivered to the Agents represent the good faith estimates (utilizing reasonable assumptions) of the financial condition and operations of the Consolidated Companies.</w:t>
      </w:r>
    </w:p>
    <w:p>
      <w:pPr>
        <w:spacing w:after="0" w:line="209" w:lineRule="exact"/>
        <w:rPr>
          <w:rFonts w:ascii="Arial" w:cs="Arial" w:eastAsia="Arial" w:hAnsi="Arial"/>
          <w:sz w:val="20"/>
          <w:szCs w:val="20"/>
          <w:color w:val="auto"/>
        </w:rPr>
      </w:pPr>
    </w:p>
    <w:p>
      <w:pPr>
        <w:ind w:left="1980" w:hanging="646"/>
        <w:spacing w:after="0"/>
        <w:tabs>
          <w:tab w:leader="none" w:pos="1980" w:val="left"/>
        </w:tabs>
        <w:numPr>
          <w:ilvl w:val="2"/>
          <w:numId w:val="307"/>
        </w:numPr>
        <w:rPr>
          <w:rFonts w:ascii="Arial" w:cs="Arial" w:eastAsia="Arial" w:hAnsi="Arial"/>
          <w:sz w:val="20"/>
          <w:szCs w:val="20"/>
          <w:color w:val="auto"/>
        </w:rPr>
      </w:pPr>
      <w:r>
        <w:rPr>
          <w:rFonts w:ascii="Arial" w:cs="Arial" w:eastAsia="Arial" w:hAnsi="Arial"/>
          <w:sz w:val="20"/>
          <w:szCs w:val="20"/>
          <w:color w:val="auto"/>
        </w:rPr>
        <w:t>Payment at Closing. If an invoice has been provided to Centuri not less than two</w:t>
      </w:r>
    </w:p>
    <w:p>
      <w:pPr>
        <w:spacing w:after="0" w:line="2" w:lineRule="exact"/>
        <w:rPr>
          <w:rFonts w:ascii="Arial" w:cs="Arial" w:eastAsia="Arial" w:hAnsi="Arial"/>
          <w:sz w:val="20"/>
          <w:szCs w:val="20"/>
          <w:color w:val="auto"/>
        </w:rPr>
      </w:pPr>
    </w:p>
    <w:p>
      <w:pPr>
        <w:jc w:val="both"/>
        <w:ind w:left="680" w:firstLine="5"/>
        <w:spacing w:after="0" w:line="233" w:lineRule="auto"/>
        <w:tabs>
          <w:tab w:leader="none" w:pos="96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Business Days prior to the Closing Date, the Borrowers shall have paid or made arrangements to pay contemporaneously with closing (A) to the Administrative Agent, the Arrangers and the Lenders the fees set forth or referenced in Section 5.3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200" w:lineRule="exact"/>
        <w:rPr>
          <w:sz w:val="20"/>
          <w:szCs w:val="20"/>
          <w:color w:val="auto"/>
        </w:rPr>
      </w:pPr>
    </w:p>
    <w:p>
      <w:pPr>
        <w:ind w:left="1320" w:hanging="635"/>
        <w:spacing w:after="0"/>
        <w:tabs>
          <w:tab w:leader="none" w:pos="132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Drum Acquisition.</w:t>
      </w:r>
    </w:p>
    <w:p>
      <w:pPr>
        <w:spacing w:after="0" w:line="283" w:lineRule="exact"/>
        <w:rPr>
          <w:rFonts w:ascii="Arial" w:cs="Arial" w:eastAsia="Arial" w:hAnsi="Arial"/>
          <w:sz w:val="20"/>
          <w:szCs w:val="20"/>
          <w:color w:val="auto"/>
        </w:rPr>
      </w:pPr>
    </w:p>
    <w:p>
      <w:pPr>
        <w:jc w:val="both"/>
        <w:ind w:left="680" w:firstLine="654"/>
        <w:spacing w:after="0" w:line="218" w:lineRule="auto"/>
        <w:tabs>
          <w:tab w:leader="none" w:pos="1884" w:val="left"/>
        </w:tabs>
        <w:numPr>
          <w:ilvl w:val="1"/>
          <w:numId w:val="309"/>
        </w:numPr>
        <w:rPr>
          <w:rFonts w:ascii="Arial" w:cs="Arial" w:eastAsia="Arial" w:hAnsi="Arial"/>
          <w:sz w:val="20"/>
          <w:szCs w:val="20"/>
          <w:color w:val="auto"/>
        </w:rPr>
      </w:pPr>
      <w:r>
        <w:rPr>
          <w:rFonts w:ascii="Arial" w:cs="Arial" w:eastAsia="Arial" w:hAnsi="Arial"/>
          <w:sz w:val="20"/>
          <w:szCs w:val="20"/>
          <w:color w:val="auto"/>
        </w:rPr>
        <w:t>Consummation of the Drum Acquisition. The Drum Acquisition (including the payment of all amounts due and payable in connection with the consummation of the Drum Acquisition) shall be, or shall have been, consummated in accordance with the Drum Merger Agreement without giving effect to any waivers, modifications, or consents thereof that are materially adverse to the Lenders (as reasonably determined by the Agents) unless such waivers, modifications, or consents are approved in writing by the Agents.</w:t>
      </w:r>
    </w:p>
    <w:p>
      <w:pPr>
        <w:spacing w:after="0" w:line="197" w:lineRule="exact"/>
        <w:rPr>
          <w:rFonts w:ascii="Arial" w:cs="Arial" w:eastAsia="Arial" w:hAnsi="Arial"/>
          <w:sz w:val="20"/>
          <w:szCs w:val="20"/>
          <w:color w:val="auto"/>
        </w:rPr>
      </w:pPr>
    </w:p>
    <w:p>
      <w:pPr>
        <w:ind w:left="680" w:right="20" w:firstLine="654"/>
        <w:spacing w:after="0" w:line="236" w:lineRule="auto"/>
        <w:tabs>
          <w:tab w:leader="none" w:pos="1881" w:val="left"/>
        </w:tabs>
        <w:numPr>
          <w:ilvl w:val="1"/>
          <w:numId w:val="309"/>
        </w:numPr>
        <w:rPr>
          <w:rFonts w:ascii="Arial" w:cs="Arial" w:eastAsia="Arial" w:hAnsi="Arial"/>
          <w:sz w:val="20"/>
          <w:szCs w:val="20"/>
          <w:color w:val="auto"/>
        </w:rPr>
      </w:pPr>
      <w:r>
        <w:rPr>
          <w:rFonts w:ascii="Arial" w:cs="Arial" w:eastAsia="Arial" w:hAnsi="Arial"/>
          <w:sz w:val="20"/>
          <w:szCs w:val="20"/>
          <w:color w:val="auto"/>
        </w:rPr>
        <w:t>Drum Merger Agreement. The Arrangers shall have received true, correct and fully executed copies of the Drum Merger Agreement.</w:t>
      </w:r>
    </w:p>
    <w:p>
      <w:pPr>
        <w:spacing w:after="0" w:line="195" w:lineRule="exact"/>
        <w:rPr>
          <w:rFonts w:ascii="Arial" w:cs="Arial" w:eastAsia="Arial" w:hAnsi="Arial"/>
          <w:sz w:val="20"/>
          <w:szCs w:val="20"/>
          <w:color w:val="auto"/>
        </w:rPr>
      </w:pPr>
    </w:p>
    <w:p>
      <w:pPr>
        <w:jc w:val="both"/>
        <w:ind w:left="680" w:firstLine="654"/>
        <w:spacing w:after="0" w:line="214" w:lineRule="auto"/>
        <w:tabs>
          <w:tab w:leader="none" w:pos="1884" w:val="left"/>
        </w:tabs>
        <w:numPr>
          <w:ilvl w:val="1"/>
          <w:numId w:val="309"/>
        </w:numPr>
        <w:rPr>
          <w:rFonts w:ascii="Arial" w:cs="Arial" w:eastAsia="Arial" w:hAnsi="Arial"/>
          <w:sz w:val="20"/>
          <w:szCs w:val="20"/>
          <w:color w:val="auto"/>
        </w:rPr>
      </w:pPr>
      <w:r>
        <w:rPr>
          <w:rFonts w:ascii="Arial" w:cs="Arial" w:eastAsia="Arial" w:hAnsi="Arial"/>
          <w:sz w:val="20"/>
          <w:szCs w:val="20"/>
          <w:color w:val="auto"/>
        </w:rPr>
        <w:t>Drum Acquisition Representations and Warranties. Each of the representations made by Drum or any of its Subsidiaries or Affiliates or with respect to Drum or its Subsidiaries or its business in the Drum Merger Agreement that are material to the interests of the Lenders are accurate in all material respects (or if qualified by materiality or reference to material adverse effect, in all respects), but only to the extent that in the event of an inaccuracy with respect to, or a breach of, such representations Centuri or its Affiliates have the right to terminate their respective obligations under the Drum Merger Agreement or otherwise decline to close the Drum Acquisition.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91" w:name="page192"/>
    <w:bookmarkEnd w:id="191"/>
    <w:p>
      <w:pPr>
        <w:jc w:val="both"/>
        <w:ind w:left="700" w:right="20" w:firstLine="652"/>
        <w:spacing w:after="0" w:line="223" w:lineRule="auto"/>
        <w:tabs>
          <w:tab w:leader="none" w:pos="1888" w:val="left"/>
        </w:tabs>
        <w:numPr>
          <w:ilvl w:val="1"/>
          <w:numId w:val="310"/>
        </w:numPr>
        <w:rPr>
          <w:rFonts w:ascii="Arial" w:cs="Arial" w:eastAsia="Arial" w:hAnsi="Arial"/>
          <w:sz w:val="20"/>
          <w:szCs w:val="20"/>
          <w:color w:val="auto"/>
        </w:rPr>
      </w:pPr>
      <w:r>
        <w:rPr>
          <w:rFonts w:ascii="Arial" w:cs="Arial" w:eastAsia="Arial" w:hAnsi="Arial"/>
          <w:sz w:val="20"/>
          <w:szCs w:val="20"/>
          <w:color w:val="auto"/>
        </w:rPr>
        <w:t>No Drum Material Adverse Effect. Since the date of the Drum Merger Agreement, there shall not have occurred a Drum Material Adverse Effect or any event or condition that could reasonably be expected to have a Drum Material Adverse Effect.</w:t>
      </w:r>
    </w:p>
    <w:p>
      <w:pPr>
        <w:spacing w:after="0" w:line="209" w:lineRule="exact"/>
        <w:rPr>
          <w:rFonts w:ascii="Arial" w:cs="Arial" w:eastAsia="Arial" w:hAnsi="Arial"/>
          <w:sz w:val="20"/>
          <w:szCs w:val="20"/>
          <w:color w:val="auto"/>
        </w:rPr>
      </w:pPr>
    </w:p>
    <w:p>
      <w:pPr>
        <w:ind w:left="1340" w:hanging="636"/>
        <w:spacing w:after="0"/>
        <w:tabs>
          <w:tab w:leader="none" w:pos="13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Miscellaneous.</w:t>
      </w:r>
    </w:p>
    <w:p>
      <w:pPr>
        <w:spacing w:after="0" w:line="283" w:lineRule="exact"/>
        <w:rPr>
          <w:rFonts w:ascii="Arial" w:cs="Arial" w:eastAsia="Arial" w:hAnsi="Arial"/>
          <w:sz w:val="20"/>
          <w:szCs w:val="20"/>
          <w:color w:val="auto"/>
        </w:rPr>
      </w:pPr>
    </w:p>
    <w:p>
      <w:pPr>
        <w:ind w:left="700" w:right="20" w:firstLine="652"/>
        <w:spacing w:after="0" w:line="269" w:lineRule="auto"/>
        <w:tabs>
          <w:tab w:leader="none" w:pos="187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Notice of Account Designation. The Administrative Agent shall have received a Notice of Account Designation specifying the account or accounts to which the proceeds of any Loans made on or after the Closing Date are to be disbursed.</w:t>
      </w:r>
    </w:p>
    <w:p>
      <w:pPr>
        <w:spacing w:after="0" w:line="184" w:lineRule="exact"/>
        <w:rPr>
          <w:rFonts w:ascii="Arial" w:cs="Arial" w:eastAsia="Arial" w:hAnsi="Arial"/>
          <w:sz w:val="18"/>
          <w:szCs w:val="18"/>
          <w:color w:val="auto"/>
        </w:rPr>
      </w:pPr>
    </w:p>
    <w:p>
      <w:pPr>
        <w:jc w:val="both"/>
        <w:ind w:left="700" w:firstLine="652"/>
        <w:spacing w:after="0" w:line="225" w:lineRule="auto"/>
        <w:tabs>
          <w:tab w:leader="none" w:pos="1888" w:val="left"/>
        </w:tabs>
        <w:numPr>
          <w:ilvl w:val="1"/>
          <w:numId w:val="311"/>
        </w:numPr>
        <w:rPr>
          <w:rFonts w:ascii="Arial" w:cs="Arial" w:eastAsia="Arial" w:hAnsi="Arial"/>
          <w:sz w:val="19"/>
          <w:szCs w:val="19"/>
          <w:color w:val="auto"/>
        </w:rPr>
      </w:pPr>
      <w:r>
        <w:rPr>
          <w:rFonts w:ascii="Arial" w:cs="Arial" w:eastAsia="Arial" w:hAnsi="Arial"/>
          <w:sz w:val="19"/>
          <w:szCs w:val="19"/>
          <w:color w:val="auto"/>
        </w:rPr>
        <w:t>Existing Indebtedness. (A) All amounts due or outstanding in respect of the Existing Credit Agreement shall have been (or substantially simultaneously with the Closing Date shall be) refinanced in full and (B) all existing Indebtedness of Drum and its Subsidiaries (other than such Indebtedness that is expressly permitted to remain outstanding pursuant to the Drum Merger Agreement and permitted by Section 9.1(c)) shall be repaid in full, all commitments (if any) in respect thereof shall have been terminated and all guarantees therefor and security therefor shall be released, in each case prior to or substantially concurrently with the initial Extensions of Credit hereunder and the Administrative Agent shall have received pay-off letters in form and substance satisfactory to it evidencing such repayment, termination and release.</w:t>
      </w:r>
    </w:p>
    <w:p>
      <w:pPr>
        <w:spacing w:after="0" w:line="199" w:lineRule="exact"/>
        <w:rPr>
          <w:rFonts w:ascii="Arial" w:cs="Arial" w:eastAsia="Arial" w:hAnsi="Arial"/>
          <w:sz w:val="19"/>
          <w:szCs w:val="19"/>
          <w:color w:val="auto"/>
        </w:rPr>
      </w:pPr>
    </w:p>
    <w:p>
      <w:pPr>
        <w:jc w:val="both"/>
        <w:ind w:left="700" w:firstLine="652"/>
        <w:spacing w:after="0" w:line="235" w:lineRule="auto"/>
        <w:tabs>
          <w:tab w:leader="none" w:pos="187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PATRIOT Act, etc. To the extent requested by the Agents or any Lender at least ten (10) Business Days prior to the Closing Date, (A) the Agents and the Lenders shall have received, at least five Business Days prior to the Closing Date (or such shorter period as the Administrative Agent may agree), all documentation and other information requested by the Agents or any Lender in order to comply with requirements of any Anti-Money Laundering Laws including, without limitation, the PATRIOT Act and any applicable “know your customer” rules and regulations and (B) the Borrowers shall have delivered to the Agents,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214" w:lineRule="exact"/>
        <w:rPr>
          <w:rFonts w:ascii="Arial" w:cs="Arial" w:eastAsia="Arial" w:hAnsi="Arial"/>
          <w:sz w:val="18"/>
          <w:szCs w:val="18"/>
          <w:color w:val="auto"/>
        </w:rPr>
      </w:pPr>
    </w:p>
    <w:p>
      <w:pPr>
        <w:jc w:val="both"/>
        <w:ind w:left="700" w:firstLine="652"/>
        <w:spacing w:after="0" w:line="220" w:lineRule="auto"/>
        <w:tabs>
          <w:tab w:leader="none" w:pos="1889" w:val="left"/>
        </w:tabs>
        <w:numPr>
          <w:ilvl w:val="1"/>
          <w:numId w:val="311"/>
        </w:numPr>
        <w:rPr>
          <w:rFonts w:ascii="Arial" w:cs="Arial" w:eastAsia="Arial" w:hAnsi="Arial"/>
          <w:sz w:val="20"/>
          <w:szCs w:val="20"/>
          <w:color w:val="auto"/>
        </w:rPr>
      </w:pPr>
      <w:r>
        <w:rPr>
          <w:rFonts w:ascii="Arial" w:cs="Arial" w:eastAsia="Arial" w:hAnsi="Arial"/>
          <w:sz w:val="20"/>
          <w:szCs w:val="20"/>
          <w:color w:val="auto"/>
        </w:rPr>
        <w:t>Other Documents.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Without limiting the generality of the provisions of Section 11.3(c), for purposes of determining compliance with the conditions specified</w:t>
      </w:r>
    </w:p>
    <w:p>
      <w:pPr>
        <w:spacing w:after="0" w:line="1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in this Section 6.1, the Administrative Agent and each Lender that has signed this Agreement shall be deemed to have consented to, approved or accepted or to be satisfied with, each document or other matter required thereunder to be consented to or approved by or</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auto"/>
        </w:rPr>
        <w:t>acceptable or satisfactory to a Lender unless the Administrative Agent shall have received notice from such Lender prior to the proposed Closing Date specifying its objection thereto.</w:t>
      </w:r>
    </w:p>
    <w:p>
      <w:pPr>
        <w:spacing w:after="0" w:line="197"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color w:val="auto"/>
        </w:rPr>
        <w:t>Conditions to All Extensions of Credit</w:t>
      </w:r>
    </w:p>
    <w:p>
      <w:pPr>
        <w:spacing w:after="0" w:line="283" w:lineRule="exact"/>
        <w:rPr>
          <w:sz w:val="20"/>
          <w:szCs w:val="20"/>
          <w:color w:val="auto"/>
        </w:rPr>
      </w:pPr>
    </w:p>
    <w:p>
      <w:pPr>
        <w:jc w:val="both"/>
        <w:ind w:left="60" w:hanging="4"/>
        <w:spacing w:after="0" w:line="220" w:lineRule="auto"/>
        <w:tabs>
          <w:tab w:leader="none" w:pos="163" w:val="left"/>
        </w:tabs>
        <w:numPr>
          <w:ilvl w:val="0"/>
          <w:numId w:val="312"/>
        </w:numPr>
        <w:rPr>
          <w:rFonts w:ascii="Arial" w:cs="Arial" w:eastAsia="Arial" w:hAnsi="Arial"/>
          <w:sz w:val="20"/>
          <w:szCs w:val="20"/>
          <w:color w:val="auto"/>
        </w:rPr>
      </w:pPr>
      <w:r>
        <w:rPr>
          <w:rFonts w:ascii="Arial" w:cs="Arial" w:eastAsia="Arial" w:hAnsi="Arial"/>
          <w:sz w:val="20"/>
          <w:szCs w:val="20"/>
          <w:color w:val="auto"/>
        </w:rPr>
        <w:t>Subject to Section 5.13 and Section 1.12 solely with respect to any Incremental Term Loan incurred to finance a substantially concurrent Limited Condition Acquisition, the obligations of the Lenders to make or participate in any Extensions of Credit (including the initial Extension of Credit), convert or continue any Loan and/or any Issuing Lender to issue or extend any Letter of Credit are subject to the satisfaction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192" w:name="page193"/>
    <w:bookmarkEnd w:id="192"/>
    <w:p>
      <w:pPr>
        <w:ind w:left="60"/>
        <w:spacing w:after="0"/>
        <w:rPr>
          <w:sz w:val="20"/>
          <w:szCs w:val="20"/>
          <w:color w:val="auto"/>
        </w:rPr>
      </w:pPr>
      <w:r>
        <w:rPr>
          <w:rFonts w:ascii="Arial" w:cs="Arial" w:eastAsia="Arial" w:hAnsi="Arial"/>
          <w:sz w:val="20"/>
          <w:szCs w:val="20"/>
          <w:color w:val="auto"/>
        </w:rPr>
        <w:t>the following conditions precedent on the relevant borrowing, continuation, conversion, issuance or extension date:</w:t>
      </w:r>
    </w:p>
    <w:p>
      <w:pPr>
        <w:spacing w:after="0" w:line="216" w:lineRule="exact"/>
        <w:rPr>
          <w:sz w:val="20"/>
          <w:szCs w:val="20"/>
          <w:color w:val="auto"/>
        </w:rPr>
      </w:pPr>
    </w:p>
    <w:p>
      <w:pPr>
        <w:jc w:val="both"/>
        <w:ind w:left="60" w:firstLine="644"/>
        <w:spacing w:after="0" w:line="237" w:lineRule="auto"/>
        <w:tabs>
          <w:tab w:leader="none" w:pos="123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Continuation of Representations and Warranties.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provided that that the only representations and warranties the accuracy of which shall be a condition to the availability of the initial Extensions of Credit on the Closing Date shall be the Specified Representations.</w:t>
      </w:r>
    </w:p>
    <w:p>
      <w:pPr>
        <w:spacing w:after="0" w:line="198" w:lineRule="exact"/>
        <w:rPr>
          <w:rFonts w:ascii="Arial" w:cs="Arial" w:eastAsia="Arial" w:hAnsi="Arial"/>
          <w:sz w:val="18"/>
          <w:szCs w:val="18"/>
          <w:color w:val="auto"/>
        </w:rPr>
      </w:pPr>
    </w:p>
    <w:p>
      <w:pPr>
        <w:jc w:val="both"/>
        <w:ind w:left="60" w:firstLine="644"/>
        <w:spacing w:after="0" w:line="231" w:lineRule="auto"/>
        <w:tabs>
          <w:tab w:leader="none" w:pos="1236" w:val="left"/>
        </w:tabs>
        <w:numPr>
          <w:ilvl w:val="0"/>
          <w:numId w:val="313"/>
        </w:numPr>
        <w:rPr>
          <w:rFonts w:ascii="Arial" w:cs="Arial" w:eastAsia="Arial" w:hAnsi="Arial"/>
          <w:sz w:val="19"/>
          <w:szCs w:val="19"/>
          <w:color w:val="auto"/>
        </w:rPr>
      </w:pPr>
      <w:r>
        <w:rPr>
          <w:rFonts w:ascii="Arial" w:cs="Arial" w:eastAsia="Arial" w:hAnsi="Arial"/>
          <w:sz w:val="19"/>
          <w:szCs w:val="19"/>
          <w:color w:val="auto"/>
        </w:rPr>
        <w:t>No Existing Default. Except with respect to the initial Extensions of Credit on the Closing Date,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198" w:lineRule="exact"/>
        <w:rPr>
          <w:rFonts w:ascii="Arial" w:cs="Arial" w:eastAsia="Arial" w:hAnsi="Arial"/>
          <w:sz w:val="19"/>
          <w:szCs w:val="19"/>
          <w:color w:val="auto"/>
        </w:rPr>
      </w:pPr>
    </w:p>
    <w:p>
      <w:pPr>
        <w:jc w:val="both"/>
        <w:ind w:left="60" w:right="20" w:firstLine="644"/>
        <w:spacing w:after="0" w:line="223" w:lineRule="auto"/>
        <w:tabs>
          <w:tab w:leader="none" w:pos="123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Notices. The Administrative Agent shall have received a Notice of Borrowing, Letter of Credit Application, or Notice of Conversion/Continuation, as applicable, from the applicable Borrower in accordance with Section 2.3(a), Section 3.2, Section 4.2 or Section 5.2, as applicable.</w:t>
      </w:r>
    </w:p>
    <w:p>
      <w:pPr>
        <w:spacing w:after="0" w:line="263" w:lineRule="exact"/>
        <w:rPr>
          <w:rFonts w:ascii="Arial" w:cs="Arial" w:eastAsia="Arial" w:hAnsi="Arial"/>
          <w:sz w:val="20"/>
          <w:szCs w:val="20"/>
          <w:color w:val="auto"/>
        </w:rPr>
      </w:pPr>
    </w:p>
    <w:p>
      <w:pPr>
        <w:jc w:val="both"/>
        <w:ind w:left="60" w:firstLine="644"/>
        <w:spacing w:after="0" w:line="220" w:lineRule="auto"/>
        <w:tabs>
          <w:tab w:leader="none" w:pos="123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New Swingline Loans/Letters of Credit. So long as any Lender is a Defaulting Lender, (i) no Swingline Lender shall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210" w:lineRule="exact"/>
        <w:rPr>
          <w:sz w:val="20"/>
          <w:szCs w:val="20"/>
          <w:color w:val="auto"/>
        </w:rPr>
      </w:pPr>
    </w:p>
    <w:p>
      <w:pPr>
        <w:ind w:left="60"/>
        <w:spacing w:after="0" w:line="236" w:lineRule="auto"/>
        <w:rPr>
          <w:sz w:val="20"/>
          <w:szCs w:val="20"/>
          <w:color w:val="auto"/>
        </w:rPr>
      </w:pPr>
      <w:r>
        <w:rPr>
          <w:rFonts w:ascii="Arial" w:cs="Arial" w:eastAsia="Arial" w:hAnsi="Arial"/>
          <w:sz w:val="18"/>
          <w:szCs w:val="18"/>
          <w:color w:val="auto"/>
        </w:rPr>
        <w:t>Each Notice of Borrowing, Letter of Credit Application, as applicable, submitted by the Borrowers shall be deemed to be a representation and warranty that the conditions specified in Sections 6.2(a) and (b) have been satisfied on and as of the date of the applicable Extension</w:t>
      </w:r>
    </w:p>
    <w:p>
      <w:pPr>
        <w:ind w:left="60"/>
        <w:spacing w:after="0"/>
        <w:rPr>
          <w:sz w:val="20"/>
          <w:szCs w:val="20"/>
          <w:color w:val="auto"/>
        </w:rPr>
      </w:pPr>
      <w:r>
        <w:rPr>
          <w:rFonts w:ascii="Arial" w:cs="Arial" w:eastAsia="Arial" w:hAnsi="Arial"/>
          <w:sz w:val="20"/>
          <w:szCs w:val="20"/>
          <w:color w:val="auto"/>
        </w:rPr>
        <w:t>of Credit.</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VII</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REPRESENTATIONS AND WARRANTIES OF THE CREDIT PARTIES</w:t>
      </w:r>
    </w:p>
    <w:p>
      <w:pPr>
        <w:spacing w:after="0" w:line="229" w:lineRule="exact"/>
        <w:rPr>
          <w:sz w:val="20"/>
          <w:szCs w:val="20"/>
          <w:color w:val="auto"/>
        </w:rPr>
      </w:pPr>
    </w:p>
    <w:p>
      <w:pPr>
        <w:ind w:left="60" w:firstLine="648"/>
        <w:spacing w:after="0" w:line="236" w:lineRule="auto"/>
        <w:rPr>
          <w:sz w:val="20"/>
          <w:szCs w:val="20"/>
          <w:color w:val="auto"/>
        </w:rPr>
      </w:pPr>
      <w:r>
        <w:rPr>
          <w:rFonts w:ascii="Arial" w:cs="Arial" w:eastAsia="Arial" w:hAnsi="Arial"/>
          <w:sz w:val="18"/>
          <w:szCs w:val="18"/>
          <w:color w:val="auto"/>
        </w:rPr>
        <w:t>To induce the Administrative Agent and Lenders to enter into this Agreement and to induce the Lenders to make Extensions of Credit, the Credit Parties hereby represent and warrant to the Administrative Agent and the Lenders both immediately before and after</w:t>
      </w:r>
    </w:p>
    <w:p>
      <w:pPr>
        <w:ind w:left="60" w:right="20"/>
        <w:spacing w:after="0" w:line="227" w:lineRule="auto"/>
        <w:rPr>
          <w:sz w:val="20"/>
          <w:szCs w:val="20"/>
          <w:color w:val="auto"/>
        </w:rPr>
      </w:pPr>
      <w:r>
        <w:rPr>
          <w:rFonts w:ascii="Arial" w:cs="Arial" w:eastAsia="Arial" w:hAnsi="Arial"/>
          <w:sz w:val="20"/>
          <w:szCs w:val="20"/>
          <w:color w:val="auto"/>
        </w:rPr>
        <w:t>giving effect to the transactions contemplated hereunder, which representations and warranties shall be deemed made on the Closing Date and as otherwise set forth in Section 6.2, that:</w:t>
      </w:r>
    </w:p>
    <w:p>
      <w:pPr>
        <w:spacing w:after="0" w:line="251"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color w:val="auto"/>
        </w:rPr>
        <w:t>Organization; Power; Qualification</w:t>
      </w:r>
    </w:p>
    <w:p>
      <w:pPr>
        <w:spacing w:after="0" w:line="283" w:lineRule="exact"/>
        <w:rPr>
          <w:sz w:val="20"/>
          <w:szCs w:val="20"/>
          <w:color w:val="auto"/>
        </w:rPr>
      </w:pPr>
    </w:p>
    <w:p>
      <w:pPr>
        <w:jc w:val="both"/>
        <w:ind w:left="60" w:hanging="4"/>
        <w:spacing w:after="0" w:line="227" w:lineRule="auto"/>
        <w:tabs>
          <w:tab w:leader="none" w:pos="197" w:val="left"/>
        </w:tabs>
        <w:numPr>
          <w:ilvl w:val="0"/>
          <w:numId w:val="314"/>
        </w:numPr>
        <w:rPr>
          <w:rFonts w:ascii="Arial" w:cs="Arial" w:eastAsia="Arial" w:hAnsi="Arial"/>
          <w:sz w:val="20"/>
          <w:szCs w:val="20"/>
          <w:color w:val="auto"/>
        </w:rPr>
      </w:pPr>
      <w:r>
        <w:rPr>
          <w:rFonts w:ascii="Arial" w:cs="Arial" w:eastAsia="Arial" w:hAnsi="Arial"/>
          <w:sz w:val="20"/>
          <w:szCs w:val="20"/>
          <w:color w:val="auto"/>
        </w:rPr>
        <w:t>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193" w:name="page194"/>
    <w:bookmarkEnd w:id="193"/>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do business in each jurisdiction in which the character of its Properties or the nature of its business requires such qualification and</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authorization, in the case of this clause (c), except to the extent failure to do so would not reasonably be expected to have a Material Adverse Effect. The jurisdictions in which each Credit Party and each Subsidiary thereof are organized and qualified to do business as of</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9"/>
          <w:szCs w:val="19"/>
          <w:color w:val="auto"/>
        </w:rPr>
        <w:t>the Closing Date are described on Schedule 7.1. No Credit Party nor any Subsidiary thereof is an Affected Financial Institution.</w:t>
      </w:r>
    </w:p>
    <w:p>
      <w:pPr>
        <w:spacing w:after="0" w:line="211"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6"/>
          <w:szCs w:val="16"/>
          <w:color w:val="auto"/>
        </w:rPr>
        <w:t>Ownership</w:t>
      </w:r>
    </w:p>
    <w:p>
      <w:pPr>
        <w:spacing w:after="0" w:line="283" w:lineRule="exact"/>
        <w:rPr>
          <w:sz w:val="20"/>
          <w:szCs w:val="20"/>
          <w:color w:val="auto"/>
        </w:rPr>
      </w:pPr>
    </w:p>
    <w:p>
      <w:pPr>
        <w:jc w:val="both"/>
        <w:ind w:left="60" w:hanging="4"/>
        <w:spacing w:after="0" w:line="225" w:lineRule="auto"/>
        <w:tabs>
          <w:tab w:leader="none" w:pos="167" w:val="left"/>
        </w:tabs>
        <w:numPr>
          <w:ilvl w:val="0"/>
          <w:numId w:val="315"/>
        </w:numPr>
        <w:rPr>
          <w:rFonts w:ascii="Arial" w:cs="Arial" w:eastAsia="Arial" w:hAnsi="Arial"/>
          <w:sz w:val="19"/>
          <w:szCs w:val="19"/>
          <w:color w:val="auto"/>
        </w:rPr>
      </w:pPr>
      <w:r>
        <w:rPr>
          <w:rFonts w:ascii="Arial" w:cs="Arial" w:eastAsia="Arial" w:hAnsi="Arial"/>
          <w:sz w:val="19"/>
          <w:szCs w:val="19"/>
          <w:color w:val="auto"/>
        </w:rPr>
        <w:t>Each Subsidiary of each Credit Party as of the Closing Date is listed on Schedule 7.2. As of the Closing Date, the capitalization of each Credit Party and its Subsidiaries consists of the number of shares, authorized, issued and outstanding, of such classes and series, with or without par value, described on Schedule 7.2. All outstanding shares have been duly authorized and validly issued and are fully paid and nonassessable and not subject to any preemptive or similar rights, except as described in Schedule 7.2.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Schedule 7.2.</w:t>
      </w:r>
    </w:p>
    <w:p>
      <w:pPr>
        <w:spacing w:after="0" w:line="267"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color w:val="auto"/>
        </w:rPr>
        <w:t>Authorization; Enforceability</w:t>
      </w:r>
    </w:p>
    <w:p>
      <w:pPr>
        <w:spacing w:after="0" w:line="283" w:lineRule="exact"/>
        <w:rPr>
          <w:sz w:val="20"/>
          <w:szCs w:val="20"/>
          <w:color w:val="auto"/>
        </w:rPr>
      </w:pPr>
    </w:p>
    <w:p>
      <w:pPr>
        <w:jc w:val="both"/>
        <w:ind w:left="60" w:hanging="5"/>
        <w:spacing w:after="0" w:line="225" w:lineRule="auto"/>
        <w:tabs>
          <w:tab w:leader="none" w:pos="174" w:val="left"/>
        </w:tabs>
        <w:numPr>
          <w:ilvl w:val="0"/>
          <w:numId w:val="316"/>
        </w:numPr>
        <w:rPr>
          <w:rFonts w:ascii="Arial" w:cs="Arial" w:eastAsia="Arial" w:hAnsi="Arial"/>
          <w:sz w:val="19"/>
          <w:szCs w:val="19"/>
          <w:color w:val="auto"/>
        </w:rPr>
      </w:pPr>
      <w:r>
        <w:rPr>
          <w:rFonts w:ascii="Arial" w:cs="Arial" w:eastAsia="Arial" w:hAnsi="Arial"/>
          <w:sz w:val="19"/>
          <w:szCs w:val="19"/>
          <w:color w:val="auto"/>
        </w:rPr>
        <w:t>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200"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7.4</w:t>
      </w:r>
      <w:r>
        <w:rPr>
          <w:sz w:val="20"/>
          <w:szCs w:val="20"/>
          <w:color w:val="auto"/>
        </w:rPr>
        <w:tab/>
      </w:r>
      <w:r>
        <w:rPr>
          <w:rFonts w:ascii="Arial" w:cs="Arial" w:eastAsia="Arial" w:hAnsi="Arial"/>
          <w:sz w:val="18"/>
          <w:szCs w:val="18"/>
          <w:color w:val="auto"/>
        </w:rPr>
        <w:t>Compliance of Agreement, Loan Documents and Borrowing with Laws, Etc</w:t>
      </w:r>
    </w:p>
    <w:p>
      <w:pPr>
        <w:spacing w:after="0" w:line="283" w:lineRule="exact"/>
        <w:rPr>
          <w:sz w:val="20"/>
          <w:szCs w:val="20"/>
          <w:color w:val="auto"/>
        </w:rPr>
      </w:pPr>
    </w:p>
    <w:p>
      <w:pPr>
        <w:jc w:val="both"/>
        <w:ind w:left="60" w:firstLine="35"/>
        <w:spacing w:after="0" w:line="221" w:lineRule="auto"/>
        <w:tabs>
          <w:tab w:leader="none" w:pos="219"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other than filings or consents which have been obtained and remain in effect,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-1572260</wp:posOffset>
            </wp:positionV>
            <wp:extent cx="25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6">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94" w:name="page195"/>
    <w:bookmarkEnd w:id="194"/>
    <w:p>
      <w:pPr>
        <w:spacing w:after="0" w:line="209" w:lineRule="exact"/>
        <w:rPr>
          <w:sz w:val="20"/>
          <w:szCs w:val="20"/>
          <w:color w:val="auto"/>
        </w:rPr>
      </w:pPr>
    </w:p>
    <w:p>
      <w:pPr>
        <w:ind w:left="60" w:right="800"/>
        <w:spacing w:after="0" w:line="236" w:lineRule="auto"/>
        <w:rPr>
          <w:sz w:val="20"/>
          <w:szCs w:val="20"/>
          <w:color w:val="auto"/>
        </w:rPr>
      </w:pPr>
      <w:r>
        <w:rPr>
          <w:rFonts w:ascii="Arial" w:cs="Arial" w:eastAsia="Arial" w:hAnsi="Arial"/>
          <w:sz w:val="20"/>
          <w:szCs w:val="20"/>
          <w:color w:val="auto"/>
        </w:rPr>
        <w:t>authorizations, filings or other acts or consents for which the failure to obtain or make could not, individually or in the aggregate, reasonably be expected to have a Material Adverse Effect.</w:t>
      </w:r>
    </w:p>
    <w:p>
      <w:pPr>
        <w:spacing w:after="0" w:line="196"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7.5</w:t>
      </w:r>
      <w:r>
        <w:rPr>
          <w:sz w:val="20"/>
          <w:szCs w:val="20"/>
          <w:color w:val="auto"/>
        </w:rPr>
        <w:tab/>
      </w:r>
      <w:r>
        <w:rPr>
          <w:rFonts w:ascii="Arial" w:cs="Arial" w:eastAsia="Arial" w:hAnsi="Arial"/>
          <w:sz w:val="18"/>
          <w:szCs w:val="18"/>
          <w:color w:val="auto"/>
        </w:rPr>
        <w:t>Compliance with Law; Governmental Approvals</w:t>
      </w:r>
    </w:p>
    <w:p>
      <w:pPr>
        <w:spacing w:after="0" w:line="283" w:lineRule="exact"/>
        <w:rPr>
          <w:sz w:val="20"/>
          <w:szCs w:val="20"/>
          <w:color w:val="auto"/>
        </w:rPr>
      </w:pPr>
    </w:p>
    <w:p>
      <w:pPr>
        <w:jc w:val="both"/>
        <w:ind w:left="60" w:hanging="5"/>
        <w:spacing w:after="0" w:line="238" w:lineRule="auto"/>
        <w:tabs>
          <w:tab w:leader="none" w:pos="16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in writing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97"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20"/>
          <w:szCs w:val="20"/>
          <w:color w:val="auto"/>
        </w:rPr>
        <w:t>SECTION 7.6</w:t>
      </w:r>
      <w:r>
        <w:rPr>
          <w:sz w:val="20"/>
          <w:szCs w:val="20"/>
          <w:color w:val="auto"/>
        </w:rPr>
        <w:tab/>
      </w:r>
      <w:r>
        <w:rPr>
          <w:rFonts w:ascii="Arial" w:cs="Arial" w:eastAsia="Arial" w:hAnsi="Arial"/>
          <w:sz w:val="16"/>
          <w:szCs w:val="16"/>
          <w:color w:val="auto"/>
        </w:rPr>
        <w:t>Tax Returns and Payments</w:t>
      </w:r>
    </w:p>
    <w:p>
      <w:pPr>
        <w:spacing w:after="0" w:line="283" w:lineRule="exact"/>
        <w:rPr>
          <w:sz w:val="20"/>
          <w:szCs w:val="20"/>
          <w:color w:val="auto"/>
        </w:rPr>
      </w:pPr>
    </w:p>
    <w:p>
      <w:pPr>
        <w:jc w:val="both"/>
        <w:ind w:left="60" w:hanging="4"/>
        <w:spacing w:after="0" w:line="233" w:lineRule="auto"/>
        <w:tabs>
          <w:tab w:leader="none" w:pos="16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 Effect, or (b)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except as set forth on Schedule 7.6,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or (b) Permitted Liens). The charges, accruals and reserves on the books of each Credit Party and each Subsidiary thereof in respect of federal, state, provincial, local and other taxes for all Fiscal Years and portions thereof since the organization of any Credit Party or any Subsidiary thereof are in the judgment of the Borrowers adequate, and the Borrowers do not anticipate any additional taxes or assessments for any of such years.</w:t>
      </w:r>
    </w:p>
    <w:p>
      <w:pPr>
        <w:spacing w:after="0" w:line="200"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7.7</w:t>
      </w:r>
      <w:r>
        <w:rPr>
          <w:sz w:val="20"/>
          <w:szCs w:val="20"/>
          <w:color w:val="auto"/>
        </w:rPr>
        <w:tab/>
      </w:r>
      <w:r>
        <w:rPr>
          <w:rFonts w:ascii="Arial" w:cs="Arial" w:eastAsia="Arial" w:hAnsi="Arial"/>
          <w:sz w:val="18"/>
          <w:szCs w:val="18"/>
          <w:color w:val="auto"/>
        </w:rPr>
        <w:t>Intellectual Property Matters</w:t>
      </w:r>
    </w:p>
    <w:p>
      <w:pPr>
        <w:spacing w:after="0" w:line="283" w:lineRule="exact"/>
        <w:rPr>
          <w:sz w:val="20"/>
          <w:szCs w:val="20"/>
          <w:color w:val="auto"/>
        </w:rPr>
      </w:pPr>
    </w:p>
    <w:p>
      <w:pPr>
        <w:jc w:val="both"/>
        <w:ind w:left="60" w:hanging="4"/>
        <w:spacing w:after="0" w:line="225" w:lineRule="auto"/>
        <w:tabs>
          <w:tab w:leader="none" w:pos="163" w:val="left"/>
        </w:tabs>
        <w:numPr>
          <w:ilvl w:val="0"/>
          <w:numId w:val="320"/>
        </w:numPr>
        <w:rPr>
          <w:rFonts w:ascii="Arial" w:cs="Arial" w:eastAsia="Arial" w:hAnsi="Arial"/>
          <w:sz w:val="19"/>
          <w:szCs w:val="19"/>
          <w:color w:val="auto"/>
        </w:rPr>
      </w:pPr>
      <w:r>
        <w:rPr>
          <w:rFonts w:ascii="Arial" w:cs="Arial" w:eastAsia="Arial" w:hAnsi="Arial"/>
          <w:sz w:val="19"/>
          <w:szCs w:val="19"/>
          <w:color w:val="auto"/>
        </w:rPr>
        <w:t>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95" w:name="page196"/>
    <w:bookmarkEnd w:id="195"/>
    <w:p>
      <w:pPr>
        <w:spacing w:after="0" w:line="209"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8"/>
          <w:szCs w:val="18"/>
          <w:color w:val="auto"/>
        </w:rPr>
        <w:t>Environmental Matters</w:t>
      </w:r>
    </w:p>
    <w:p>
      <w:pPr>
        <w:spacing w:after="0" w:line="283" w:lineRule="exact"/>
        <w:rPr>
          <w:sz w:val="20"/>
          <w:szCs w:val="20"/>
          <w:color w:val="auto"/>
        </w:rPr>
      </w:pPr>
    </w:p>
    <w:p>
      <w:pPr>
        <w:ind w:left="60" w:right="260" w:hanging="5"/>
        <w:spacing w:after="0" w:line="236" w:lineRule="auto"/>
        <w:tabs>
          <w:tab w:leader="none" w:pos="159" w:val="left"/>
        </w:tabs>
        <w:numPr>
          <w:ilvl w:val="0"/>
          <w:numId w:val="321"/>
        </w:numPr>
        <w:rPr>
          <w:rFonts w:ascii="Arial" w:cs="Arial" w:eastAsia="Arial" w:hAnsi="Arial"/>
          <w:sz w:val="20"/>
          <w:szCs w:val="20"/>
          <w:color w:val="auto"/>
        </w:rPr>
      </w:pPr>
      <w:r>
        <w:rPr>
          <w:rFonts w:ascii="Arial" w:cs="Arial" w:eastAsia="Arial" w:hAnsi="Arial"/>
          <w:sz w:val="20"/>
          <w:szCs w:val="20"/>
          <w:color w:val="auto"/>
        </w:rPr>
        <w:t>Except where the failure of any of the following representations to be correct could not, individually or in the aggregate, reasonably be expected to have a Material Adverse Effect:</w:t>
      </w:r>
    </w:p>
    <w:p>
      <w:pPr>
        <w:spacing w:after="0" w:line="195" w:lineRule="exact"/>
        <w:rPr>
          <w:rFonts w:ascii="Arial" w:cs="Arial" w:eastAsia="Arial" w:hAnsi="Arial"/>
          <w:sz w:val="20"/>
          <w:szCs w:val="20"/>
          <w:color w:val="auto"/>
        </w:rPr>
      </w:pPr>
    </w:p>
    <w:p>
      <w:pPr>
        <w:jc w:val="both"/>
        <w:ind w:left="60" w:firstLine="643"/>
        <w:spacing w:after="0" w:line="218" w:lineRule="auto"/>
        <w:tabs>
          <w:tab w:leader="none" w:pos="1235" w:val="left"/>
        </w:tabs>
        <w:numPr>
          <w:ilvl w:val="1"/>
          <w:numId w:val="321"/>
        </w:numPr>
        <w:rPr>
          <w:rFonts w:ascii="Arial" w:cs="Arial" w:eastAsia="Arial" w:hAnsi="Arial"/>
          <w:sz w:val="20"/>
          <w:szCs w:val="20"/>
          <w:color w:val="auto"/>
        </w:rPr>
      </w:pPr>
      <w:r>
        <w:rPr>
          <w:rFonts w:ascii="Arial" w:cs="Arial" w:eastAsia="Arial" w:hAnsi="Arial"/>
          <w:sz w:val="20"/>
          <w:szCs w:val="20"/>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97" w:lineRule="exact"/>
        <w:rPr>
          <w:rFonts w:ascii="Arial" w:cs="Arial" w:eastAsia="Arial" w:hAnsi="Arial"/>
          <w:sz w:val="20"/>
          <w:szCs w:val="20"/>
          <w:color w:val="auto"/>
        </w:rPr>
      </w:pPr>
    </w:p>
    <w:p>
      <w:pPr>
        <w:jc w:val="both"/>
        <w:ind w:left="60" w:firstLine="643"/>
        <w:spacing w:after="0" w:line="231" w:lineRule="auto"/>
        <w:tabs>
          <w:tab w:leader="none" w:pos="1235" w:val="left"/>
        </w:tabs>
        <w:numPr>
          <w:ilvl w:val="1"/>
          <w:numId w:val="321"/>
        </w:numPr>
        <w:rPr>
          <w:rFonts w:ascii="Arial" w:cs="Arial" w:eastAsia="Arial" w:hAnsi="Arial"/>
          <w:sz w:val="19"/>
          <w:szCs w:val="19"/>
          <w:color w:val="auto"/>
        </w:rPr>
      </w:pPr>
      <w:r>
        <w:rPr>
          <w:rFonts w:ascii="Arial" w:cs="Arial" w:eastAsia="Arial" w:hAnsi="Arial"/>
          <w:sz w:val="19"/>
          <w:szCs w:val="19"/>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98" w:lineRule="exact"/>
        <w:rPr>
          <w:rFonts w:ascii="Arial" w:cs="Arial" w:eastAsia="Arial" w:hAnsi="Arial"/>
          <w:sz w:val="19"/>
          <w:szCs w:val="19"/>
          <w:color w:val="auto"/>
        </w:rPr>
      </w:pPr>
    </w:p>
    <w:p>
      <w:pPr>
        <w:jc w:val="both"/>
        <w:ind w:left="60" w:right="20" w:firstLine="643"/>
        <w:spacing w:after="0" w:line="220" w:lineRule="auto"/>
        <w:tabs>
          <w:tab w:leader="none" w:pos="1235" w:val="left"/>
        </w:tabs>
        <w:numPr>
          <w:ilvl w:val="1"/>
          <w:numId w:val="321"/>
        </w:numPr>
        <w:rPr>
          <w:rFonts w:ascii="Arial" w:cs="Arial" w:eastAsia="Arial" w:hAnsi="Arial"/>
          <w:sz w:val="20"/>
          <w:szCs w:val="20"/>
          <w:color w:val="auto"/>
        </w:rPr>
      </w:pPr>
      <w:r>
        <w:rPr>
          <w:rFonts w:ascii="Arial" w:cs="Arial" w:eastAsia="Arial" w:hAnsi="Arial"/>
          <w:sz w:val="20"/>
          <w:szCs w:val="20"/>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96" w:lineRule="exact"/>
        <w:rPr>
          <w:rFonts w:ascii="Arial" w:cs="Arial" w:eastAsia="Arial" w:hAnsi="Arial"/>
          <w:sz w:val="20"/>
          <w:szCs w:val="20"/>
          <w:color w:val="auto"/>
        </w:rPr>
      </w:pPr>
    </w:p>
    <w:p>
      <w:pPr>
        <w:jc w:val="both"/>
        <w:ind w:left="60" w:firstLine="643"/>
        <w:spacing w:after="0" w:line="218" w:lineRule="auto"/>
        <w:tabs>
          <w:tab w:leader="none" w:pos="1235" w:val="left"/>
        </w:tabs>
        <w:numPr>
          <w:ilvl w:val="1"/>
          <w:numId w:val="321"/>
        </w:numPr>
        <w:rPr>
          <w:rFonts w:ascii="Arial" w:cs="Arial" w:eastAsia="Arial" w:hAnsi="Arial"/>
          <w:sz w:val="20"/>
          <w:szCs w:val="20"/>
          <w:color w:val="auto"/>
        </w:rPr>
      </w:pPr>
      <w:r>
        <w:rPr>
          <w:rFonts w:ascii="Arial" w:cs="Arial" w:eastAsia="Arial" w:hAnsi="Arial"/>
          <w:sz w:val="20"/>
          <w:szCs w:val="20"/>
          <w:color w:val="auto"/>
        </w:rPr>
        <w:t>to the knowledge of each Credit Party and each Subsidiary thereof,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spacing w:after="0" w:line="197" w:lineRule="exact"/>
        <w:rPr>
          <w:rFonts w:ascii="Arial" w:cs="Arial" w:eastAsia="Arial" w:hAnsi="Arial"/>
          <w:sz w:val="20"/>
          <w:szCs w:val="20"/>
          <w:color w:val="auto"/>
        </w:rPr>
      </w:pPr>
    </w:p>
    <w:p>
      <w:pPr>
        <w:jc w:val="both"/>
        <w:ind w:left="60" w:firstLine="643"/>
        <w:spacing w:after="0" w:line="214" w:lineRule="auto"/>
        <w:tabs>
          <w:tab w:leader="none" w:pos="1235" w:val="left"/>
        </w:tabs>
        <w:numPr>
          <w:ilvl w:val="1"/>
          <w:numId w:val="321"/>
        </w:numPr>
        <w:rPr>
          <w:rFonts w:ascii="Arial" w:cs="Arial" w:eastAsia="Arial" w:hAnsi="Arial"/>
          <w:sz w:val="20"/>
          <w:szCs w:val="20"/>
          <w:color w:val="auto"/>
        </w:rPr>
      </w:pPr>
      <w:r>
        <w:rPr>
          <w:rFonts w:ascii="Arial" w:cs="Arial" w:eastAsia="Arial" w:hAnsi="Arial"/>
          <w:sz w:val="20"/>
          <w:szCs w:val="20"/>
          <w:color w:val="auto"/>
        </w:rPr>
        <w:t>no judicial proceedings or governmental or administrative action is pending, or, to the knowledge of the Borrowers, threatened in writing,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214" w:lineRule="exact"/>
        <w:rPr>
          <w:rFonts w:ascii="Arial" w:cs="Arial" w:eastAsia="Arial" w:hAnsi="Arial"/>
          <w:sz w:val="20"/>
          <w:szCs w:val="20"/>
          <w:color w:val="auto"/>
        </w:rPr>
      </w:pPr>
    </w:p>
    <w:p>
      <w:pPr>
        <w:jc w:val="both"/>
        <w:ind w:left="60" w:firstLine="643"/>
        <w:spacing w:after="0" w:line="223" w:lineRule="auto"/>
        <w:tabs>
          <w:tab w:leader="none" w:pos="1235" w:val="left"/>
        </w:tabs>
        <w:numPr>
          <w:ilvl w:val="1"/>
          <w:numId w:val="321"/>
        </w:numPr>
        <w:rPr>
          <w:rFonts w:ascii="Arial" w:cs="Arial" w:eastAsia="Arial" w:hAnsi="Arial"/>
          <w:sz w:val="20"/>
          <w:szCs w:val="20"/>
          <w:color w:val="auto"/>
        </w:rPr>
      </w:pPr>
      <w:r>
        <w:rPr>
          <w:rFonts w:ascii="Arial" w:cs="Arial" w:eastAsia="Arial" w:hAnsi="Arial"/>
          <w:sz w:val="20"/>
          <w:szCs w:val="20"/>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196"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8"/>
          <w:szCs w:val="18"/>
          <w:color w:val="auto"/>
        </w:rPr>
        <w:t>Employee Benefit Matters.</w:t>
      </w:r>
    </w:p>
    <w:p>
      <w:pPr>
        <w:spacing w:after="0" w:line="283" w:lineRule="exact"/>
        <w:rPr>
          <w:sz w:val="20"/>
          <w:szCs w:val="20"/>
          <w:color w:val="auto"/>
        </w:rPr>
      </w:pPr>
    </w:p>
    <w:p>
      <w:pPr>
        <w:ind w:left="60" w:right="20" w:firstLine="644"/>
        <w:spacing w:after="0" w:line="257" w:lineRule="auto"/>
        <w:tabs>
          <w:tab w:leader="none" w:pos="123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As of the Closing Date, no Credit Party nor any ERISA Affiliate maintains or contributes to, or has any obligation under, any Employee Benefit Plans or Canadian Employee Benefit Plans other than those identified on Schedule 7.9;</w:t>
      </w:r>
    </w:p>
    <w:p>
      <w:pPr>
        <w:spacing w:after="0" w:line="247" w:lineRule="exact"/>
        <w:rPr>
          <w:rFonts w:ascii="Arial" w:cs="Arial" w:eastAsia="Arial" w:hAnsi="Arial"/>
          <w:sz w:val="19"/>
          <w:szCs w:val="19"/>
          <w:color w:val="auto"/>
        </w:rPr>
      </w:pPr>
    </w:p>
    <w:p>
      <w:pPr>
        <w:ind w:left="60" w:right="360" w:firstLine="644"/>
        <w:spacing w:after="0" w:line="229" w:lineRule="auto"/>
        <w:tabs>
          <w:tab w:leader="none" w:pos="123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Each Credit Party and each ERISA Affiliate is in compliance with all applicable provisions of ERISA, the Code and the regulations and published interpretations thereunder with respect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96" w:name="page197"/>
    <w:bookmarkEnd w:id="196"/>
    <w:p>
      <w:pPr>
        <w:spacing w:after="0" w:line="209" w:lineRule="exact"/>
        <w:rPr>
          <w:sz w:val="20"/>
          <w:szCs w:val="20"/>
          <w:color w:val="auto"/>
        </w:rPr>
      </w:pPr>
    </w:p>
    <w:p>
      <w:pPr>
        <w:ind w:left="60"/>
        <w:spacing w:after="0"/>
        <w:rPr>
          <w:sz w:val="20"/>
          <w:szCs w:val="20"/>
          <w:color w:val="auto"/>
        </w:rPr>
      </w:pPr>
      <w:r>
        <w:rPr>
          <w:rFonts w:ascii="Arial" w:cs="Arial" w:eastAsia="Arial" w:hAnsi="Arial"/>
          <w:sz w:val="19"/>
          <w:szCs w:val="19"/>
          <w:color w:val="auto"/>
        </w:rPr>
        <w:t>Employee Benefit Plans (and with all Canadian Pension Laws with respect to all Canadian Employee Benefit Plans) except for any</w:t>
      </w:r>
    </w:p>
    <w:p>
      <w:pPr>
        <w:ind w:left="60"/>
        <w:spacing w:after="0" w:line="226" w:lineRule="auto"/>
        <w:rPr>
          <w:sz w:val="20"/>
          <w:szCs w:val="20"/>
          <w:color w:val="auto"/>
        </w:rPr>
      </w:pPr>
      <w:r>
        <w:rPr>
          <w:rFonts w:ascii="Arial" w:cs="Arial" w:eastAsia="Arial" w:hAnsi="Arial"/>
          <w:sz w:val="18"/>
          <w:szCs w:val="18"/>
          <w:color w:val="auto"/>
        </w:rPr>
        <w:t>required amendments for which the remedial amendment period as defined in Section 401(b) of the Code has not yet expired and except where a failure to so comply could not, individually or in the aggregate, reasonably be expected to have a Material Adverse Effect. Each</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Employee Benefit Plan that is intended to be qualified under Section 401(a) of the Code has been determined by the IRS to be so qualified,</w:t>
      </w:r>
    </w:p>
    <w:p>
      <w:pPr>
        <w:spacing w:after="0" w:line="19" w:lineRule="exact"/>
        <w:rPr>
          <w:sz w:val="20"/>
          <w:szCs w:val="20"/>
          <w:color w:val="auto"/>
        </w:rPr>
      </w:pPr>
    </w:p>
    <w:p>
      <w:pPr>
        <w:jc w:val="both"/>
        <w:ind w:left="60" w:right="20"/>
        <w:spacing w:after="0" w:line="255" w:lineRule="auto"/>
        <w:rPr>
          <w:sz w:val="20"/>
          <w:szCs w:val="20"/>
          <w:color w:val="auto"/>
        </w:rPr>
      </w:pPr>
      <w:r>
        <w:rPr>
          <w:rFonts w:ascii="Arial" w:cs="Arial" w:eastAsia="Arial" w:hAnsi="Arial"/>
          <w:sz w:val="16"/>
          <w:szCs w:val="16"/>
          <w:color w:val="auto"/>
        </w:rPr>
        <w:t>and each trust related to such plan has been determined to be exempt under Section 501(a) of the Code except for such plans that have not yet received determination letters but for which the remedial amendment period for submitting a determination letter has not yet expired.</w:t>
      </w:r>
    </w:p>
    <w:p>
      <w:pPr>
        <w:ind w:left="60"/>
        <w:spacing w:after="0" w:line="235" w:lineRule="auto"/>
        <w:rPr>
          <w:sz w:val="20"/>
          <w:szCs w:val="20"/>
          <w:color w:val="auto"/>
        </w:rPr>
      </w:pPr>
      <w:r>
        <w:rPr>
          <w:rFonts w:ascii="Arial" w:cs="Arial" w:eastAsia="Arial" w:hAnsi="Arial"/>
          <w:sz w:val="18"/>
          <w:szCs w:val="18"/>
          <w:color w:val="auto"/>
        </w:rPr>
        <w:t>Each Canadian Employee Benefit Plan that is intended to be registered under Canadian Pension Laws has been so registered and such</w:t>
      </w:r>
    </w:p>
    <w:p>
      <w:pPr>
        <w:ind w:left="60"/>
        <w:spacing w:after="0" w:line="226" w:lineRule="auto"/>
        <w:rPr>
          <w:sz w:val="20"/>
          <w:szCs w:val="20"/>
          <w:color w:val="auto"/>
        </w:rPr>
      </w:pPr>
      <w:r>
        <w:rPr>
          <w:rFonts w:ascii="Arial" w:cs="Arial" w:eastAsia="Arial" w:hAnsi="Arial"/>
          <w:sz w:val="18"/>
          <w:szCs w:val="18"/>
          <w:color w:val="auto"/>
        </w:rPr>
        <w:t>registration has not been revoked nor has any notice of intent to revoke such registration been received. No liability has been incurred by any Credit Party or any ERISA Affiliate which remains unsatisfied for any taxes or penalties assessed with respect to any Employee</w:t>
      </w:r>
    </w:p>
    <w:p>
      <w:pPr>
        <w:spacing w:after="0" w:line="2" w:lineRule="exact"/>
        <w:rPr>
          <w:sz w:val="20"/>
          <w:szCs w:val="20"/>
          <w:color w:val="auto"/>
        </w:rPr>
      </w:pPr>
    </w:p>
    <w:p>
      <w:pPr>
        <w:ind w:left="60"/>
        <w:spacing w:after="0" w:line="227" w:lineRule="auto"/>
        <w:rPr>
          <w:sz w:val="20"/>
          <w:szCs w:val="20"/>
          <w:color w:val="auto"/>
        </w:rPr>
      </w:pPr>
      <w:r>
        <w:rPr>
          <w:rFonts w:ascii="Arial" w:cs="Arial" w:eastAsia="Arial" w:hAnsi="Arial"/>
          <w:sz w:val="20"/>
          <w:szCs w:val="20"/>
          <w:color w:val="auto"/>
        </w:rPr>
        <w:t>Benefit Plan, Canadian Employee Benefit Plan or any Multiemployer Plan except for a liability that could not reasonably be expected to have a Material Adverse Effect;</w:t>
      </w:r>
    </w:p>
    <w:p>
      <w:pPr>
        <w:spacing w:after="0" w:line="197" w:lineRule="exact"/>
        <w:rPr>
          <w:sz w:val="20"/>
          <w:szCs w:val="20"/>
          <w:color w:val="auto"/>
        </w:rPr>
      </w:pPr>
    </w:p>
    <w:p>
      <w:pPr>
        <w:jc w:val="both"/>
        <w:ind w:left="60" w:firstLine="644"/>
        <w:spacing w:after="0" w:line="225" w:lineRule="auto"/>
        <w:tabs>
          <w:tab w:leader="none" w:pos="1236" w:val="left"/>
        </w:tabs>
        <w:numPr>
          <w:ilvl w:val="0"/>
          <w:numId w:val="323"/>
        </w:numPr>
        <w:rPr>
          <w:rFonts w:ascii="Arial" w:cs="Arial" w:eastAsia="Arial" w:hAnsi="Arial"/>
          <w:sz w:val="19"/>
          <w:szCs w:val="19"/>
          <w:color w:val="auto"/>
        </w:rPr>
      </w:pPr>
      <w:r>
        <w:rPr>
          <w:rFonts w:ascii="Arial" w:cs="Arial" w:eastAsia="Arial" w:hAnsi="Arial"/>
          <w:sz w:val="19"/>
          <w:szCs w:val="19"/>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197" w:lineRule="exact"/>
        <w:rPr>
          <w:rFonts w:ascii="Arial" w:cs="Arial" w:eastAsia="Arial" w:hAnsi="Arial"/>
          <w:sz w:val="19"/>
          <w:szCs w:val="19"/>
          <w:color w:val="auto"/>
        </w:rPr>
      </w:pPr>
    </w:p>
    <w:p>
      <w:pPr>
        <w:jc w:val="both"/>
        <w:ind w:left="60" w:firstLine="643"/>
        <w:spacing w:after="0" w:line="225" w:lineRule="auto"/>
        <w:tabs>
          <w:tab w:leader="none" w:pos="1235" w:val="left"/>
        </w:tabs>
        <w:numPr>
          <w:ilvl w:val="0"/>
          <w:numId w:val="323"/>
        </w:numPr>
        <w:rPr>
          <w:rFonts w:ascii="Arial" w:cs="Arial" w:eastAsia="Arial" w:hAnsi="Arial"/>
          <w:sz w:val="19"/>
          <w:szCs w:val="19"/>
          <w:color w:val="auto"/>
        </w:rPr>
      </w:pPr>
      <w:r>
        <w:rPr>
          <w:rFonts w:ascii="Arial" w:cs="Arial" w:eastAsia="Arial" w:hAnsi="Arial"/>
          <w:sz w:val="19"/>
          <w:szCs w:val="19"/>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199" w:lineRule="exact"/>
        <w:rPr>
          <w:rFonts w:ascii="Arial" w:cs="Arial" w:eastAsia="Arial" w:hAnsi="Arial"/>
          <w:sz w:val="19"/>
          <w:szCs w:val="19"/>
          <w:color w:val="auto"/>
        </w:rPr>
      </w:pPr>
    </w:p>
    <w:p>
      <w:pPr>
        <w:ind w:left="1240" w:hanging="536"/>
        <w:spacing w:after="0"/>
        <w:tabs>
          <w:tab w:leader="none" w:pos="12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No Termination Event or Canadian Termination Event has occurred or is reasonably expected to occur;</w:t>
      </w:r>
    </w:p>
    <w:p>
      <w:pPr>
        <w:spacing w:after="0" w:line="215" w:lineRule="exact"/>
        <w:rPr>
          <w:rFonts w:ascii="Arial" w:cs="Arial" w:eastAsia="Arial" w:hAnsi="Arial"/>
          <w:sz w:val="20"/>
          <w:szCs w:val="20"/>
          <w:color w:val="auto"/>
        </w:rPr>
      </w:pPr>
    </w:p>
    <w:p>
      <w:pPr>
        <w:jc w:val="both"/>
        <w:ind w:left="60" w:firstLine="644"/>
        <w:spacing w:after="0" w:line="217" w:lineRule="auto"/>
        <w:tabs>
          <w:tab w:leader="none" w:pos="1236" w:val="left"/>
        </w:tabs>
        <w:numPr>
          <w:ilvl w:val="0"/>
          <w:numId w:val="323"/>
        </w:numPr>
        <w:rPr>
          <w:rFonts w:ascii="Arial" w:cs="Arial" w:eastAsia="Arial" w:hAnsi="Arial"/>
          <w:sz w:val="20"/>
          <w:szCs w:val="20"/>
          <w:color w:val="auto"/>
        </w:rPr>
      </w:pPr>
      <w:r>
        <w:rPr>
          <w:rFonts w:ascii="Arial" w:cs="Arial" w:eastAsia="Arial" w:hAnsi="Arial"/>
          <w:sz w:val="20"/>
          <w:szCs w:val="20"/>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in writing concerning or involving (i) any employee welfare benefit plan (as defined in Section 3(1) of ERISA) currently maintained or contributed to by any Credit Party or any ERISA Affiliate, (ii) any Pension Plan or Canadian Pension Plan, or (iii) any Multiemployer Plan or Canadian Multiemployer Plan.</w:t>
      </w:r>
    </w:p>
    <w:p>
      <w:pPr>
        <w:spacing w:after="0" w:line="196" w:lineRule="exact"/>
        <w:rPr>
          <w:rFonts w:ascii="Arial" w:cs="Arial" w:eastAsia="Arial" w:hAnsi="Arial"/>
          <w:sz w:val="20"/>
          <w:szCs w:val="20"/>
          <w:color w:val="auto"/>
        </w:rPr>
      </w:pPr>
    </w:p>
    <w:p>
      <w:pPr>
        <w:ind w:left="60" w:firstLine="644"/>
        <w:spacing w:after="0" w:line="236" w:lineRule="auto"/>
        <w:tabs>
          <w:tab w:leader="none" w:pos="1236" w:val="left"/>
        </w:tabs>
        <w:numPr>
          <w:ilvl w:val="0"/>
          <w:numId w:val="323"/>
        </w:numPr>
        <w:rPr>
          <w:rFonts w:ascii="Arial" w:cs="Arial" w:eastAsia="Arial" w:hAnsi="Arial"/>
          <w:sz w:val="20"/>
          <w:szCs w:val="20"/>
          <w:color w:val="auto"/>
        </w:rPr>
      </w:pPr>
      <w:r>
        <w:rPr>
          <w:rFonts w:ascii="Arial" w:cs="Arial" w:eastAsia="Arial" w:hAnsi="Arial"/>
          <w:sz w:val="20"/>
          <w:szCs w:val="20"/>
          <w:color w:val="auto"/>
        </w:rPr>
        <w:t>No Credit Party nor any Subsidiary thereof is a party to any contract, agreement or arrangement that could, solely as a result of the delivery of this Agreement or the consummation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97" w:name="page198"/>
    <w:bookmarkEnd w:id="197"/>
    <w:p>
      <w:pPr>
        <w:spacing w:after="0" w:line="209" w:lineRule="exact"/>
        <w:rPr>
          <w:sz w:val="20"/>
          <w:szCs w:val="20"/>
          <w:color w:val="auto"/>
        </w:rPr>
      </w:pPr>
    </w:p>
    <w:p>
      <w:pPr>
        <w:ind w:left="60" w:right="360"/>
        <w:spacing w:after="0" w:line="236" w:lineRule="auto"/>
        <w:rPr>
          <w:sz w:val="20"/>
          <w:szCs w:val="20"/>
          <w:color w:val="auto"/>
        </w:rPr>
      </w:pPr>
      <w:r>
        <w:rPr>
          <w:rFonts w:ascii="Arial" w:cs="Arial" w:eastAsia="Arial" w:hAnsi="Arial"/>
          <w:sz w:val="20"/>
          <w:szCs w:val="20"/>
          <w:color w:val="auto"/>
        </w:rPr>
        <w:t>transactions contemplated hereby, result in the payment of any “excess parachute payment” within the meaning of Section 280G of the Code.</w:t>
      </w:r>
    </w:p>
    <w:p>
      <w:pPr>
        <w:spacing w:after="0" w:line="196" w:lineRule="exact"/>
        <w:rPr>
          <w:sz w:val="20"/>
          <w:szCs w:val="20"/>
          <w:color w:val="auto"/>
        </w:rPr>
      </w:pPr>
    </w:p>
    <w:p>
      <w:pPr>
        <w:ind w:left="60" w:firstLine="644"/>
        <w:spacing w:after="0" w:line="236" w:lineRule="auto"/>
        <w:tabs>
          <w:tab w:leader="none" w:pos="1236"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As of the Closing Date, no Credit Party nor any Subsidiary thereof has established, or commenced participation in, any Canadian Employee Benefit Plan containing a defined benefit provision.</w:t>
      </w:r>
    </w:p>
    <w:p>
      <w:pPr>
        <w:spacing w:after="0" w:line="195" w:lineRule="exact"/>
        <w:rPr>
          <w:rFonts w:ascii="Arial" w:cs="Arial" w:eastAsia="Arial" w:hAnsi="Arial"/>
          <w:sz w:val="20"/>
          <w:szCs w:val="20"/>
          <w:color w:val="auto"/>
        </w:rPr>
      </w:pPr>
    </w:p>
    <w:p>
      <w:pPr>
        <w:jc w:val="both"/>
        <w:ind w:left="60" w:firstLine="644"/>
        <w:spacing w:after="0" w:line="223" w:lineRule="auto"/>
        <w:tabs>
          <w:tab w:leader="none" w:pos="1236"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As of the Closing Date no Borrower is nor will be using “plan assets” (within the meaning of 29 CFR § 2510.3-101, as modified by Section 3(42) of ERISA) of one or more Benefit Plans in connection with the Loans, the Letters of Credit or the Commitments.</w:t>
      </w:r>
    </w:p>
    <w:p>
      <w:pPr>
        <w:spacing w:after="0" w:line="209"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7.10</w:t>
      </w:r>
      <w:r>
        <w:rPr>
          <w:sz w:val="20"/>
          <w:szCs w:val="20"/>
          <w:color w:val="auto"/>
        </w:rPr>
        <w:tab/>
      </w:r>
      <w:r>
        <w:rPr>
          <w:rFonts w:ascii="Arial" w:cs="Arial" w:eastAsia="Arial" w:hAnsi="Arial"/>
          <w:sz w:val="18"/>
          <w:szCs w:val="18"/>
          <w:color w:val="auto"/>
        </w:rPr>
        <w:t>Margin Stock</w:t>
      </w:r>
    </w:p>
    <w:p>
      <w:pPr>
        <w:spacing w:after="0" w:line="270" w:lineRule="exact"/>
        <w:rPr>
          <w:sz w:val="20"/>
          <w:szCs w:val="20"/>
          <w:color w:val="auto"/>
        </w:rPr>
      </w:pPr>
    </w:p>
    <w:p>
      <w:pPr>
        <w:jc w:val="both"/>
        <w:ind w:left="60" w:hanging="5"/>
        <w:spacing w:after="0" w:line="213" w:lineRule="auto"/>
        <w:tabs>
          <w:tab w:leader="none" w:pos="17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Section 9.2 or Section 9.5 or subject to any restriction contained in any agreement or instrument between any Borrower and any Lender or any Affiliate of any Lender relating to Indebtedness in excess of the Threshold Amount will be “margin stock”.</w:t>
      </w:r>
    </w:p>
    <w:p>
      <w:pPr>
        <w:spacing w:after="0" w:line="202"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7.11</w:t>
      </w:r>
      <w:r>
        <w:rPr>
          <w:sz w:val="20"/>
          <w:szCs w:val="20"/>
          <w:color w:val="auto"/>
        </w:rPr>
        <w:tab/>
      </w:r>
      <w:r>
        <w:rPr>
          <w:rFonts w:ascii="Arial" w:cs="Arial" w:eastAsia="Arial" w:hAnsi="Arial"/>
          <w:sz w:val="18"/>
          <w:szCs w:val="18"/>
          <w:color w:val="auto"/>
        </w:rPr>
        <w:t>Government Regulation</w:t>
      </w:r>
    </w:p>
    <w:p>
      <w:pPr>
        <w:spacing w:after="0" w:line="283" w:lineRule="exact"/>
        <w:rPr>
          <w:sz w:val="20"/>
          <w:szCs w:val="20"/>
          <w:color w:val="auto"/>
        </w:rPr>
      </w:pPr>
    </w:p>
    <w:p>
      <w:pPr>
        <w:jc w:val="both"/>
        <w:ind w:left="60" w:hanging="4"/>
        <w:spacing w:after="0" w:line="220" w:lineRule="auto"/>
        <w:tabs>
          <w:tab w:leader="none" w:pos="16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9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7.12</w:t>
      </w:r>
      <w:r>
        <w:rPr>
          <w:sz w:val="20"/>
          <w:szCs w:val="20"/>
          <w:color w:val="auto"/>
        </w:rPr>
        <w:tab/>
      </w:r>
      <w:r>
        <w:rPr>
          <w:rFonts w:ascii="Arial" w:cs="Arial" w:eastAsia="Arial" w:hAnsi="Arial"/>
          <w:sz w:val="19"/>
          <w:szCs w:val="19"/>
          <w:color w:val="auto"/>
        </w:rPr>
        <w:t>[Intentionally Omitted]</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p>
    <w:p>
      <w:pPr>
        <w:spacing w:after="0" w:line="283"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7.13</w:t>
      </w:r>
      <w:r>
        <w:rPr>
          <w:sz w:val="20"/>
          <w:szCs w:val="20"/>
          <w:color w:val="auto"/>
        </w:rPr>
        <w:tab/>
      </w:r>
      <w:r>
        <w:rPr>
          <w:rFonts w:ascii="Arial" w:cs="Arial" w:eastAsia="Arial" w:hAnsi="Arial"/>
          <w:sz w:val="16"/>
          <w:szCs w:val="16"/>
          <w:color w:val="auto"/>
        </w:rPr>
        <w:t>Employee Relations</w:t>
      </w:r>
    </w:p>
    <w:p>
      <w:pPr>
        <w:spacing w:after="0" w:line="283" w:lineRule="exact"/>
        <w:rPr>
          <w:sz w:val="20"/>
          <w:szCs w:val="20"/>
          <w:color w:val="auto"/>
        </w:rPr>
      </w:pPr>
    </w:p>
    <w:p>
      <w:pPr>
        <w:jc w:val="both"/>
        <w:ind w:left="60" w:hanging="4"/>
        <w:spacing w:after="0" w:line="231" w:lineRule="auto"/>
        <w:tabs>
          <w:tab w:leader="none" w:pos="177"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As of the Closing Date, no Credit Party nor any Subsidiary thereof is party to any collective bargaining agreement, nor has any labor union been recognized as the representative of its employees except as set forth on Schedule 7.13. No Borrower knows of any pending, threatened in writing or contemplated strikes, work stoppage or other collective labor disputes involving its employees or those of its Subsidiaries that, individually or in the aggregate, could reasonably be expected to have a Material Adverse Effect.</w:t>
      </w:r>
    </w:p>
    <w:p>
      <w:pPr>
        <w:spacing w:after="0" w:line="198"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7.14</w:t>
      </w:r>
      <w:r>
        <w:rPr>
          <w:sz w:val="20"/>
          <w:szCs w:val="20"/>
          <w:color w:val="auto"/>
        </w:rPr>
        <w:tab/>
      </w:r>
      <w:r>
        <w:rPr>
          <w:rFonts w:ascii="Arial" w:cs="Arial" w:eastAsia="Arial" w:hAnsi="Arial"/>
          <w:sz w:val="16"/>
          <w:szCs w:val="16"/>
          <w:color w:val="auto"/>
        </w:rPr>
        <w:t>Burdensome Provisions</w:t>
      </w:r>
    </w:p>
    <w:p>
      <w:pPr>
        <w:spacing w:after="0" w:line="283" w:lineRule="exact"/>
        <w:rPr>
          <w:sz w:val="20"/>
          <w:szCs w:val="20"/>
          <w:color w:val="auto"/>
        </w:rPr>
      </w:pPr>
    </w:p>
    <w:p>
      <w:pPr>
        <w:jc w:val="both"/>
        <w:ind w:left="60" w:hanging="4"/>
        <w:spacing w:after="0" w:line="220" w:lineRule="auto"/>
        <w:tabs>
          <w:tab w:leader="none" w:pos="17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198" w:name="page199"/>
    <w:bookmarkEnd w:id="198"/>
    <w:p>
      <w:pPr>
        <w:ind w:left="720"/>
        <w:spacing w:after="0"/>
        <w:tabs>
          <w:tab w:leader="none" w:pos="2140" w:val="left"/>
        </w:tabs>
        <w:rPr>
          <w:sz w:val="20"/>
          <w:szCs w:val="20"/>
          <w:color w:val="auto"/>
        </w:rPr>
      </w:pPr>
      <w:r>
        <w:rPr>
          <w:rFonts w:ascii="Arial" w:cs="Arial" w:eastAsia="Arial" w:hAnsi="Arial"/>
          <w:sz w:val="20"/>
          <w:szCs w:val="20"/>
          <w:color w:val="auto"/>
        </w:rPr>
        <w:t>SECTION 7.15</w:t>
      </w:r>
      <w:r>
        <w:rPr>
          <w:sz w:val="20"/>
          <w:szCs w:val="20"/>
          <w:color w:val="auto"/>
        </w:rPr>
        <w:tab/>
      </w:r>
      <w:r>
        <w:rPr>
          <w:rFonts w:ascii="Arial" w:cs="Arial" w:eastAsia="Arial" w:hAnsi="Arial"/>
          <w:sz w:val="16"/>
          <w:szCs w:val="16"/>
          <w:color w:val="auto"/>
        </w:rPr>
        <w:t>Financial Statements</w:t>
      </w:r>
    </w:p>
    <w:p>
      <w:pPr>
        <w:spacing w:after="0" w:line="283" w:lineRule="exact"/>
        <w:rPr>
          <w:sz w:val="20"/>
          <w:szCs w:val="20"/>
          <w:color w:val="auto"/>
        </w:rPr>
      </w:pPr>
    </w:p>
    <w:p>
      <w:pPr>
        <w:jc w:val="both"/>
        <w:ind w:left="80" w:hanging="4"/>
        <w:spacing w:after="0" w:line="267" w:lineRule="auto"/>
        <w:tabs>
          <w:tab w:leader="none" w:pos="19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audited and unaudited financial statements delivered pursuant to Section 6.1(e)(i) are 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projections delivered to the Administrative Agent and the Arrangers prior to the Closing Date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383"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20"/>
          <w:szCs w:val="20"/>
          <w:color w:val="auto"/>
        </w:rPr>
        <w:t>SECTION 7.16</w:t>
      </w:r>
      <w:r>
        <w:rPr>
          <w:sz w:val="20"/>
          <w:szCs w:val="20"/>
          <w:color w:val="auto"/>
        </w:rPr>
        <w:tab/>
      </w:r>
      <w:r>
        <w:rPr>
          <w:rFonts w:ascii="Arial" w:cs="Arial" w:eastAsia="Arial" w:hAnsi="Arial"/>
          <w:sz w:val="18"/>
          <w:szCs w:val="18"/>
          <w:color w:val="auto"/>
        </w:rPr>
        <w:t>No Material Adverse Change</w:t>
      </w:r>
    </w:p>
    <w:p>
      <w:pPr>
        <w:spacing w:after="0" w:line="283" w:lineRule="exact"/>
        <w:rPr>
          <w:sz w:val="20"/>
          <w:szCs w:val="20"/>
          <w:color w:val="auto"/>
        </w:rPr>
      </w:pPr>
    </w:p>
    <w:p>
      <w:pPr>
        <w:jc w:val="both"/>
        <w:ind w:left="80" w:right="20" w:hanging="4"/>
        <w:spacing w:after="0" w:line="223" w:lineRule="auto"/>
        <w:tabs>
          <w:tab w:leader="none" w:pos="183" w:val="left"/>
        </w:tabs>
        <w:numPr>
          <w:ilvl w:val="0"/>
          <w:numId w:val="330"/>
        </w:numPr>
        <w:rPr>
          <w:rFonts w:ascii="Arial" w:cs="Arial" w:eastAsia="Arial" w:hAnsi="Arial"/>
          <w:sz w:val="20"/>
          <w:szCs w:val="20"/>
          <w:color w:val="auto"/>
        </w:rPr>
      </w:pPr>
      <w:r>
        <w:rPr>
          <w:rFonts w:ascii="Arial" w:cs="Arial" w:eastAsia="Arial" w:hAnsi="Arial"/>
          <w:sz w:val="20"/>
          <w:szCs w:val="20"/>
          <w:color w:val="auto"/>
        </w:rPr>
        <w:t>Since December 31, 2020,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96"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20"/>
          <w:szCs w:val="20"/>
          <w:color w:val="auto"/>
        </w:rPr>
        <w:t>SECTION 7.17</w:t>
      </w:r>
      <w:r>
        <w:rPr>
          <w:sz w:val="20"/>
          <w:szCs w:val="20"/>
          <w:color w:val="auto"/>
        </w:rPr>
        <w:tab/>
      </w:r>
      <w:r>
        <w:rPr>
          <w:rFonts w:ascii="Arial" w:cs="Arial" w:eastAsia="Arial" w:hAnsi="Arial"/>
          <w:sz w:val="16"/>
          <w:szCs w:val="16"/>
          <w:color w:val="auto"/>
        </w:rPr>
        <w:t>Solvency</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20"/>
          <w:szCs w:val="20"/>
          <w:color w:val="auto"/>
        </w:rPr>
        <w:t>. The Borrowers and their respective Subsidiaries, on a Consolidated basis, are Solvent.</w:t>
      </w:r>
    </w:p>
    <w:p>
      <w:pPr>
        <w:spacing w:after="0" w:line="229" w:lineRule="exact"/>
        <w:rPr>
          <w:sz w:val="20"/>
          <w:szCs w:val="20"/>
          <w:color w:val="auto"/>
        </w:rPr>
      </w:pPr>
    </w:p>
    <w:p>
      <w:pPr>
        <w:ind w:left="720"/>
        <w:spacing w:after="0"/>
        <w:tabs>
          <w:tab w:leader="none" w:pos="2120" w:val="left"/>
        </w:tabs>
        <w:rPr>
          <w:sz w:val="20"/>
          <w:szCs w:val="20"/>
          <w:color w:val="auto"/>
        </w:rPr>
      </w:pPr>
      <w:r>
        <w:rPr>
          <w:rFonts w:ascii="Arial" w:cs="Arial" w:eastAsia="Arial" w:hAnsi="Arial"/>
          <w:sz w:val="20"/>
          <w:szCs w:val="20"/>
          <w:color w:val="auto"/>
        </w:rPr>
        <w:t>SECTION 7.18</w:t>
      </w:r>
      <w:r>
        <w:rPr>
          <w:sz w:val="20"/>
          <w:szCs w:val="20"/>
          <w:color w:val="auto"/>
        </w:rPr>
        <w:tab/>
      </w:r>
      <w:r>
        <w:rPr>
          <w:rFonts w:ascii="Arial" w:cs="Arial" w:eastAsia="Arial" w:hAnsi="Arial"/>
          <w:sz w:val="18"/>
          <w:szCs w:val="18"/>
          <w:color w:val="auto"/>
        </w:rPr>
        <w:t>Title to Properties</w:t>
      </w:r>
    </w:p>
    <w:p>
      <w:pPr>
        <w:spacing w:after="0" w:line="283" w:lineRule="exact"/>
        <w:rPr>
          <w:sz w:val="20"/>
          <w:szCs w:val="20"/>
          <w:color w:val="auto"/>
        </w:rPr>
      </w:pPr>
    </w:p>
    <w:p>
      <w:pPr>
        <w:jc w:val="both"/>
        <w:ind w:left="80" w:hanging="4"/>
        <w:spacing w:after="0" w:line="227" w:lineRule="auto"/>
        <w:tabs>
          <w:tab w:leader="none" w:pos="181" w:val="left"/>
        </w:tabs>
        <w:numPr>
          <w:ilvl w:val="0"/>
          <w:numId w:val="331"/>
        </w:numPr>
        <w:rPr>
          <w:rFonts w:ascii="Arial" w:cs="Arial" w:eastAsia="Arial" w:hAnsi="Arial"/>
          <w:sz w:val="19"/>
          <w:szCs w:val="19"/>
          <w:color w:val="auto"/>
        </w:rPr>
      </w:pPr>
      <w:r>
        <w:rPr>
          <w:rFonts w:ascii="Arial" w:cs="Arial" w:eastAsia="Arial" w:hAnsi="Arial"/>
          <w:sz w:val="19"/>
          <w:szCs w:val="19"/>
          <w:color w:val="auto"/>
        </w:rPr>
        <w:t>As of the Closing Date, the real property listed on Schedule 7.18 constitutes all of the real 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195"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20"/>
          <w:szCs w:val="20"/>
          <w:color w:val="auto"/>
        </w:rPr>
        <w:t>SECTION 7.19</w:t>
      </w:r>
      <w:r>
        <w:rPr>
          <w:sz w:val="20"/>
          <w:szCs w:val="20"/>
          <w:color w:val="auto"/>
        </w:rPr>
        <w:tab/>
      </w:r>
      <w:r>
        <w:rPr>
          <w:rFonts w:ascii="Arial" w:cs="Arial" w:eastAsia="Arial" w:hAnsi="Arial"/>
          <w:sz w:val="19"/>
          <w:szCs w:val="19"/>
          <w:color w:val="auto"/>
        </w:rPr>
        <w:t>Litigation</w:t>
      </w:r>
    </w:p>
    <w:p>
      <w:pPr>
        <w:spacing w:after="0" w:line="283" w:lineRule="exact"/>
        <w:rPr>
          <w:sz w:val="20"/>
          <w:szCs w:val="20"/>
          <w:color w:val="auto"/>
        </w:rPr>
      </w:pPr>
    </w:p>
    <w:p>
      <w:pPr>
        <w:jc w:val="both"/>
        <w:ind w:left="80" w:hanging="4"/>
        <w:spacing w:after="0" w:line="220" w:lineRule="auto"/>
        <w:tabs>
          <w:tab w:leader="none" w:pos="19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There are no actions, suits or proceedings pending nor, to the knowledge of any Borrower, threatened 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210" w:lineRule="exact"/>
        <w:rPr>
          <w:sz w:val="20"/>
          <w:szCs w:val="20"/>
          <w:color w:val="auto"/>
        </w:rPr>
      </w:pPr>
    </w:p>
    <w:p>
      <w:pPr>
        <w:ind w:left="720"/>
        <w:spacing w:after="0"/>
        <w:tabs>
          <w:tab w:leader="none" w:pos="2120" w:val="left"/>
        </w:tabs>
        <w:rPr>
          <w:sz w:val="20"/>
          <w:szCs w:val="20"/>
          <w:color w:val="auto"/>
        </w:rPr>
      </w:pPr>
      <w:r>
        <w:rPr>
          <w:rFonts w:ascii="Arial" w:cs="Arial" w:eastAsia="Arial" w:hAnsi="Arial"/>
          <w:sz w:val="20"/>
          <w:szCs w:val="20"/>
          <w:color w:val="auto"/>
        </w:rPr>
        <w:t>SECTION 7.20</w:t>
      </w:r>
      <w:r>
        <w:rPr>
          <w:sz w:val="20"/>
          <w:szCs w:val="20"/>
          <w:color w:val="auto"/>
        </w:rPr>
        <w:tab/>
      </w:r>
      <w:r>
        <w:rPr>
          <w:rFonts w:ascii="Arial" w:cs="Arial" w:eastAsia="Arial" w:hAnsi="Arial"/>
          <w:sz w:val="18"/>
          <w:szCs w:val="18"/>
          <w:color w:val="auto"/>
        </w:rPr>
        <w:t>Anti-Corruption Laws and Sanctions</w:t>
      </w:r>
    </w:p>
    <w:p>
      <w:pPr>
        <w:spacing w:after="0" w:line="270"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80" w:right="240" w:firstLine="644"/>
        <w:spacing w:after="0" w:line="229" w:lineRule="auto"/>
        <w:tabs>
          <w:tab w:leader="none" w:pos="1256" w:val="left"/>
        </w:tabs>
        <w:numPr>
          <w:ilvl w:val="0"/>
          <w:numId w:val="333"/>
        </w:numPr>
        <w:rPr>
          <w:rFonts w:ascii="Arial" w:cs="Arial" w:eastAsia="Arial" w:hAnsi="Arial"/>
          <w:sz w:val="20"/>
          <w:szCs w:val="20"/>
          <w:color w:val="auto"/>
        </w:rPr>
      </w:pPr>
      <w:r>
        <w:rPr>
          <w:rFonts w:ascii="Arial" w:cs="Arial" w:eastAsia="Arial" w:hAnsi="Arial"/>
          <w:sz w:val="20"/>
          <w:szCs w:val="20"/>
          <w:color w:val="auto"/>
        </w:rPr>
        <w:t>None of (i) the Borrowers, any Subsidiary of any Borrower or, to the knowledge of any Borrower or any such Subsidiary, any of their respective directors, officers or employees, or (ii) to the</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115</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1405" w:right="439" w:bottom="1440" w:gutter="0" w:footer="0" w:header="0"/>
        </w:sectPr>
      </w:pPr>
    </w:p>
    <w:bookmarkStart w:id="199" w:name="page200"/>
    <w:bookmarkEnd w:id="199"/>
    <w:p>
      <w:pPr>
        <w:ind w:left="80"/>
        <w:spacing w:after="0"/>
        <w:rPr>
          <w:sz w:val="20"/>
          <w:szCs w:val="20"/>
          <w:color w:val="auto"/>
        </w:rPr>
      </w:pPr>
      <w:r>
        <w:rPr>
          <w:rFonts w:ascii="Arial" w:cs="Arial" w:eastAsia="Arial" w:hAnsi="Arial"/>
          <w:sz w:val="18"/>
          <w:szCs w:val="18"/>
          <w:color w:val="auto"/>
        </w:rPr>
        <w:t>knowledge of any Borrower, any agent of any Borrower or any Subsidiary of any Borrower that will act in any capacity in connection with</w:t>
      </w:r>
    </w:p>
    <w:p>
      <w:pPr>
        <w:spacing w:after="0" w:line="12" w:lineRule="exact"/>
        <w:rPr>
          <w:sz w:val="20"/>
          <w:szCs w:val="20"/>
          <w:color w:val="auto"/>
        </w:rPr>
      </w:pPr>
    </w:p>
    <w:p>
      <w:pPr>
        <w:jc w:val="both"/>
        <w:ind w:left="80"/>
        <w:spacing w:after="0" w:line="226" w:lineRule="auto"/>
        <w:rPr>
          <w:sz w:val="20"/>
          <w:szCs w:val="20"/>
          <w:color w:val="auto"/>
        </w:rPr>
      </w:pPr>
      <w:r>
        <w:rPr>
          <w:rFonts w:ascii="Arial" w:cs="Arial" w:eastAsia="Arial" w:hAnsi="Arial"/>
          <w:sz w:val="18"/>
          <w:szCs w:val="18"/>
          <w:color w:val="auto"/>
        </w:rPr>
        <w:t>or benefit from the credit facilities established hereby, (A) is a Sanctioned Person or currently the subject or target of any Sanctions, (B) is controlled by or is acting on behalf of a Sanctioned Person, (C) has its assets located in a Sanctioned Country, (D) is under administrative,</w:t>
      </w:r>
    </w:p>
    <w:p>
      <w:pPr>
        <w:ind w:left="80"/>
        <w:spacing w:after="0" w:line="224" w:lineRule="auto"/>
        <w:rPr>
          <w:sz w:val="20"/>
          <w:szCs w:val="20"/>
          <w:color w:val="auto"/>
        </w:rPr>
      </w:pPr>
      <w:r>
        <w:rPr>
          <w:rFonts w:ascii="Arial" w:cs="Arial" w:eastAsia="Arial" w:hAnsi="Arial"/>
          <w:sz w:val="19"/>
          <w:szCs w:val="19"/>
          <w:color w:val="auto"/>
        </w:rPr>
        <w:t>civil or criminal investigation for an alleged violation of, or received notice from or made a voluntary disclosure to any governmental</w:t>
      </w:r>
    </w:p>
    <w:p>
      <w:pPr>
        <w:ind w:left="80"/>
        <w:spacing w:after="0" w:line="226" w:lineRule="auto"/>
        <w:rPr>
          <w:sz w:val="20"/>
          <w:szCs w:val="20"/>
          <w:color w:val="auto"/>
        </w:rPr>
      </w:pPr>
      <w:r>
        <w:rPr>
          <w:rFonts w:ascii="Arial" w:cs="Arial" w:eastAsia="Arial" w:hAnsi="Arial"/>
          <w:sz w:val="18"/>
          <w:szCs w:val="18"/>
          <w:color w:val="auto"/>
        </w:rPr>
        <w:t>entity regarding a possible violation of, Anti-Corruption Laws, Anti-Money Laundering Laws or Sanctions by a governmental authority that enforces Sanctions or any Anti-Corruption Laws or Anti-Money Laundering Laws, or (E) directly or indirectly derives revenues from</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investments in, or transactions with, Sanctioned Persons.</w:t>
      </w:r>
    </w:p>
    <w:p>
      <w:pPr>
        <w:spacing w:after="0" w:line="200" w:lineRule="exact"/>
        <w:rPr>
          <w:sz w:val="20"/>
          <w:szCs w:val="20"/>
          <w:color w:val="auto"/>
        </w:rPr>
      </w:pPr>
    </w:p>
    <w:p>
      <w:pPr>
        <w:jc w:val="both"/>
        <w:ind w:left="80" w:right="20" w:firstLine="644"/>
        <w:spacing w:after="0" w:line="227" w:lineRule="auto"/>
        <w:tabs>
          <w:tab w:leader="none" w:pos="125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97" w:lineRule="exact"/>
        <w:rPr>
          <w:rFonts w:ascii="Arial" w:cs="Arial" w:eastAsia="Arial" w:hAnsi="Arial"/>
          <w:sz w:val="20"/>
          <w:szCs w:val="20"/>
          <w:color w:val="auto"/>
        </w:rPr>
      </w:pPr>
    </w:p>
    <w:p>
      <w:pPr>
        <w:jc w:val="both"/>
        <w:ind w:left="80" w:firstLine="644"/>
        <w:spacing w:after="0" w:line="223" w:lineRule="auto"/>
        <w:tabs>
          <w:tab w:leader="none" w:pos="125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209" w:lineRule="exact"/>
        <w:rPr>
          <w:rFonts w:ascii="Arial" w:cs="Arial" w:eastAsia="Arial" w:hAnsi="Arial"/>
          <w:sz w:val="20"/>
          <w:szCs w:val="20"/>
          <w:color w:val="auto"/>
        </w:rPr>
      </w:pPr>
    </w:p>
    <w:p>
      <w:pPr>
        <w:ind w:left="80" w:firstLine="644"/>
        <w:spacing w:after="0" w:line="229" w:lineRule="auto"/>
        <w:tabs>
          <w:tab w:leader="none" w:pos="125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No proceeds of any Extension of Credit have been used, directly or indirectly, by any Borrower, any of its Subsidiaries or any of its or their respective directors, officers, employees and agents in violation of Section 8.15.</w:t>
      </w:r>
    </w:p>
    <w:p>
      <w:pPr>
        <w:spacing w:after="0" w:line="263" w:lineRule="exact"/>
        <w:rPr>
          <w:sz w:val="20"/>
          <w:szCs w:val="20"/>
          <w:color w:val="auto"/>
        </w:rPr>
      </w:pPr>
    </w:p>
    <w:p>
      <w:pPr>
        <w:ind w:left="720"/>
        <w:spacing w:after="0"/>
        <w:tabs>
          <w:tab w:leader="none" w:pos="2120" w:val="left"/>
        </w:tabs>
        <w:rPr>
          <w:sz w:val="20"/>
          <w:szCs w:val="20"/>
          <w:color w:val="auto"/>
        </w:rPr>
      </w:pPr>
      <w:r>
        <w:rPr>
          <w:rFonts w:ascii="Arial" w:cs="Arial" w:eastAsia="Arial" w:hAnsi="Arial"/>
          <w:sz w:val="20"/>
          <w:szCs w:val="20"/>
          <w:color w:val="auto"/>
        </w:rPr>
        <w:t>SECTION 7.21</w:t>
      </w:r>
      <w:r>
        <w:rPr>
          <w:sz w:val="20"/>
          <w:szCs w:val="20"/>
          <w:color w:val="auto"/>
        </w:rPr>
        <w:tab/>
      </w:r>
      <w:r>
        <w:rPr>
          <w:rFonts w:ascii="Arial" w:cs="Arial" w:eastAsia="Arial" w:hAnsi="Arial"/>
          <w:sz w:val="18"/>
          <w:szCs w:val="18"/>
          <w:color w:val="auto"/>
        </w:rPr>
        <w:t>Absence of Defaults</w:t>
      </w:r>
    </w:p>
    <w:p>
      <w:pPr>
        <w:spacing w:after="0" w:line="283" w:lineRule="exact"/>
        <w:rPr>
          <w:sz w:val="20"/>
          <w:szCs w:val="20"/>
          <w:color w:val="auto"/>
        </w:rPr>
      </w:pPr>
    </w:p>
    <w:p>
      <w:pPr>
        <w:jc w:val="both"/>
        <w:ind w:left="80" w:hanging="5"/>
        <w:spacing w:after="0" w:line="226" w:lineRule="auto"/>
        <w:tabs>
          <w:tab w:leader="none" w:pos="183" w:val="left"/>
        </w:tabs>
        <w:numPr>
          <w:ilvl w:val="0"/>
          <w:numId w:val="335"/>
        </w:numPr>
        <w:rPr>
          <w:rFonts w:ascii="Arial" w:cs="Arial" w:eastAsia="Arial" w:hAnsi="Arial"/>
          <w:sz w:val="19"/>
          <w:szCs w:val="19"/>
          <w:color w:val="auto"/>
        </w:rPr>
      </w:pPr>
      <w:r>
        <w:rPr>
          <w:rFonts w:ascii="Arial" w:cs="Arial" w:eastAsia="Arial" w:hAnsi="Arial"/>
          <w:sz w:val="19"/>
          <w:szCs w:val="19"/>
          <w:color w:val="auto"/>
        </w:rPr>
        <w:t>No event has occurred or is continuing (a) which constitutes a Default or an Event of Default, or (b) which constitutes, or which with the passage of time or giving of notice or both would constitute, a default or event of default by any Credit Party or any Subsidiary thereof under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(b), could, either individually or in the aggregate, reasonably be expected to have a Material Adverse Effect.</w:t>
      </w:r>
    </w:p>
    <w:p>
      <w:pPr>
        <w:spacing w:after="0" w:line="210"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20"/>
          <w:szCs w:val="20"/>
          <w:color w:val="auto"/>
        </w:rPr>
        <w:t>SECTION 7.22</w:t>
      </w:r>
      <w:r>
        <w:rPr>
          <w:sz w:val="20"/>
          <w:szCs w:val="20"/>
          <w:color w:val="auto"/>
        </w:rPr>
        <w:tab/>
      </w:r>
      <w:r>
        <w:rPr>
          <w:rFonts w:ascii="Arial" w:cs="Arial" w:eastAsia="Arial" w:hAnsi="Arial"/>
          <w:sz w:val="16"/>
          <w:szCs w:val="16"/>
          <w:color w:val="auto"/>
        </w:rPr>
        <w:t>Senior Indebtedness Status</w:t>
      </w:r>
    </w:p>
    <w:p>
      <w:pPr>
        <w:spacing w:after="0" w:line="270" w:lineRule="exact"/>
        <w:rPr>
          <w:sz w:val="20"/>
          <w:szCs w:val="20"/>
          <w:color w:val="auto"/>
        </w:rPr>
      </w:pPr>
    </w:p>
    <w:p>
      <w:pPr>
        <w:jc w:val="both"/>
        <w:ind w:left="80" w:hanging="4"/>
        <w:spacing w:after="0" w:line="243" w:lineRule="auto"/>
        <w:tabs>
          <w:tab w:leader="none" w:pos="18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Obligations of each Credit Party and each Subsidiary thereof under this Agreement and each of the other Loan Documents ranks and shall continue to rank at least senior in priority of payment to all Subordinated Indebtedness and pari passu in priority of payment with all senior unsecured Indebtedness of each such Person and, to the extent required to be so designated to constitute “Senior Indebtedness” (or the equivalent), has been so designated as “Senior Indebtedness” (or the equivalent) under all instruments and documents, now or in the future, relating to all Subordinated Indebtedness and all senior unsecured Indebtedness of such Person.</w:t>
      </w:r>
    </w:p>
    <w:p>
      <w:pPr>
        <w:spacing w:after="0" w:line="194"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20"/>
          <w:szCs w:val="20"/>
          <w:color w:val="auto"/>
        </w:rPr>
        <w:t>SECTION 7.23</w:t>
      </w:r>
      <w:r>
        <w:rPr>
          <w:sz w:val="20"/>
          <w:szCs w:val="20"/>
          <w:color w:val="auto"/>
        </w:rPr>
        <w:tab/>
      </w:r>
      <w:r>
        <w:rPr>
          <w:rFonts w:ascii="Arial" w:cs="Arial" w:eastAsia="Arial" w:hAnsi="Arial"/>
          <w:sz w:val="16"/>
          <w:szCs w:val="16"/>
          <w:color w:val="auto"/>
        </w:rPr>
        <w:t>Disclosure</w:t>
      </w:r>
    </w:p>
    <w:p>
      <w:pPr>
        <w:spacing w:after="0" w:line="283" w:lineRule="exact"/>
        <w:rPr>
          <w:sz w:val="20"/>
          <w:szCs w:val="20"/>
          <w:color w:val="auto"/>
        </w:rPr>
      </w:pPr>
    </w:p>
    <w:p>
      <w:pPr>
        <w:jc w:val="both"/>
        <w:ind w:left="80" w:hanging="4"/>
        <w:spacing w:after="0" w:line="246" w:lineRule="auto"/>
        <w:tabs>
          <w:tab w:leader="none" w:pos="1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116</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1405" w:right="439" w:bottom="1440" w:gutter="0" w:footer="0" w:header="0"/>
        </w:sectPr>
      </w:pPr>
    </w:p>
    <w:bookmarkStart w:id="200" w:name="page201"/>
    <w:bookmarkEnd w:id="200"/>
    <w:p>
      <w:pPr>
        <w:ind w:left="80"/>
        <w:spacing w:after="0"/>
        <w:rPr>
          <w:sz w:val="20"/>
          <w:szCs w:val="20"/>
          <w:color w:val="auto"/>
        </w:rPr>
      </w:pPr>
      <w:r>
        <w:rPr>
          <w:rFonts w:ascii="Arial" w:cs="Arial" w:eastAsia="Arial" w:hAnsi="Arial"/>
          <w:sz w:val="18"/>
          <w:szCs w:val="18"/>
          <w:color w:val="auto"/>
        </w:rPr>
        <w:t>any Credit Party or any Subsidiary thereof to the Administrative Agent or any Lender in connection with the transactions contemplated</w:t>
      </w:r>
    </w:p>
    <w:p>
      <w:pPr>
        <w:spacing w:after="0" w:line="1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hereby and the negotiation of this Agreement or delivered hereunder (as modified or supplemented by other information so furnished), taken together as a whole, contains any untrue statement of a material fact or omits to state any material fact necessary to make the</w:t>
      </w:r>
    </w:p>
    <w:p>
      <w:pPr>
        <w:ind w:left="80"/>
        <w:spacing w:after="0" w:line="236" w:lineRule="auto"/>
        <w:rPr>
          <w:sz w:val="20"/>
          <w:szCs w:val="20"/>
          <w:color w:val="auto"/>
        </w:rPr>
      </w:pPr>
      <w:r>
        <w:rPr>
          <w:rFonts w:ascii="Arial" w:cs="Arial" w:eastAsia="Arial" w:hAnsi="Arial"/>
          <w:sz w:val="18"/>
          <w:szCs w:val="18"/>
          <w:color w:val="auto"/>
        </w:rPr>
        <w:t>statements therein, in the light of the circumstances under which they were made, not misleading; provided that, with respect to projected</w:t>
      </w:r>
    </w:p>
    <w:p>
      <w:pPr>
        <w:spacing w:after="0" w:line="1"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financial information, pro forma financial information, estimated financial information and other projected or estimated information, such information was prepared in good faith based upon assumptions believed to be reasonable at the time (it being recognized by the Lenders</w:t>
      </w:r>
    </w:p>
    <w:p>
      <w:pPr>
        <w:ind w:left="80"/>
        <w:spacing w:after="0" w:line="236" w:lineRule="auto"/>
        <w:rPr>
          <w:sz w:val="20"/>
          <w:szCs w:val="20"/>
          <w:color w:val="auto"/>
        </w:rPr>
      </w:pPr>
      <w:r>
        <w:rPr>
          <w:rFonts w:ascii="Arial" w:cs="Arial" w:eastAsia="Arial" w:hAnsi="Arial"/>
          <w:sz w:val="18"/>
          <w:szCs w:val="18"/>
          <w:color w:val="auto"/>
        </w:rPr>
        <w:t>that projections are not to be viewed as facts and that the actual results during the period or periods covered by such projections may vary</w:t>
      </w:r>
    </w:p>
    <w:p>
      <w:pPr>
        <w:spacing w:after="0" w:line="1" w:lineRule="exact"/>
        <w:rPr>
          <w:sz w:val="20"/>
          <w:szCs w:val="20"/>
          <w:color w:val="auto"/>
        </w:rPr>
      </w:pPr>
    </w:p>
    <w:p>
      <w:pPr>
        <w:ind w:left="80"/>
        <w:spacing w:after="0" w:line="220" w:lineRule="auto"/>
        <w:rPr>
          <w:sz w:val="20"/>
          <w:szCs w:val="20"/>
          <w:color w:val="auto"/>
        </w:rPr>
      </w:pPr>
      <w:r>
        <w:rPr>
          <w:rFonts w:ascii="Arial" w:cs="Arial" w:eastAsia="Arial" w:hAnsi="Arial"/>
          <w:sz w:val="20"/>
          <w:szCs w:val="20"/>
          <w:color w:val="auto"/>
        </w:rPr>
        <w:t>from such projections). As of the Closing Date, all of the information included in the Beneficial Ownership Certification, if applicable, is true and correct.</w:t>
      </w:r>
    </w:p>
    <w:p>
      <w:pPr>
        <w:spacing w:after="0" w:line="210"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20"/>
          <w:szCs w:val="20"/>
          <w:color w:val="auto"/>
        </w:rPr>
        <w:t>SECTION 7.24</w:t>
      </w:r>
      <w:r>
        <w:rPr>
          <w:sz w:val="20"/>
          <w:szCs w:val="20"/>
          <w:color w:val="auto"/>
        </w:rPr>
        <w:tab/>
      </w:r>
      <w:r>
        <w:rPr>
          <w:rFonts w:ascii="Arial" w:cs="Arial" w:eastAsia="Arial" w:hAnsi="Arial"/>
          <w:sz w:val="16"/>
          <w:szCs w:val="16"/>
          <w:color w:val="auto"/>
        </w:rPr>
        <w:t>Insurance</w:t>
      </w:r>
    </w:p>
    <w:p>
      <w:pPr>
        <w:spacing w:after="0" w:line="283" w:lineRule="exact"/>
        <w:rPr>
          <w:sz w:val="20"/>
          <w:szCs w:val="20"/>
          <w:color w:val="auto"/>
        </w:rPr>
      </w:pPr>
    </w:p>
    <w:p>
      <w:pPr>
        <w:jc w:val="both"/>
        <w:ind w:left="80" w:hanging="5"/>
        <w:spacing w:after="0" w:line="223" w:lineRule="auto"/>
        <w:tabs>
          <w:tab w:leader="none" w:pos="191"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VIII AFFIRMATIVE COVENANTS</w:t>
      </w:r>
    </w:p>
    <w:p>
      <w:pPr>
        <w:spacing w:after="0" w:line="94" w:lineRule="exact"/>
        <w:rPr>
          <w:sz w:val="20"/>
          <w:szCs w:val="20"/>
          <w:color w:val="auto"/>
        </w:rPr>
      </w:pPr>
    </w:p>
    <w:p>
      <w:pPr>
        <w:jc w:val="both"/>
        <w:ind w:left="80" w:right="20" w:firstLine="648"/>
        <w:spacing w:after="0" w:line="227"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98" w:lineRule="exact"/>
        <w:rPr>
          <w:sz w:val="20"/>
          <w:szCs w:val="20"/>
          <w:color w:val="auto"/>
        </w:rPr>
      </w:pPr>
    </w:p>
    <w:p>
      <w:pPr>
        <w:ind w:left="720"/>
        <w:spacing w:after="0"/>
        <w:tabs>
          <w:tab w:leader="none" w:pos="204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6"/>
          <w:szCs w:val="16"/>
          <w:color w:val="auto"/>
        </w:rPr>
        <w:t>Financial Statements and Budgets</w:t>
      </w:r>
    </w:p>
    <w:p>
      <w:pPr>
        <w:spacing w:after="0" w:line="283" w:lineRule="exact"/>
        <w:rPr>
          <w:sz w:val="20"/>
          <w:szCs w:val="20"/>
          <w:color w:val="auto"/>
        </w:rPr>
      </w:pPr>
    </w:p>
    <w:p>
      <w:pPr>
        <w:ind w:left="80" w:right="640" w:hanging="4"/>
        <w:spacing w:after="0" w:line="229" w:lineRule="auto"/>
        <w:tabs>
          <w:tab w:leader="none" w:pos="179" w:val="left"/>
        </w:tabs>
        <w:numPr>
          <w:ilvl w:val="0"/>
          <w:numId w:val="339"/>
        </w:numPr>
        <w:rPr>
          <w:rFonts w:ascii="Arial" w:cs="Arial" w:eastAsia="Arial" w:hAnsi="Arial"/>
          <w:sz w:val="20"/>
          <w:szCs w:val="20"/>
          <w:color w:val="auto"/>
        </w:rPr>
      </w:pPr>
      <w:r>
        <w:rPr>
          <w:rFonts w:ascii="Arial" w:cs="Arial" w:eastAsia="Arial" w:hAnsi="Arial"/>
          <w:sz w:val="20"/>
          <w:szCs w:val="20"/>
          <w:color w:val="auto"/>
        </w:rPr>
        <w:t>Deliver to the Administrative Agent, in form and detail satisfactory to the Administrative Agent (which shall promptly make such information available to the Lenders in accordance with its customary practice):</w:t>
      </w:r>
    </w:p>
    <w:p>
      <w:pPr>
        <w:spacing w:after="0" w:line="209" w:lineRule="exact"/>
        <w:rPr>
          <w:rFonts w:ascii="Arial" w:cs="Arial" w:eastAsia="Arial" w:hAnsi="Arial"/>
          <w:sz w:val="20"/>
          <w:szCs w:val="20"/>
          <w:color w:val="auto"/>
        </w:rPr>
      </w:pPr>
    </w:p>
    <w:p>
      <w:pPr>
        <w:jc w:val="both"/>
        <w:ind w:left="80" w:firstLine="644"/>
        <w:spacing w:after="0" w:line="266" w:lineRule="auto"/>
        <w:tabs>
          <w:tab w:leader="none" w:pos="1256" w:val="left"/>
        </w:tabs>
        <w:numPr>
          <w:ilvl w:val="1"/>
          <w:numId w:val="339"/>
        </w:numPr>
        <w:rPr>
          <w:rFonts w:ascii="Arial" w:cs="Arial" w:eastAsia="Arial" w:hAnsi="Arial"/>
          <w:sz w:val="16"/>
          <w:szCs w:val="16"/>
          <w:color w:val="auto"/>
        </w:rPr>
      </w:pPr>
      <w:r>
        <w:rPr>
          <w:rFonts w:ascii="Arial" w:cs="Arial" w:eastAsia="Arial" w:hAnsi="Arial"/>
          <w:sz w:val="16"/>
          <w:szCs w:val="16"/>
          <w:color w:val="auto"/>
        </w:rPr>
        <w:t>Annual Financial Statements. As soon as practicable and in any event within ninety (90) days (or, if earlier, on the date of any required public filing thereof) after the end of each Fiscal Year (commencing with the Fiscal Year ending December 31, 2021),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365" w:lineRule="exact"/>
        <w:rPr>
          <w:rFonts w:ascii="Arial" w:cs="Arial" w:eastAsia="Arial" w:hAnsi="Arial"/>
          <w:sz w:val="16"/>
          <w:szCs w:val="16"/>
          <w:color w:val="auto"/>
        </w:rPr>
      </w:pPr>
    </w:p>
    <w:p>
      <w:pPr>
        <w:ind w:left="1360" w:hanging="636"/>
        <w:spacing w:after="0"/>
        <w:tabs>
          <w:tab w:leader="none" w:pos="136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Quarterly Financial Statements. As soon as practicable and in any event within forty-five</w:t>
      </w:r>
    </w:p>
    <w:p>
      <w:pPr>
        <w:ind w:left="5440" w:right="2480" w:hanging="5364"/>
        <w:spacing w:after="0" w:line="539" w:lineRule="auto"/>
        <w:tabs>
          <w:tab w:leader="none" w:pos="456" w:val="left"/>
        </w:tabs>
        <w:numPr>
          <w:ilvl w:val="0"/>
          <w:numId w:val="340"/>
        </w:numPr>
        <w:rPr>
          <w:rFonts w:ascii="Arial" w:cs="Arial" w:eastAsia="Arial" w:hAnsi="Arial"/>
          <w:sz w:val="20"/>
          <w:szCs w:val="20"/>
          <w:color w:val="auto"/>
        </w:rPr>
      </w:pPr>
      <w:r>
        <w:rPr>
          <w:rFonts w:ascii="Arial" w:cs="Arial" w:eastAsia="Arial" w:hAnsi="Arial"/>
          <w:sz w:val="20"/>
          <w:szCs w:val="20"/>
          <w:color w:val="auto"/>
        </w:rPr>
        <w:t>days (or, if earlier, on the date of any required public filing thereof) after the end of the first three fiscal 117</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146960219_6</w:t>
      </w:r>
    </w:p>
    <w:p>
      <w:pPr>
        <w:spacing w:after="0"/>
        <w:rPr>
          <w:sz w:val="20"/>
          <w:szCs w:val="20"/>
          <w:color w:val="auto"/>
        </w:rPr>
      </w:pPr>
      <w:r>
        <w:rPr>
          <w:rFonts w:ascii="Arial" w:cs="Arial" w:eastAsia="Arial" w:hAnsi="Arial"/>
          <w:sz w:val="14"/>
          <w:szCs w:val="14"/>
          <w:u w:val="single" w:color="auto"/>
          <w:color w:val="0000FF"/>
        </w:rPr>
        <w:t>165457743_4</w:t>
      </w:r>
    </w:p>
    <w:p>
      <w:pPr>
        <w:sectPr>
          <w:pgSz w:w="11900" w:h="16838" w:orient="portrait"/>
          <w:cols w:equalWidth="0" w:num="1">
            <w:col w:w="11100"/>
          </w:cols>
          <w:pgMar w:left="360" w:top="1405" w:right="439" w:bottom="1440" w:gutter="0" w:footer="0" w:header="0"/>
        </w:sectPr>
      </w:pPr>
    </w:p>
    <w:bookmarkStart w:id="201" w:name="page202"/>
    <w:bookmarkEnd w:id="201"/>
    <w:p>
      <w:pPr>
        <w:ind w:left="60"/>
        <w:spacing w:after="0"/>
        <w:rPr>
          <w:sz w:val="20"/>
          <w:szCs w:val="20"/>
          <w:color w:val="auto"/>
        </w:rPr>
      </w:pPr>
      <w:r>
        <w:rPr>
          <w:rFonts w:ascii="Arial" w:cs="Arial" w:eastAsia="Arial" w:hAnsi="Arial"/>
          <w:sz w:val="16"/>
          <w:szCs w:val="16"/>
          <w:color w:val="auto"/>
        </w:rPr>
        <w:t>quarters of each Fiscal Year (commencing with the fiscal quarter ended September 30, 2021), an unaudited Consolidated balance sheet of</w:t>
      </w:r>
    </w:p>
    <w:p>
      <w:pPr>
        <w:spacing w:after="0" w:line="35" w:lineRule="exact"/>
        <w:rPr>
          <w:sz w:val="20"/>
          <w:szCs w:val="20"/>
          <w:color w:val="auto"/>
        </w:rPr>
      </w:pPr>
    </w:p>
    <w:p>
      <w:pPr>
        <w:ind w:left="60"/>
        <w:spacing w:after="0" w:line="255" w:lineRule="auto"/>
        <w:rPr>
          <w:sz w:val="20"/>
          <w:szCs w:val="20"/>
          <w:color w:val="auto"/>
        </w:rPr>
      </w:pPr>
      <w:r>
        <w:rPr>
          <w:rFonts w:ascii="Arial" w:cs="Arial" w:eastAsia="Arial" w:hAnsi="Arial"/>
          <w:sz w:val="16"/>
          <w:szCs w:val="16"/>
          <w:color w:val="auto"/>
        </w:rPr>
        <w:t>the Consolidated Companies as of the close of such fiscal quarter and unaudited Consolidated statements of income, retained earnings and cash flows and a report containing management’s discussion and analysis of such financial statements for the fiscal quarter then ended and</w:t>
      </w:r>
    </w:p>
    <w:p>
      <w:pPr>
        <w:ind w:left="60"/>
        <w:spacing w:after="0" w:line="223" w:lineRule="auto"/>
        <w:rPr>
          <w:sz w:val="20"/>
          <w:szCs w:val="20"/>
          <w:color w:val="auto"/>
        </w:rPr>
      </w:pPr>
      <w:r>
        <w:rPr>
          <w:rFonts w:ascii="Arial" w:cs="Arial" w:eastAsia="Arial" w:hAnsi="Arial"/>
          <w:sz w:val="19"/>
          <w:szCs w:val="19"/>
          <w:color w:val="auto"/>
        </w:rPr>
        <w:t>that portion of the Fiscal Year then ended, including the notes thereto, all in reasonable detail setting forth in comparative form the</w:t>
      </w:r>
    </w:p>
    <w:p>
      <w:pPr>
        <w:ind w:left="60" w:right="20"/>
        <w:spacing w:after="0" w:line="255" w:lineRule="auto"/>
        <w:rPr>
          <w:sz w:val="20"/>
          <w:szCs w:val="20"/>
          <w:color w:val="auto"/>
        </w:rPr>
      </w:pPr>
      <w:r>
        <w:rPr>
          <w:rFonts w:ascii="Arial" w:cs="Arial" w:eastAsia="Arial" w:hAnsi="Arial"/>
          <w:sz w:val="16"/>
          <w:szCs w:val="16"/>
          <w:color w:val="auto"/>
        </w:rPr>
        <w:t>corresponding figures as of the end of and for the corresponding period in the preceding Fiscal Year and prepared by Centuri in accordance with GAAP and, if applicable, containing disclosure of the effect on the financial position or results of operations of any change in the</w:t>
      </w:r>
    </w:p>
    <w:p>
      <w:pPr>
        <w:ind w:left="60"/>
        <w:spacing w:after="0" w:line="235" w:lineRule="auto"/>
        <w:rPr>
          <w:sz w:val="20"/>
          <w:szCs w:val="20"/>
          <w:color w:val="auto"/>
        </w:rPr>
      </w:pPr>
      <w:r>
        <w:rPr>
          <w:rFonts w:ascii="Arial" w:cs="Arial" w:eastAsia="Arial" w:hAnsi="Arial"/>
          <w:sz w:val="18"/>
          <w:szCs w:val="18"/>
          <w:color w:val="auto"/>
        </w:rPr>
        <w:t>application of accounting principles and practices during the period, and certified by the chief financial officer of Centuri to present fairly</w:t>
      </w:r>
    </w:p>
    <w:p>
      <w:pPr>
        <w:ind w:left="60" w:right="20"/>
        <w:spacing w:after="0" w:line="255" w:lineRule="auto"/>
        <w:rPr>
          <w:sz w:val="20"/>
          <w:szCs w:val="20"/>
          <w:color w:val="auto"/>
        </w:rPr>
      </w:pPr>
      <w:r>
        <w:rPr>
          <w:rFonts w:ascii="Arial" w:cs="Arial" w:eastAsia="Arial" w:hAnsi="Arial"/>
          <w:sz w:val="16"/>
          <w:szCs w:val="16"/>
          <w:color w:val="auto"/>
        </w:rPr>
        <w:t>in all material respects the financial condition of the Consolidated Companies on a Consolidated basis as of their respective dates and the results of operations of the Consolidated Companies for the respective periods then ended, subject to normal year-end adjustments and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absence of footnotes.</w:t>
      </w:r>
    </w:p>
    <w:p>
      <w:pPr>
        <w:spacing w:after="0" w:line="200" w:lineRule="exact"/>
        <w:rPr>
          <w:sz w:val="20"/>
          <w:szCs w:val="20"/>
          <w:color w:val="auto"/>
        </w:rPr>
      </w:pPr>
    </w:p>
    <w:p>
      <w:pPr>
        <w:jc w:val="both"/>
        <w:ind w:left="60" w:firstLine="644"/>
        <w:spacing w:after="0" w:line="213" w:lineRule="auto"/>
        <w:tabs>
          <w:tab w:leader="none" w:pos="1236"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Annual Budget. As soon as practicable and in any event within sixty (60) days after the end of each Fiscal Year (commencing with the Fiscal Year ending December 31, 2021), an operating and capital budget of the Consolidated Companies 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Section 9.13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202"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6"/>
          <w:szCs w:val="16"/>
          <w:color w:val="auto"/>
        </w:rPr>
        <w:t>Certificates; Other Reports</w:t>
      </w:r>
    </w:p>
    <w:p>
      <w:pPr>
        <w:spacing w:after="0" w:line="283" w:lineRule="exact"/>
        <w:rPr>
          <w:sz w:val="20"/>
          <w:szCs w:val="20"/>
          <w:color w:val="auto"/>
        </w:rPr>
      </w:pPr>
    </w:p>
    <w:p>
      <w:pPr>
        <w:ind w:left="60" w:right="680" w:hanging="5"/>
        <w:spacing w:after="0" w:line="229" w:lineRule="auto"/>
        <w:tabs>
          <w:tab w:leader="none" w:pos="159" w:val="left"/>
        </w:tabs>
        <w:numPr>
          <w:ilvl w:val="0"/>
          <w:numId w:val="342"/>
        </w:numPr>
        <w:rPr>
          <w:rFonts w:ascii="Arial" w:cs="Arial" w:eastAsia="Arial" w:hAnsi="Arial"/>
          <w:sz w:val="20"/>
          <w:szCs w:val="20"/>
          <w:color w:val="auto"/>
        </w:rPr>
      </w:pPr>
      <w:r>
        <w:rPr>
          <w:rFonts w:ascii="Arial" w:cs="Arial" w:eastAsia="Arial" w:hAnsi="Arial"/>
          <w:sz w:val="20"/>
          <w:szCs w:val="20"/>
          <w:color w:val="auto"/>
        </w:rPr>
        <w:t>Deliver to the Administrative Agent (which shall promptly make such information available to the Lenders in accordance with its customary practice):</w:t>
      </w:r>
    </w:p>
    <w:p>
      <w:pPr>
        <w:spacing w:after="0" w:line="209" w:lineRule="exact"/>
        <w:rPr>
          <w:rFonts w:ascii="Arial" w:cs="Arial" w:eastAsia="Arial" w:hAnsi="Arial"/>
          <w:sz w:val="20"/>
          <w:szCs w:val="20"/>
          <w:color w:val="auto"/>
        </w:rPr>
      </w:pPr>
    </w:p>
    <w:p>
      <w:pPr>
        <w:jc w:val="both"/>
        <w:ind w:left="60" w:firstLine="644"/>
        <w:spacing w:after="0" w:line="238" w:lineRule="auto"/>
        <w:tabs>
          <w:tab w:leader="none" w:pos="123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at each time financial statements are delivered pursuant to Sections 8.1(a) or (b) and at such other times as the Administrative Agent shall reasonably request, a duly completed Officer’s Compliance Certificate signed by the chief executive officer, chief financial officer, treasurer or controller of Centuri, which will include, as of the date of such financial statements, (i) calculations showing compliance with the financial covenants set forth in Section 9.13, (ii) determination of the “Applicable Margin”, (iii) calculations of Immaterial Subsidiaries and (iv) a reasonably detailed calculation of the Available Amount; and, if requested by the Administrative Agent, work-in-progress reports in a form consistent with that provided by Centuri in connection with the Existing Credit Agreement;</w:t>
      </w:r>
    </w:p>
    <w:p>
      <w:pPr>
        <w:spacing w:after="0" w:line="199" w:lineRule="exact"/>
        <w:rPr>
          <w:rFonts w:ascii="Arial" w:cs="Arial" w:eastAsia="Arial" w:hAnsi="Arial"/>
          <w:sz w:val="18"/>
          <w:szCs w:val="18"/>
          <w:color w:val="auto"/>
        </w:rPr>
      </w:pPr>
    </w:p>
    <w:p>
      <w:pPr>
        <w:ind w:left="1340" w:hanging="636"/>
        <w:spacing w:after="0"/>
        <w:tabs>
          <w:tab w:leader="none" w:pos="134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29" w:lineRule="exact"/>
        <w:rPr>
          <w:rFonts w:ascii="Arial" w:cs="Arial" w:eastAsia="Arial" w:hAnsi="Arial"/>
          <w:sz w:val="20"/>
          <w:szCs w:val="20"/>
          <w:color w:val="auto"/>
        </w:rPr>
      </w:pPr>
    </w:p>
    <w:p>
      <w:pPr>
        <w:jc w:val="both"/>
        <w:ind w:left="60" w:firstLine="644"/>
        <w:spacing w:after="0" w:line="223" w:lineRule="auto"/>
        <w:tabs>
          <w:tab w:leader="none" w:pos="1236" w:val="left"/>
        </w:tabs>
        <w:numPr>
          <w:ilvl w:val="1"/>
          <w:numId w:val="342"/>
        </w:numPr>
        <w:rPr>
          <w:rFonts w:ascii="Arial" w:cs="Arial" w:eastAsia="Arial" w:hAnsi="Arial"/>
          <w:sz w:val="20"/>
          <w:szCs w:val="20"/>
          <w:color w:val="auto"/>
        </w:rPr>
      </w:pPr>
      <w:r>
        <w:rPr>
          <w:rFonts w:ascii="Arial" w:cs="Arial" w:eastAsia="Arial" w:hAnsi="Arial"/>
          <w:sz w:val="20"/>
          <w:szCs w:val="20"/>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95" w:lineRule="exact"/>
        <w:rPr>
          <w:rFonts w:ascii="Arial" w:cs="Arial" w:eastAsia="Arial" w:hAnsi="Arial"/>
          <w:sz w:val="20"/>
          <w:szCs w:val="20"/>
          <w:color w:val="auto"/>
        </w:rPr>
      </w:pPr>
    </w:p>
    <w:p>
      <w:pPr>
        <w:ind w:left="1340" w:hanging="636"/>
        <w:spacing w:after="0"/>
        <w:tabs>
          <w:tab w:leader="none" w:pos="134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left="60" w:firstLine="644"/>
        <w:spacing w:after="0" w:line="227" w:lineRule="auto"/>
        <w:tabs>
          <w:tab w:leader="none" w:pos="1236" w:val="left"/>
        </w:tabs>
        <w:numPr>
          <w:ilvl w:val="1"/>
          <w:numId w:val="342"/>
        </w:numPr>
        <w:rPr>
          <w:rFonts w:ascii="Arial" w:cs="Arial" w:eastAsia="Arial" w:hAnsi="Arial"/>
          <w:sz w:val="20"/>
          <w:szCs w:val="20"/>
          <w:color w:val="auto"/>
        </w:rPr>
      </w:pPr>
      <w:r>
        <w:rPr>
          <w:rFonts w:ascii="Arial" w:cs="Arial" w:eastAsia="Arial" w:hAnsi="Arial"/>
          <w:sz w:val="20"/>
          <w:szCs w:val="20"/>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02" w:name="page203"/>
    <w:bookmarkEnd w:id="202"/>
    <w:p>
      <w:pPr>
        <w:spacing w:after="0" w:line="209" w:lineRule="exact"/>
        <w:rPr>
          <w:sz w:val="20"/>
          <w:szCs w:val="20"/>
          <w:color w:val="auto"/>
        </w:rPr>
      </w:pPr>
    </w:p>
    <w:p>
      <w:pPr>
        <w:ind w:left="1340" w:hanging="636"/>
        <w:spacing w:after="0"/>
        <w:tabs>
          <w:tab w:leader="none" w:pos="13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left="60" w:firstLine="644"/>
        <w:spacing w:after="0" w:line="220" w:lineRule="auto"/>
        <w:tabs>
          <w:tab w:leader="none" w:pos="1236" w:val="left"/>
        </w:tabs>
        <w:numPr>
          <w:ilvl w:val="0"/>
          <w:numId w:val="343"/>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209" w:lineRule="exact"/>
        <w:rPr>
          <w:rFonts w:ascii="Arial" w:cs="Arial" w:eastAsia="Arial" w:hAnsi="Arial"/>
          <w:sz w:val="20"/>
          <w:szCs w:val="20"/>
          <w:color w:val="auto"/>
        </w:rPr>
      </w:pPr>
    </w:p>
    <w:p>
      <w:pPr>
        <w:jc w:val="both"/>
        <w:ind w:left="60" w:firstLine="644"/>
        <w:spacing w:after="0" w:line="252" w:lineRule="auto"/>
        <w:tabs>
          <w:tab w:leader="none" w:pos="12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185" w:lineRule="exact"/>
        <w:rPr>
          <w:rFonts w:ascii="Arial" w:cs="Arial" w:eastAsia="Arial" w:hAnsi="Arial"/>
          <w:sz w:val="18"/>
          <w:szCs w:val="18"/>
          <w:color w:val="auto"/>
        </w:rPr>
      </w:pPr>
    </w:p>
    <w:p>
      <w:pPr>
        <w:jc w:val="both"/>
        <w:ind w:left="60" w:firstLine="644"/>
        <w:spacing w:after="0" w:line="231" w:lineRule="auto"/>
        <w:tabs>
          <w:tab w:leader="none" w:pos="1236" w:val="left"/>
        </w:tabs>
        <w:numPr>
          <w:ilvl w:val="0"/>
          <w:numId w:val="343"/>
        </w:numPr>
        <w:rPr>
          <w:rFonts w:ascii="Arial" w:cs="Arial" w:eastAsia="Arial" w:hAnsi="Arial"/>
          <w:sz w:val="19"/>
          <w:szCs w:val="19"/>
          <w:color w:val="auto"/>
        </w:rPr>
      </w:pPr>
      <w:r>
        <w:rPr>
          <w:rFonts w:ascii="Arial" w:cs="Arial" w:eastAsia="Arial" w:hAnsi="Arial"/>
          <w:sz w:val="19"/>
          <w:szCs w:val="19"/>
          <w:color w:val="auto"/>
        </w:rPr>
        <w:t>promptly: (i) notice of the establishment, or intent to establish, a new Canadian Employee Benefit Plan that contains a defined benefit provision, or any change to an existing Canadian Employee Benefit Plan to include a defined benefit provision, or (ii) notice of the acquisition of an interest in any Person if such Person sponsors, administers, participates in, or has any liability in respect of any Canadian Employee Benefit Plan that contains a defined benefit provision;</w:t>
      </w:r>
    </w:p>
    <w:p>
      <w:pPr>
        <w:spacing w:after="0" w:line="211" w:lineRule="exact"/>
        <w:rPr>
          <w:rFonts w:ascii="Arial" w:cs="Arial" w:eastAsia="Arial" w:hAnsi="Arial"/>
          <w:sz w:val="19"/>
          <w:szCs w:val="19"/>
          <w:color w:val="auto"/>
        </w:rPr>
      </w:pPr>
    </w:p>
    <w:p>
      <w:pPr>
        <w:jc w:val="both"/>
        <w:ind w:left="60" w:firstLine="644"/>
        <w:spacing w:after="0" w:line="232" w:lineRule="auto"/>
        <w:tabs>
          <w:tab w:leader="none" w:pos="12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 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w:t>
      </w:r>
    </w:p>
    <w:p>
      <w:pPr>
        <w:ind w:left="60"/>
        <w:spacing w:after="0" w:line="200" w:lineRule="auto"/>
        <w:rPr>
          <w:sz w:val="20"/>
          <w:szCs w:val="20"/>
          <w:color w:val="auto"/>
        </w:rPr>
      </w:pPr>
      <w:r>
        <w:rPr>
          <w:rFonts w:ascii="Arial" w:cs="Arial" w:eastAsia="Arial" w:hAnsi="Arial"/>
          <w:sz w:val="20"/>
          <w:szCs w:val="20"/>
          <w:color w:val="auto"/>
        </w:rPr>
        <w:t>Benefit Plan,</w:t>
      </w:r>
    </w:p>
    <w:p>
      <w:pPr>
        <w:spacing w:after="0" w:line="1" w:lineRule="exact"/>
        <w:rPr>
          <w:sz w:val="20"/>
          <w:szCs w:val="20"/>
          <w:color w:val="auto"/>
        </w:rPr>
      </w:pPr>
    </w:p>
    <w:p>
      <w:pPr>
        <w:jc w:val="both"/>
        <w:ind w:left="60" w:hanging="4"/>
        <w:spacing w:after="0" w:line="222" w:lineRule="auto"/>
        <w:tabs>
          <w:tab w:leader="none" w:pos="585" w:val="left"/>
        </w:tabs>
        <w:numPr>
          <w:ilvl w:val="0"/>
          <w:numId w:val="344"/>
        </w:numPr>
        <w:rPr>
          <w:rFonts w:ascii="Arial" w:cs="Arial" w:eastAsia="Arial" w:hAnsi="Arial"/>
          <w:sz w:val="20"/>
          <w:szCs w:val="20"/>
          <w:color w:val="auto"/>
        </w:rPr>
      </w:pPr>
      <w:r>
        <w:rPr>
          <w:rFonts w:ascii="Arial" w:cs="Arial" w:eastAsia="Arial" w:hAnsi="Arial"/>
          <w:sz w:val="20"/>
          <w:szCs w:val="20"/>
          <w:color w:val="auto"/>
        </w:rPr>
        <w:t>notification within thirty (30) days of any increases having a cost to one or more of the Credit Parties in excess of the Threshold Amount per annum in the aggregate in the benefits of any Canadian Employee Benefit Plan, and (v) notification of the existence of any report which discloses a Canadian Pension Plan Unfunded Liability; and</w:t>
      </w:r>
    </w:p>
    <w:p>
      <w:pPr>
        <w:spacing w:after="0" w:line="196" w:lineRule="exact"/>
        <w:rPr>
          <w:rFonts w:ascii="Arial" w:cs="Arial" w:eastAsia="Arial" w:hAnsi="Arial"/>
          <w:sz w:val="20"/>
          <w:szCs w:val="20"/>
          <w:color w:val="auto"/>
        </w:rPr>
      </w:pPr>
    </w:p>
    <w:p>
      <w:pPr>
        <w:ind w:left="60" w:right="20" w:firstLine="644"/>
        <w:spacing w:after="0" w:line="236" w:lineRule="auto"/>
        <w:tabs>
          <w:tab w:leader="none" w:pos="988" w:val="left"/>
        </w:tabs>
        <w:numPr>
          <w:ilvl w:val="1"/>
          <w:numId w:val="344"/>
        </w:numPr>
        <w:rPr>
          <w:rFonts w:ascii="Arial" w:cs="Arial" w:eastAsia="Arial" w:hAnsi="Arial"/>
          <w:sz w:val="20"/>
          <w:szCs w:val="20"/>
          <w:color w:val="auto"/>
        </w:rPr>
      </w:pPr>
      <w:r>
        <w:rPr>
          <w:rFonts w:ascii="Arial" w:cs="Arial" w:eastAsia="Arial" w:hAnsi="Arial"/>
          <w:sz w:val="20"/>
          <w:szCs w:val="20"/>
          <w:color w:val="auto"/>
        </w:rPr>
        <w:t>such other information regarding the operations, business affairs and financial condition of any Credit Party or any Subsidiary thereof as the Administrative Agent or any Lender may reasonably request.</w:t>
      </w:r>
    </w:p>
    <w:p>
      <w:pPr>
        <w:spacing w:after="0" w:line="196" w:lineRule="exact"/>
        <w:rPr>
          <w:sz w:val="20"/>
          <w:szCs w:val="20"/>
          <w:color w:val="auto"/>
        </w:rPr>
      </w:pPr>
    </w:p>
    <w:p>
      <w:pPr>
        <w:ind w:left="60"/>
        <w:spacing w:after="0" w:line="236" w:lineRule="auto"/>
        <w:rPr>
          <w:sz w:val="20"/>
          <w:szCs w:val="20"/>
          <w:color w:val="auto"/>
        </w:rPr>
      </w:pPr>
      <w:r>
        <w:rPr>
          <w:rFonts w:ascii="Arial" w:cs="Arial" w:eastAsia="Arial" w:hAnsi="Arial"/>
          <w:sz w:val="18"/>
          <w:szCs w:val="18"/>
          <w:color w:val="auto"/>
        </w:rPr>
        <w:t>Each Borrower hereby acknowledges that (a) the Administrative Agent and/or the Arrangers will make available to the Lenders and the Issuing Lenders materials and/or information provided by or on behalf of the Borrowers hereunder (collectively, “Borrower Materials”) by</w:t>
      </w:r>
    </w:p>
    <w:p>
      <w:pPr>
        <w:ind w:left="60"/>
        <w:spacing w:after="0" w:line="235" w:lineRule="auto"/>
        <w:rPr>
          <w:sz w:val="20"/>
          <w:szCs w:val="20"/>
          <w:color w:val="auto"/>
        </w:rPr>
      </w:pPr>
      <w:r>
        <w:rPr>
          <w:rFonts w:ascii="Arial" w:cs="Arial" w:eastAsia="Arial" w:hAnsi="Arial"/>
          <w:sz w:val="18"/>
          <w:szCs w:val="18"/>
          <w:color w:val="auto"/>
        </w:rPr>
        <w:t>posting the Borrower Materials on Debt Domain, IntraLinks, SyndTrak Online or another similar electronic system (the “Platform”) and</w:t>
      </w:r>
    </w:p>
    <w:p>
      <w:pPr>
        <w:jc w:val="both"/>
        <w:ind w:left="60" w:hanging="5"/>
        <w:spacing w:after="0" w:line="229" w:lineRule="auto"/>
        <w:tabs>
          <w:tab w:leader="none" w:pos="35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certain of the Lenders may be “public-side” Lenders (i.e., Lenders that do not wish to receive material non-public information with respect to the Borrowers or their respective securities) (each, a “Public Lender”). Each Borrower hereby agrees that it will use commercially reasonable efforts to identify that portion of the Borrower Materials that may be distributed to the Public Lenders and that</w:t>
      </w:r>
    </w:p>
    <w:p>
      <w:pPr>
        <w:spacing w:after="0" w:line="1" w:lineRule="exact"/>
        <w:rPr>
          <w:rFonts w:ascii="Arial" w:cs="Arial" w:eastAsia="Arial" w:hAnsi="Arial"/>
          <w:sz w:val="18"/>
          <w:szCs w:val="18"/>
          <w:color w:val="auto"/>
        </w:rPr>
      </w:pPr>
    </w:p>
    <w:p>
      <w:pPr>
        <w:jc w:val="both"/>
        <w:ind w:left="60" w:hanging="5"/>
        <w:spacing w:after="0" w:line="235" w:lineRule="auto"/>
        <w:tabs>
          <w:tab w:leader="none" w:pos="40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 public information (although it may be sensitive and proprietary) with respect to such Borrower or its securities for purposes of United States Federal and state securities laws (provided, however, that to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03" w:name="page204"/>
    <w:bookmarkEnd w:id="203"/>
    <w:p>
      <w:pPr>
        <w:ind w:left="40"/>
        <w:spacing w:after="0"/>
        <w:rPr>
          <w:sz w:val="20"/>
          <w:szCs w:val="20"/>
          <w:color w:val="auto"/>
        </w:rPr>
      </w:pPr>
      <w:r>
        <w:rPr>
          <w:rFonts w:ascii="Arial" w:cs="Arial" w:eastAsia="Arial" w:hAnsi="Arial"/>
          <w:sz w:val="20"/>
          <w:szCs w:val="20"/>
          <w:color w:val="auto"/>
        </w:rPr>
        <w:t>extent such Borrower Materials constitute Information, they shall be treated as set forth in Section 12.10);</w:t>
      </w:r>
    </w:p>
    <w:p>
      <w:pPr>
        <w:jc w:val="both"/>
        <w:ind w:left="40" w:right="20" w:hanging="2"/>
        <w:spacing w:after="0" w:line="229" w:lineRule="auto"/>
        <w:tabs>
          <w:tab w:leader="none" w:pos="586" w:val="left"/>
        </w:tabs>
        <w:numPr>
          <w:ilvl w:val="0"/>
          <w:numId w:val="347"/>
        </w:numPr>
        <w:rPr>
          <w:rFonts w:ascii="Arial" w:cs="Arial" w:eastAsia="Arial" w:hAnsi="Arial"/>
          <w:sz w:val="19"/>
          <w:szCs w:val="19"/>
          <w:color w:val="auto"/>
        </w:rPr>
      </w:pPr>
      <w:r>
        <w:rPr>
          <w:rFonts w:ascii="Arial" w:cs="Arial" w:eastAsia="Arial" w:hAnsi="Arial"/>
          <w:sz w:val="19"/>
          <w:szCs w:val="19"/>
          <w:color w:val="auto"/>
        </w:rPr>
        <w:t>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96" w:lineRule="exact"/>
        <w:rPr>
          <w:sz w:val="20"/>
          <w:szCs w:val="20"/>
          <w:color w:val="auto"/>
        </w:rPr>
      </w:pPr>
    </w:p>
    <w:p>
      <w:pPr>
        <w:ind w:left="680"/>
        <w:spacing w:after="0"/>
        <w:tabs>
          <w:tab w:leader="none" w:pos="200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8"/>
          <w:szCs w:val="18"/>
          <w:color w:val="auto"/>
        </w:rPr>
        <w:t>Notice of Litigation and Other Matters</w:t>
      </w:r>
    </w:p>
    <w:p>
      <w:pPr>
        <w:spacing w:after="0" w:line="283" w:lineRule="exact"/>
        <w:rPr>
          <w:sz w:val="20"/>
          <w:szCs w:val="20"/>
          <w:color w:val="auto"/>
        </w:rPr>
      </w:pPr>
    </w:p>
    <w:p>
      <w:pPr>
        <w:jc w:val="both"/>
        <w:ind w:left="40" w:hanging="2"/>
        <w:spacing w:after="0" w:line="227" w:lineRule="auto"/>
        <w:tabs>
          <w:tab w:leader="none" w:pos="142" w:val="left"/>
        </w:tabs>
        <w:numPr>
          <w:ilvl w:val="0"/>
          <w:numId w:val="348"/>
        </w:numPr>
        <w:rPr>
          <w:rFonts w:ascii="Arial" w:cs="Arial" w:eastAsia="Arial" w:hAnsi="Arial"/>
          <w:sz w:val="20"/>
          <w:szCs w:val="20"/>
          <w:color w:val="auto"/>
        </w:rPr>
      </w:pPr>
      <w:r>
        <w:rPr>
          <w:rFonts w:ascii="Arial" w:cs="Arial" w:eastAsia="Arial" w:hAnsi="Arial"/>
          <w:sz w:val="20"/>
          <w:szCs w:val="20"/>
          <w:color w:val="auto"/>
        </w:rPr>
        <w:t>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pacing w:after="0" w:line="197" w:lineRule="exact"/>
        <w:rPr>
          <w:rFonts w:ascii="Arial" w:cs="Arial" w:eastAsia="Arial" w:hAnsi="Arial"/>
          <w:sz w:val="20"/>
          <w:szCs w:val="20"/>
          <w:color w:val="auto"/>
        </w:rPr>
      </w:pPr>
    </w:p>
    <w:p>
      <w:pPr>
        <w:ind w:left="1240" w:hanging="554"/>
        <w:spacing w:after="0"/>
        <w:tabs>
          <w:tab w:leader="none" w:pos="1240" w:val="left"/>
        </w:tabs>
        <w:numPr>
          <w:ilvl w:val="1"/>
          <w:numId w:val="348"/>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15" w:lineRule="exact"/>
        <w:rPr>
          <w:rFonts w:ascii="Arial" w:cs="Arial" w:eastAsia="Arial" w:hAnsi="Arial"/>
          <w:sz w:val="20"/>
          <w:szCs w:val="20"/>
          <w:color w:val="auto"/>
        </w:rPr>
      </w:pPr>
    </w:p>
    <w:p>
      <w:pPr>
        <w:jc w:val="both"/>
        <w:ind w:left="40" w:firstLine="646"/>
        <w:spacing w:after="0" w:line="220" w:lineRule="auto"/>
        <w:tabs>
          <w:tab w:leader="none" w:pos="1243" w:val="left"/>
        </w:tabs>
        <w:numPr>
          <w:ilvl w:val="1"/>
          <w:numId w:val="348"/>
        </w:numPr>
        <w:rPr>
          <w:rFonts w:ascii="Arial" w:cs="Arial" w:eastAsia="Arial" w:hAnsi="Arial"/>
          <w:sz w:val="20"/>
          <w:szCs w:val="20"/>
          <w:color w:val="auto"/>
        </w:rPr>
      </w:pPr>
      <w:r>
        <w:rPr>
          <w:rFonts w:ascii="Arial" w:cs="Arial" w:eastAsia="Arial" w:hAnsi="Arial"/>
          <w:sz w:val="20"/>
          <w:szCs w:val="20"/>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96" w:lineRule="exact"/>
        <w:rPr>
          <w:rFonts w:ascii="Arial" w:cs="Arial" w:eastAsia="Arial" w:hAnsi="Arial"/>
          <w:sz w:val="20"/>
          <w:szCs w:val="20"/>
          <w:color w:val="auto"/>
        </w:rPr>
      </w:pPr>
    </w:p>
    <w:p>
      <w:pPr>
        <w:jc w:val="both"/>
        <w:ind w:left="40" w:firstLine="646"/>
        <w:spacing w:after="0" w:line="227" w:lineRule="auto"/>
        <w:tabs>
          <w:tab w:leader="none" w:pos="124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97" w:lineRule="exact"/>
        <w:rPr>
          <w:rFonts w:ascii="Arial" w:cs="Arial" w:eastAsia="Arial" w:hAnsi="Arial"/>
          <w:sz w:val="20"/>
          <w:szCs w:val="20"/>
          <w:color w:val="auto"/>
        </w:rPr>
      </w:pPr>
    </w:p>
    <w:p>
      <w:pPr>
        <w:ind w:left="40" w:right="20" w:firstLine="646"/>
        <w:spacing w:after="0" w:line="236" w:lineRule="auto"/>
        <w:tabs>
          <w:tab w:leader="none" w:pos="1243"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any labor controversy that has resulted in, or threatens to result in, a strike or other work action against any Credit Party or any Subsidiary thereof which could reasonably be expected to have a Material Adverse Effect;</w:t>
      </w:r>
    </w:p>
    <w:p>
      <w:pPr>
        <w:spacing w:after="0" w:line="195" w:lineRule="exact"/>
        <w:rPr>
          <w:rFonts w:ascii="Arial" w:cs="Arial" w:eastAsia="Arial" w:hAnsi="Arial"/>
          <w:sz w:val="20"/>
          <w:szCs w:val="20"/>
          <w:color w:val="auto"/>
        </w:rPr>
      </w:pPr>
    </w:p>
    <w:p>
      <w:pPr>
        <w:ind w:left="40" w:right="20" w:firstLine="646"/>
        <w:spacing w:after="0" w:line="236" w:lineRule="auto"/>
        <w:tabs>
          <w:tab w:leader="none" w:pos="124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any attachment, judgment, lien (other than Permitted Liens), levy or order exceeding the Threshold Amount that may be assessed against or threatened in writing against any Credit Party or any Subsidiary thereof;</w:t>
      </w:r>
    </w:p>
    <w:p>
      <w:pPr>
        <w:spacing w:after="0" w:line="195" w:lineRule="exact"/>
        <w:rPr>
          <w:rFonts w:ascii="Arial" w:cs="Arial" w:eastAsia="Arial" w:hAnsi="Arial"/>
          <w:sz w:val="20"/>
          <w:szCs w:val="20"/>
          <w:color w:val="auto"/>
        </w:rPr>
      </w:pPr>
    </w:p>
    <w:p>
      <w:pPr>
        <w:jc w:val="both"/>
        <w:ind w:left="40" w:right="20" w:firstLine="646"/>
        <w:spacing w:after="0" w:line="223" w:lineRule="auto"/>
        <w:tabs>
          <w:tab w:leader="none" w:pos="1237"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any event which constitutes or which with the passage of time or giving of notice or both would constitute a default or event of default under any contract or other agreement, written or oral, of any Credit Party or any of its Subsidiaries involving monetary liability of or to any such Person in an amount in excess of $35,000,000 per annum;</w:t>
      </w:r>
    </w:p>
    <w:p>
      <w:pPr>
        <w:spacing w:after="0" w:line="209" w:lineRule="exact"/>
        <w:rPr>
          <w:rFonts w:ascii="Arial" w:cs="Arial" w:eastAsia="Arial" w:hAnsi="Arial"/>
          <w:sz w:val="20"/>
          <w:szCs w:val="20"/>
          <w:color w:val="auto"/>
        </w:rPr>
      </w:pPr>
    </w:p>
    <w:p>
      <w:pPr>
        <w:jc w:val="both"/>
        <w:ind w:left="40" w:firstLine="646"/>
        <w:spacing w:after="0" w:line="235" w:lineRule="auto"/>
        <w:tabs>
          <w:tab w:leader="none" w:pos="124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Borrowers obtaining knowledge or reason to know that any Credit Party or any ERISA Affiliate has filed or intends to file a notice of intent to terminate any Pension Plan under a distress termination within the meaning of Section 4041(c) of ERISA, or any notice of intent to terminate in whole or in part any Canadian Employee Benefit Plan under Canadian Pension Laws or otherwise that, in each case, is filed with or by the PBGC or other Governmental Authority applicable to Canadian Employee Benefit Plans by any Credit Party or any ERISA Affiliate or otherwise received by any Credit Party or any ERISA Affiliate; and</w:t>
      </w:r>
    </w:p>
    <w:p>
      <w:pPr>
        <w:spacing w:after="0" w:line="200" w:lineRule="exact"/>
        <w:rPr>
          <w:rFonts w:ascii="Arial" w:cs="Arial" w:eastAsia="Arial" w:hAnsi="Arial"/>
          <w:sz w:val="18"/>
          <w:szCs w:val="18"/>
          <w:color w:val="auto"/>
        </w:rPr>
      </w:pPr>
    </w:p>
    <w:p>
      <w:pPr>
        <w:ind w:left="40" w:firstLine="646"/>
        <w:spacing w:after="0" w:line="236" w:lineRule="auto"/>
        <w:tabs>
          <w:tab w:leader="none" w:pos="1243"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any event which makes any of the representations set forth in Article VII that is subject to materiality or Material Adverse Effect qualifications inaccurate in any respect or any event which makes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394" w:right="439" w:bottom="1440" w:gutter="0" w:footer="0" w:header="0"/>
        </w:sectPr>
      </w:pPr>
    </w:p>
    <w:bookmarkStart w:id="204" w:name="page205"/>
    <w:bookmarkEnd w:id="204"/>
    <w:p>
      <w:pPr>
        <w:ind w:left="60" w:right="240"/>
        <w:spacing w:after="0" w:line="236" w:lineRule="auto"/>
        <w:rPr>
          <w:sz w:val="20"/>
          <w:szCs w:val="20"/>
          <w:color w:val="auto"/>
        </w:rPr>
      </w:pPr>
      <w:r>
        <w:rPr>
          <w:rFonts w:ascii="Arial" w:cs="Arial" w:eastAsia="Arial" w:hAnsi="Arial"/>
          <w:sz w:val="20"/>
          <w:szCs w:val="20"/>
          <w:color w:val="auto"/>
        </w:rPr>
        <w:t>any of the representations set forth in Article VII that is not subject to materiality or Material Adverse Effect qualifications inaccurate in any material respect.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notice pursuant to Section 8.3 shall be accompanied by a statement of a Responsible Officer of Centuri setting forth details</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of the occurrence referred to therein and stating what action Centuri has taken and proposes to take with respect thereto. Each notice pursuant to Section 8.3(a) shall describe with particularity any and all provisions of this Agreement and any other Loan Document that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have been breached.</w:t>
      </w:r>
    </w:p>
    <w:p>
      <w:pPr>
        <w:spacing w:after="0" w:line="200"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8.4</w:t>
      </w:r>
      <w:r>
        <w:rPr>
          <w:sz w:val="20"/>
          <w:szCs w:val="20"/>
          <w:color w:val="auto"/>
        </w:rPr>
        <w:tab/>
      </w:r>
      <w:r>
        <w:rPr>
          <w:rFonts w:ascii="Arial" w:cs="Arial" w:eastAsia="Arial" w:hAnsi="Arial"/>
          <w:sz w:val="16"/>
          <w:szCs w:val="16"/>
          <w:color w:val="auto"/>
        </w:rPr>
        <w:t>Preservation of Corporate Existence and Related Matters</w:t>
      </w:r>
    </w:p>
    <w:p>
      <w:pPr>
        <w:spacing w:after="0" w:line="283" w:lineRule="exact"/>
        <w:rPr>
          <w:sz w:val="20"/>
          <w:szCs w:val="20"/>
          <w:color w:val="auto"/>
        </w:rPr>
      </w:pPr>
    </w:p>
    <w:p>
      <w:pPr>
        <w:jc w:val="both"/>
        <w:ind w:left="60" w:right="20" w:hanging="4"/>
        <w:spacing w:after="0" w:line="252" w:lineRule="auto"/>
        <w:tabs>
          <w:tab w:leader="none" w:pos="19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Except as permitted by Section 9.4, preserve and maintain its separate corporate existence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spacing w:after="0" w:line="198"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6"/>
          <w:szCs w:val="16"/>
          <w:color w:val="auto"/>
        </w:rPr>
        <w:t>Maintenance of Property and Licenses.</w:t>
      </w:r>
    </w:p>
    <w:p>
      <w:pPr>
        <w:spacing w:after="0" w:line="283" w:lineRule="exact"/>
        <w:rPr>
          <w:sz w:val="20"/>
          <w:szCs w:val="20"/>
          <w:color w:val="auto"/>
        </w:rPr>
      </w:pPr>
    </w:p>
    <w:p>
      <w:pPr>
        <w:jc w:val="both"/>
        <w:ind w:left="60" w:firstLine="644"/>
        <w:spacing w:after="0" w:line="214" w:lineRule="auto"/>
        <w:tabs>
          <w:tab w:leader="none" w:pos="1236" w:val="left"/>
        </w:tabs>
        <w:numPr>
          <w:ilvl w:val="0"/>
          <w:numId w:val="350"/>
        </w:numPr>
        <w:rPr>
          <w:rFonts w:ascii="Arial" w:cs="Arial" w:eastAsia="Arial" w:hAnsi="Arial"/>
          <w:sz w:val="20"/>
          <w:szCs w:val="20"/>
          <w:color w:val="auto"/>
        </w:rPr>
      </w:pPr>
      <w:r>
        <w:rPr>
          <w:rFonts w:ascii="Arial" w:cs="Arial" w:eastAsia="Arial" w:hAnsi="Arial"/>
          <w:sz w:val="20"/>
          <w:szCs w:val="20"/>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200" w:lineRule="exact"/>
        <w:rPr>
          <w:rFonts w:ascii="Arial" w:cs="Arial" w:eastAsia="Arial" w:hAnsi="Arial"/>
          <w:sz w:val="20"/>
          <w:szCs w:val="20"/>
          <w:color w:val="auto"/>
        </w:rPr>
      </w:pPr>
    </w:p>
    <w:p>
      <w:pPr>
        <w:jc w:val="both"/>
        <w:ind w:left="60" w:firstLine="644"/>
        <w:spacing w:after="0" w:line="259" w:lineRule="auto"/>
        <w:tabs>
          <w:tab w:leader="none" w:pos="123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Maintain, in full force and effect in all material respects, each and every material license, permit, certification, qualification, approval or franchise issued by any Governmental Authority (each a “License”) required for each of them to conduct their respective businesses as presently conducted, except where the failure to do so could not reasonably be expected to have a Material Adverse Effect.</w:t>
      </w:r>
    </w:p>
    <w:p>
      <w:pPr>
        <w:spacing w:after="0" w:line="180"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8.6</w:t>
      </w:r>
      <w:r>
        <w:rPr>
          <w:sz w:val="20"/>
          <w:szCs w:val="20"/>
          <w:color w:val="auto"/>
        </w:rPr>
        <w:tab/>
      </w:r>
      <w:r>
        <w:rPr>
          <w:rFonts w:ascii="Arial" w:cs="Arial" w:eastAsia="Arial" w:hAnsi="Arial"/>
          <w:sz w:val="16"/>
          <w:szCs w:val="16"/>
          <w:color w:val="auto"/>
        </w:rPr>
        <w:t>Insurance</w:t>
      </w:r>
    </w:p>
    <w:p>
      <w:pPr>
        <w:spacing w:after="0" w:line="283" w:lineRule="exact"/>
        <w:rPr>
          <w:sz w:val="20"/>
          <w:szCs w:val="20"/>
          <w:color w:val="auto"/>
        </w:rPr>
      </w:pPr>
    </w:p>
    <w:p>
      <w:pPr>
        <w:jc w:val="both"/>
        <w:ind w:left="60" w:hanging="4"/>
        <w:spacing w:after="0" w:line="223" w:lineRule="auto"/>
        <w:tabs>
          <w:tab w:leader="none" w:pos="169" w:val="left"/>
        </w:tabs>
        <w:numPr>
          <w:ilvl w:val="0"/>
          <w:numId w:val="351"/>
        </w:numPr>
        <w:rPr>
          <w:rFonts w:ascii="Arial" w:cs="Arial" w:eastAsia="Arial" w:hAnsi="Arial"/>
          <w:sz w:val="19"/>
          <w:szCs w:val="19"/>
          <w:color w:val="auto"/>
        </w:rPr>
      </w:pPr>
      <w:r>
        <w:rPr>
          <w:rFonts w:ascii="Arial" w:cs="Arial" w:eastAsia="Arial" w:hAnsi="Arial"/>
          <w:sz w:val="19"/>
          <w:szCs w:val="19"/>
          <w:color w:val="auto"/>
        </w:rPr>
        <w:t>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 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198"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20"/>
          <w:szCs w:val="20"/>
          <w:color w:val="auto"/>
        </w:rPr>
        <w:t>SECTION 8.7</w:t>
      </w:r>
      <w:r>
        <w:rPr>
          <w:sz w:val="20"/>
          <w:szCs w:val="20"/>
          <w:color w:val="auto"/>
        </w:rPr>
        <w:tab/>
      </w:r>
      <w:r>
        <w:rPr>
          <w:rFonts w:ascii="Arial" w:cs="Arial" w:eastAsia="Arial" w:hAnsi="Arial"/>
          <w:sz w:val="18"/>
          <w:szCs w:val="18"/>
          <w:color w:val="auto"/>
        </w:rPr>
        <w:t>Accounting Methods and Financial Records</w:t>
      </w:r>
    </w:p>
    <w:p>
      <w:pPr>
        <w:spacing w:after="0" w:line="283" w:lineRule="exact"/>
        <w:rPr>
          <w:sz w:val="20"/>
          <w:szCs w:val="20"/>
          <w:color w:val="auto"/>
        </w:rPr>
      </w:pPr>
    </w:p>
    <w:p>
      <w:pPr>
        <w:jc w:val="both"/>
        <w:ind w:left="60" w:hanging="4"/>
        <w:spacing w:after="0" w:line="235" w:lineRule="auto"/>
        <w:tabs>
          <w:tab w:leader="none" w:pos="161" w:val="left"/>
        </w:tabs>
        <w:numPr>
          <w:ilvl w:val="0"/>
          <w:numId w:val="352"/>
        </w:numPr>
        <w:rPr>
          <w:rFonts w:ascii="Arial" w:cs="Arial" w:eastAsia="Arial" w:hAnsi="Arial"/>
          <w:sz w:val="19"/>
          <w:szCs w:val="19"/>
          <w:color w:val="auto"/>
        </w:rPr>
      </w:pPr>
      <w:r>
        <w:rPr>
          <w:rFonts w:ascii="Arial" w:cs="Arial" w:eastAsia="Arial" w:hAnsi="Arial"/>
          <w:sz w:val="19"/>
          <w:szCs w:val="19"/>
          <w:color w:val="auto"/>
        </w:rPr>
        <w:t>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05" w:name="page206"/>
    <w:bookmarkEnd w:id="205"/>
    <w:p>
      <w:pPr>
        <w:spacing w:after="0" w:line="209"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8.8</w:t>
      </w:r>
      <w:r>
        <w:rPr>
          <w:sz w:val="20"/>
          <w:szCs w:val="20"/>
          <w:color w:val="auto"/>
        </w:rPr>
        <w:tab/>
      </w:r>
      <w:r>
        <w:rPr>
          <w:rFonts w:ascii="Arial" w:cs="Arial" w:eastAsia="Arial" w:hAnsi="Arial"/>
          <w:sz w:val="16"/>
          <w:szCs w:val="16"/>
          <w:color w:val="auto"/>
        </w:rPr>
        <w:t>Payment of Taxes and Other Obligations</w:t>
      </w:r>
    </w:p>
    <w:p>
      <w:pPr>
        <w:spacing w:after="0" w:line="283" w:lineRule="exact"/>
        <w:rPr>
          <w:sz w:val="20"/>
          <w:szCs w:val="20"/>
          <w:color w:val="auto"/>
        </w:rPr>
      </w:pPr>
    </w:p>
    <w:p>
      <w:pPr>
        <w:jc w:val="both"/>
        <w:ind w:left="60" w:hanging="4"/>
        <w:spacing w:after="0" w:line="223" w:lineRule="auto"/>
        <w:tabs>
          <w:tab w:leader="none" w:pos="168" w:val="left"/>
        </w:tabs>
        <w:numPr>
          <w:ilvl w:val="0"/>
          <w:numId w:val="353"/>
        </w:numPr>
        <w:rPr>
          <w:rFonts w:ascii="Arial" w:cs="Arial" w:eastAsia="Arial" w:hAnsi="Arial"/>
          <w:sz w:val="20"/>
          <w:szCs w:val="20"/>
          <w:color w:val="auto"/>
        </w:rPr>
      </w:pPr>
      <w:r>
        <w:rPr>
          <w:rFonts w:ascii="Arial" w:cs="Arial" w:eastAsia="Arial" w:hAnsi="Arial"/>
          <w:sz w:val="20"/>
          <w:szCs w:val="20"/>
          <w:color w:val="auto"/>
        </w:rPr>
        <w:t>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w:t>
      </w:r>
    </w:p>
    <w:p>
      <w:pPr>
        <w:spacing w:after="0" w:line="74" w:lineRule="exact"/>
        <w:rPr>
          <w:sz w:val="20"/>
          <w:szCs w:val="20"/>
          <w:color w:val="auto"/>
        </w:rPr>
      </w:pPr>
    </w:p>
    <w:p>
      <w:pPr>
        <w:ind w:left="700" w:hanging="644"/>
        <w:spacing w:after="0"/>
        <w:tabs>
          <w:tab w:leader="none" w:pos="700" w:val="left"/>
        </w:tabs>
        <w:numPr>
          <w:ilvl w:val="0"/>
          <w:numId w:val="354"/>
        </w:numPr>
        <w:rPr>
          <w:rFonts w:ascii="Arial" w:cs="Arial" w:eastAsia="Arial" w:hAnsi="Arial"/>
          <w:sz w:val="20"/>
          <w:szCs w:val="20"/>
          <w:color w:val="auto"/>
        </w:rPr>
      </w:pPr>
      <w:r>
        <w:rPr>
          <w:rFonts w:ascii="Arial" w:cs="Arial" w:eastAsia="Arial" w:hAnsi="Arial"/>
          <w:sz w:val="20"/>
          <w:szCs w:val="20"/>
          <w:color w:val="auto"/>
        </w:rPr>
        <w:t>of this Section could not reasonably be expected to have a Material Adverse Effect. SECTION</w:t>
      </w:r>
    </w:p>
    <w:p>
      <w:pPr>
        <w:spacing w:after="0" w:line="216"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color w:val="auto"/>
        </w:rPr>
        <w:t>Compliance with Laws and Approvals</w:t>
      </w:r>
    </w:p>
    <w:p>
      <w:pPr>
        <w:spacing w:after="0" w:line="108" w:lineRule="exact"/>
        <w:rPr>
          <w:sz w:val="20"/>
          <w:szCs w:val="20"/>
          <w:color w:val="auto"/>
        </w:rPr>
      </w:pPr>
    </w:p>
    <w:p>
      <w:pPr>
        <w:jc w:val="both"/>
        <w:ind w:left="60" w:hanging="4"/>
        <w:spacing w:after="0" w:line="223" w:lineRule="auto"/>
        <w:tabs>
          <w:tab w:leader="none" w:pos="213" w:val="left"/>
        </w:tabs>
        <w:numPr>
          <w:ilvl w:val="0"/>
          <w:numId w:val="355"/>
        </w:numPr>
        <w:rPr>
          <w:rFonts w:ascii="Arial" w:cs="Arial" w:eastAsia="Arial" w:hAnsi="Arial"/>
          <w:sz w:val="20"/>
          <w:szCs w:val="20"/>
          <w:color w:val="auto"/>
        </w:rPr>
      </w:pPr>
      <w:r>
        <w:rPr>
          <w:rFonts w:ascii="Arial" w:cs="Arial" w:eastAsia="Arial" w:hAnsi="Arial"/>
          <w:sz w:val="20"/>
          <w:szCs w:val="20"/>
          <w:color w:val="auto"/>
        </w:rPr>
        <w:t>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9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8.10</w:t>
      </w:r>
      <w:r>
        <w:rPr>
          <w:sz w:val="20"/>
          <w:szCs w:val="20"/>
          <w:color w:val="auto"/>
        </w:rPr>
        <w:tab/>
      </w:r>
      <w:r>
        <w:rPr>
          <w:rFonts w:ascii="Arial" w:cs="Arial" w:eastAsia="Arial" w:hAnsi="Arial"/>
          <w:sz w:val="18"/>
          <w:szCs w:val="18"/>
          <w:color w:val="auto"/>
        </w:rPr>
        <w:t>Environmental Laws</w:t>
      </w:r>
    </w:p>
    <w:p>
      <w:pPr>
        <w:spacing w:after="0" w:line="283" w:lineRule="exact"/>
        <w:rPr>
          <w:sz w:val="20"/>
          <w:szCs w:val="20"/>
          <w:color w:val="auto"/>
        </w:rPr>
      </w:pPr>
    </w:p>
    <w:p>
      <w:pPr>
        <w:jc w:val="both"/>
        <w:ind w:left="60" w:hanging="5"/>
        <w:spacing w:after="0" w:line="234" w:lineRule="auto"/>
        <w:tabs>
          <w:tab w:leader="none" w:pos="15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addition to and without limiting the generality of Section 8.9, (a) comply with, and take commercially reasonable efforts to ensure such compliance by 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willful misconduct or breach in bad faith of obligations of the party seeking indemnification therefor, as determined by a court of competent jurisdiction by final nonappealable judgment.</w:t>
      </w:r>
    </w:p>
    <w:p>
      <w:pPr>
        <w:spacing w:after="0" w:line="199"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8.11</w:t>
      </w:r>
      <w:r>
        <w:rPr>
          <w:sz w:val="20"/>
          <w:szCs w:val="20"/>
          <w:color w:val="auto"/>
        </w:rPr>
        <w:tab/>
      </w:r>
      <w:r>
        <w:rPr>
          <w:rFonts w:ascii="Arial" w:cs="Arial" w:eastAsia="Arial" w:hAnsi="Arial"/>
          <w:sz w:val="18"/>
          <w:szCs w:val="18"/>
          <w:color w:val="auto"/>
        </w:rPr>
        <w:t>Compliance with ERISA and Canadian Pension Laws</w:t>
      </w:r>
    </w:p>
    <w:p>
      <w:pPr>
        <w:spacing w:after="0" w:line="283" w:lineRule="exact"/>
        <w:rPr>
          <w:sz w:val="20"/>
          <w:szCs w:val="20"/>
          <w:color w:val="auto"/>
        </w:rPr>
      </w:pPr>
    </w:p>
    <w:p>
      <w:pPr>
        <w:jc w:val="both"/>
        <w:ind w:left="60" w:hanging="4"/>
        <w:spacing w:after="0" w:line="223" w:lineRule="auto"/>
        <w:tabs>
          <w:tab w:leader="none" w:pos="159" w:val="left"/>
        </w:tabs>
        <w:numPr>
          <w:ilvl w:val="0"/>
          <w:numId w:val="357"/>
        </w:numPr>
        <w:rPr>
          <w:rFonts w:ascii="Arial" w:cs="Arial" w:eastAsia="Arial" w:hAnsi="Arial"/>
          <w:sz w:val="19"/>
          <w:szCs w:val="19"/>
          <w:color w:val="auto"/>
        </w:rPr>
      </w:pPr>
      <w:r>
        <w:rPr>
          <w:rFonts w:ascii="Arial" w:cs="Arial" w:eastAsia="Arial" w:hAnsi="Arial"/>
          <w:sz w:val="19"/>
          <w:szCs w:val="19"/>
          <w:color w:val="auto"/>
        </w:rPr>
        <w:t>In addition to and without limiting the generality of Section 8.9,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 (iii) not participate in any prohibited transaction that could result in any civil penalty under ERISA or tax under the Code or any penalty or tax under Canadian Pension Laws and (iv) 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 fiduciary, funding, investment and administration obligations, under and in respect of each Canadian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06" w:name="page207"/>
    <w:bookmarkEnd w:id="206"/>
    <w:p>
      <w:pPr>
        <w:spacing w:after="0" w:line="209" w:lineRule="exact"/>
        <w:rPr>
          <w:sz w:val="20"/>
          <w:szCs w:val="20"/>
          <w:color w:val="auto"/>
        </w:rPr>
      </w:pPr>
    </w:p>
    <w:p>
      <w:pPr>
        <w:ind w:left="60"/>
        <w:spacing w:after="0"/>
        <w:rPr>
          <w:sz w:val="20"/>
          <w:szCs w:val="20"/>
          <w:color w:val="auto"/>
        </w:rPr>
      </w:pPr>
      <w:r>
        <w:rPr>
          <w:rFonts w:ascii="Arial" w:cs="Arial" w:eastAsia="Arial" w:hAnsi="Arial"/>
          <w:sz w:val="19"/>
          <w:szCs w:val="19"/>
          <w:color w:val="auto"/>
        </w:rPr>
        <w:t>under the terms thereof, any funding agreements, and all Applicable Laws, and (c) furnish to the Administrative Agent upon the</w:t>
      </w:r>
    </w:p>
    <w:p>
      <w:pPr>
        <w:ind w:left="60"/>
        <w:spacing w:after="0" w:line="226" w:lineRule="auto"/>
        <w:rPr>
          <w:sz w:val="20"/>
          <w:szCs w:val="20"/>
          <w:color w:val="auto"/>
        </w:rPr>
      </w:pPr>
      <w:r>
        <w:rPr>
          <w:rFonts w:ascii="Arial" w:cs="Arial" w:eastAsia="Arial" w:hAnsi="Arial"/>
          <w:sz w:val="18"/>
          <w:szCs w:val="18"/>
          <w:color w:val="auto"/>
        </w:rPr>
        <w:t>Administrative Agent’s request such additional information about any Employee Benefit Plan or Canadian Employee Benefit Plan as may be reasonably requested by the Administrative Agent. No Credit Party nor any Subsidiary shall at any time terminate or wind-up a</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Canadian Employee Benefit Plan unless there are no Canadian Pension Plan Unfunded Liabilities in excess of the Threshold Amount.</w:t>
      </w:r>
    </w:p>
    <w:p>
      <w:pPr>
        <w:spacing w:after="0" w:line="223"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8.12</w:t>
      </w:r>
      <w:r>
        <w:rPr>
          <w:sz w:val="20"/>
          <w:szCs w:val="20"/>
          <w:color w:val="auto"/>
        </w:rPr>
        <w:tab/>
      </w:r>
      <w:r>
        <w:rPr>
          <w:rFonts w:ascii="Arial" w:cs="Arial" w:eastAsia="Arial" w:hAnsi="Arial"/>
          <w:sz w:val="16"/>
          <w:szCs w:val="16"/>
          <w:color w:val="auto"/>
        </w:rPr>
        <w:t>Maintenance of Debt Ratings</w:t>
      </w:r>
    </w:p>
    <w:p>
      <w:pPr>
        <w:spacing w:after="0" w:line="283" w:lineRule="exact"/>
        <w:rPr>
          <w:sz w:val="20"/>
          <w:szCs w:val="20"/>
          <w:color w:val="auto"/>
        </w:rPr>
      </w:pPr>
    </w:p>
    <w:p>
      <w:pPr>
        <w:ind w:left="700" w:right="5700" w:hanging="644"/>
        <w:spacing w:after="0" w:line="500" w:lineRule="auto"/>
        <w:tabs>
          <w:tab w:leader="none" w:pos="151" w:val="left"/>
        </w:tabs>
        <w:numPr>
          <w:ilvl w:val="0"/>
          <w:numId w:val="358"/>
        </w:numPr>
        <w:rPr>
          <w:rFonts w:ascii="Arial" w:cs="Arial" w:eastAsia="Arial" w:hAnsi="Arial"/>
          <w:sz w:val="20"/>
          <w:szCs w:val="20"/>
          <w:color w:val="auto"/>
        </w:rPr>
      </w:pPr>
      <w:r>
        <w:rPr>
          <w:rFonts w:ascii="Arial" w:cs="Arial" w:eastAsia="Arial" w:hAnsi="Arial"/>
          <w:sz w:val="20"/>
          <w:szCs w:val="20"/>
          <w:color w:val="auto"/>
        </w:rPr>
        <w:t>Use commercially reasonable efforts to maintain all Debt Ratings. SECTION 8.13 Visits and Inspections</w:t>
      </w:r>
    </w:p>
    <w:p>
      <w:pPr>
        <w:jc w:val="both"/>
        <w:ind w:left="60" w:hanging="5"/>
        <w:spacing w:after="0" w:line="223" w:lineRule="auto"/>
        <w:tabs>
          <w:tab w:leader="none" w:pos="183" w:val="left"/>
        </w:tabs>
        <w:numPr>
          <w:ilvl w:val="0"/>
          <w:numId w:val="359"/>
        </w:numPr>
        <w:rPr>
          <w:rFonts w:ascii="Arial" w:cs="Arial" w:eastAsia="Arial" w:hAnsi="Arial"/>
          <w:sz w:val="19"/>
          <w:szCs w:val="19"/>
          <w:color w:val="auto"/>
        </w:rPr>
      </w:pPr>
      <w:r>
        <w:rPr>
          <w:rFonts w:ascii="Arial" w:cs="Arial" w:eastAsia="Arial" w:hAnsi="Arial"/>
          <w:sz w:val="19"/>
          <w:szCs w:val="19"/>
          <w:color w:val="auto"/>
        </w:rPr>
        <w:t>Permit representatives of the Administrative Agent or any Lender, from time to time upon prior reasonable notice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provided that excluding any such visits and inspections during the continuation of an Event of Default, the Administrative Agent shall not exercise such rights more often than one (1) time during any calendar year at the Borrowers’ expense; provided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197"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8.14</w:t>
      </w:r>
      <w:r>
        <w:rPr>
          <w:sz w:val="20"/>
          <w:szCs w:val="20"/>
          <w:color w:val="auto"/>
        </w:rPr>
        <w:tab/>
      </w:r>
      <w:r>
        <w:rPr>
          <w:rFonts w:ascii="Arial" w:cs="Arial" w:eastAsia="Arial" w:hAnsi="Arial"/>
          <w:sz w:val="18"/>
          <w:szCs w:val="18"/>
          <w:color w:val="auto"/>
        </w:rPr>
        <w:t>Additional Subsidiaries and Collateral.</w:t>
      </w:r>
    </w:p>
    <w:p>
      <w:pPr>
        <w:spacing w:after="0" w:line="283" w:lineRule="exact"/>
        <w:rPr>
          <w:sz w:val="20"/>
          <w:szCs w:val="20"/>
          <w:color w:val="auto"/>
        </w:rPr>
      </w:pPr>
    </w:p>
    <w:p>
      <w:pPr>
        <w:jc w:val="both"/>
        <w:ind w:left="60" w:firstLine="644"/>
        <w:spacing w:after="0" w:line="233" w:lineRule="auto"/>
        <w:tabs>
          <w:tab w:leader="none" w:pos="123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Additional US Subsidiaries. Promptly after (x) the creation or acquisition (including by statutory division) of any US Subsidiary (other than an Excluded Subsidiary), (y) any US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Person to (i) either (A) become a US Subsidiary Guarantor by delivering to the Administrative Agent a duly executed supplement to the US Credit Party Guaranty Agreement or such other document as the Administrative Agent shall deem appropriate for such purpose, or (B) become an Additional Borrower in compliance with Section 5.17, (ii) 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Section 6.1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07" w:name="page208"/>
    <w:bookmarkEnd w:id="207"/>
    <w:p>
      <w:pPr>
        <w:spacing w:after="0" w:line="209" w:lineRule="exact"/>
        <w:rPr>
          <w:sz w:val="20"/>
          <w:szCs w:val="20"/>
          <w:color w:val="auto"/>
        </w:rPr>
      </w:pPr>
    </w:p>
    <w:p>
      <w:pPr>
        <w:jc w:val="both"/>
        <w:ind w:left="60" w:firstLine="644"/>
        <w:spacing w:after="0" w:line="221" w:lineRule="auto"/>
        <w:tabs>
          <w:tab w:leader="none" w:pos="1236" w:val="left"/>
        </w:tabs>
        <w:numPr>
          <w:ilvl w:val="1"/>
          <w:numId w:val="361"/>
        </w:numPr>
        <w:rPr>
          <w:rFonts w:ascii="Arial" w:cs="Arial" w:eastAsia="Arial" w:hAnsi="Arial"/>
          <w:sz w:val="19"/>
          <w:szCs w:val="19"/>
          <w:color w:val="auto"/>
        </w:rPr>
      </w:pPr>
      <w:r>
        <w:rPr>
          <w:rFonts w:ascii="Arial" w:cs="Arial" w:eastAsia="Arial" w:hAnsi="Arial"/>
          <w:sz w:val="19"/>
          <w:szCs w:val="19"/>
          <w:color w:val="auto"/>
        </w:rPr>
        <w:t>Additional Canadian Subsidiaries. Promptly after (x) the creation or acquisition of any Canadian Subsidiary (other than an Excluded Subsidiary), (y) any Canadian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Canadian Subsidiary to (i) either (A) become a Canadian Subsidiary Guarantor by delivering to the Administrative Agent a duly executed supplement to the Canadian Credit Party Guarantee Agreement or such other document as the Administrative Agent shall deem appropriate for such purpose, or (B) become an Additional Borrower in compliance with Section 5.17,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Section 6.1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96" w:lineRule="exact"/>
        <w:rPr>
          <w:rFonts w:ascii="Arial" w:cs="Arial" w:eastAsia="Arial" w:hAnsi="Arial"/>
          <w:sz w:val="19"/>
          <w:szCs w:val="19"/>
          <w:color w:val="auto"/>
        </w:rPr>
      </w:pPr>
    </w:p>
    <w:p>
      <w:pPr>
        <w:jc w:val="both"/>
        <w:ind w:left="60" w:firstLine="644"/>
        <w:spacing w:after="0" w:line="231" w:lineRule="auto"/>
        <w:tabs>
          <w:tab w:leader="none" w:pos="123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Additional First Tier Foreign Subsidiaries.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w:t>
      </w:r>
    </w:p>
    <w:p>
      <w:pPr>
        <w:spacing w:after="0" w:line="8" w:lineRule="exact"/>
        <w:rPr>
          <w:rFonts w:ascii="Arial" w:cs="Arial" w:eastAsia="Arial" w:hAnsi="Arial"/>
          <w:sz w:val="18"/>
          <w:szCs w:val="18"/>
          <w:color w:val="auto"/>
        </w:rPr>
      </w:pPr>
    </w:p>
    <w:p>
      <w:pPr>
        <w:jc w:val="both"/>
        <w:ind w:left="60" w:hanging="4"/>
        <w:spacing w:after="0" w:line="215" w:lineRule="auto"/>
        <w:tabs>
          <w:tab w:leader="none" w:pos="588" w:val="left"/>
        </w:tabs>
        <w:numPr>
          <w:ilvl w:val="0"/>
          <w:numId w:val="362"/>
        </w:numPr>
        <w:rPr>
          <w:rFonts w:ascii="Arial" w:cs="Arial" w:eastAsia="Arial" w:hAnsi="Arial"/>
          <w:sz w:val="20"/>
          <w:szCs w:val="20"/>
          <w:color w:val="auto"/>
        </w:rPr>
      </w:pPr>
      <w:r>
        <w:rPr>
          <w:rFonts w:ascii="Arial" w:cs="Arial" w:eastAsia="Arial" w:hAnsi="Arial"/>
          <w:sz w:val="20"/>
          <w:szCs w:val="20"/>
          <w:color w:val="auto"/>
        </w:rPr>
        <w:t>such Person to deliver to the Administrative Agent such opinions, documents and certificates referred to in Section 6.1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95" w:lineRule="exact"/>
        <w:rPr>
          <w:rFonts w:ascii="Arial" w:cs="Arial" w:eastAsia="Arial" w:hAnsi="Arial"/>
          <w:sz w:val="20"/>
          <w:szCs w:val="20"/>
          <w:color w:val="auto"/>
        </w:rPr>
      </w:pPr>
    </w:p>
    <w:p>
      <w:pPr>
        <w:jc w:val="both"/>
        <w:ind w:left="60" w:firstLine="644"/>
        <w:spacing w:after="0" w:line="225" w:lineRule="auto"/>
        <w:tabs>
          <w:tab w:leader="none" w:pos="1236" w:val="left"/>
        </w:tabs>
        <w:numPr>
          <w:ilvl w:val="1"/>
          <w:numId w:val="362"/>
        </w:numPr>
        <w:rPr>
          <w:rFonts w:ascii="Arial" w:cs="Arial" w:eastAsia="Arial" w:hAnsi="Arial"/>
          <w:sz w:val="19"/>
          <w:szCs w:val="19"/>
          <w:color w:val="auto"/>
        </w:rPr>
      </w:pPr>
      <w:r>
        <w:rPr>
          <w:rFonts w:ascii="Arial" w:cs="Arial" w:eastAsia="Arial" w:hAnsi="Arial"/>
          <w:sz w:val="19"/>
          <w:szCs w:val="19"/>
          <w:color w:val="auto"/>
        </w:rPr>
        <w:t>Merger Subsidiaries.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Section 8.14(a) or (b), as applicable, until the consummation of such Permitted Acquisition (at which time, the surviving entity of the respective merger transaction shall be required to so comply with Section 8.14(a) or (b), as applicable, within ten (10) Business Days of the consummation of such Permitted Acquisition, as such time period may be extended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08" w:name="page209"/>
    <w:bookmarkEnd w:id="208"/>
    <w:p>
      <w:pPr>
        <w:spacing w:after="0" w:line="209" w:lineRule="exact"/>
        <w:rPr>
          <w:sz w:val="20"/>
          <w:szCs w:val="20"/>
          <w:color w:val="auto"/>
        </w:rPr>
      </w:pPr>
    </w:p>
    <w:p>
      <w:pPr>
        <w:jc w:val="both"/>
        <w:ind w:left="60" w:firstLine="644"/>
        <w:spacing w:after="0" w:line="221" w:lineRule="auto"/>
        <w:tabs>
          <w:tab w:leader="none" w:pos="1239" w:val="left"/>
        </w:tabs>
        <w:numPr>
          <w:ilvl w:val="0"/>
          <w:numId w:val="363"/>
        </w:numPr>
        <w:rPr>
          <w:rFonts w:ascii="Arial" w:cs="Arial" w:eastAsia="Arial" w:hAnsi="Arial"/>
          <w:sz w:val="19"/>
          <w:szCs w:val="19"/>
          <w:color w:val="auto"/>
        </w:rPr>
      </w:pPr>
      <w:r>
        <w:rPr>
          <w:rFonts w:ascii="Arial" w:cs="Arial" w:eastAsia="Arial" w:hAnsi="Arial"/>
          <w:sz w:val="19"/>
          <w:szCs w:val="19"/>
          <w:color w:val="auto"/>
        </w:rPr>
        <w:t>Additional Collateral. After the Closing Date, Centuri will notify the Administrative Agent in writing promptly upon any Credit Party’s acquisition (including any acquisition by statutory division) or ownership of any Collateral not already covered by the US Collateral Agreement or Canadian Collateral Agreement, as applicable (such acquisition or ownership being herein called an “Additional Collateral Event” and the property so acquired or owned being herein called “Additional Collateral”). As soon as practicable and in any event within thirty (30) days (or such longer period as the Administrative Agent shall agree) after an Additional Collateral Event, the applicable Credit Party shall (i) execute and deliver or cause to be executed and delivered Security Documents, in form and substance reasonably satisfactory to 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 Consolidated Companies such other documents or certificates consistent with the terms of this Agreement and relating to the transactions contemplated hereby as Administrative Agent may reasonably request.</w:t>
      </w:r>
    </w:p>
    <w:p>
      <w:pPr>
        <w:spacing w:after="0" w:line="20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8.15</w:t>
      </w:r>
      <w:r>
        <w:rPr>
          <w:sz w:val="20"/>
          <w:szCs w:val="20"/>
          <w:color w:val="auto"/>
        </w:rPr>
        <w:tab/>
      </w:r>
      <w:r>
        <w:rPr>
          <w:rFonts w:ascii="Arial" w:cs="Arial" w:eastAsia="Arial" w:hAnsi="Arial"/>
          <w:sz w:val="16"/>
          <w:szCs w:val="16"/>
          <w:color w:val="auto"/>
        </w:rPr>
        <w:t>Use of Proceeds</w:t>
      </w:r>
    </w:p>
    <w:p>
      <w:pPr>
        <w:spacing w:after="0" w:line="283" w:lineRule="exact"/>
        <w:rPr>
          <w:sz w:val="20"/>
          <w:szCs w:val="20"/>
          <w:color w:val="auto"/>
        </w:rPr>
      </w:pPr>
    </w:p>
    <w:p>
      <w:pPr>
        <w:jc w:val="both"/>
        <w:ind w:left="60" w:hanging="5"/>
        <w:spacing w:after="0" w:line="272" w:lineRule="auto"/>
        <w:tabs>
          <w:tab w:leader="none" w:pos="161"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37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8.16</w:t>
      </w:r>
      <w:r>
        <w:rPr>
          <w:sz w:val="20"/>
          <w:szCs w:val="20"/>
          <w:color w:val="auto"/>
        </w:rPr>
        <w:tab/>
      </w:r>
      <w:r>
        <w:rPr>
          <w:rFonts w:ascii="Arial" w:cs="Arial" w:eastAsia="Arial" w:hAnsi="Arial"/>
          <w:sz w:val="16"/>
          <w:szCs w:val="16"/>
          <w:color w:val="auto"/>
        </w:rPr>
        <w:t>Corporate Governance</w:t>
      </w:r>
    </w:p>
    <w:p>
      <w:pPr>
        <w:spacing w:after="0" w:line="283" w:lineRule="exact"/>
        <w:rPr>
          <w:sz w:val="20"/>
          <w:szCs w:val="20"/>
          <w:color w:val="auto"/>
        </w:rPr>
      </w:pPr>
    </w:p>
    <w:p>
      <w:pPr>
        <w:jc w:val="both"/>
        <w:ind w:left="60" w:hanging="4"/>
        <w:spacing w:after="0" w:line="214" w:lineRule="auto"/>
        <w:tabs>
          <w:tab w:leader="none" w:pos="181" w:val="left"/>
        </w:tabs>
        <w:numPr>
          <w:ilvl w:val="0"/>
          <w:numId w:val="365"/>
        </w:numPr>
        <w:rPr>
          <w:rFonts w:ascii="Arial" w:cs="Arial" w:eastAsia="Arial" w:hAnsi="Arial"/>
          <w:sz w:val="20"/>
          <w:szCs w:val="20"/>
          <w:color w:val="auto"/>
        </w:rPr>
      </w:pPr>
      <w:r>
        <w:rPr>
          <w:rFonts w:ascii="Arial" w:cs="Arial" w:eastAsia="Arial" w:hAnsi="Arial"/>
          <w:sz w:val="20"/>
          <w:szCs w:val="20"/>
          <w:color w:val="auto"/>
        </w:rPr>
        <w:t>(a)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provided, however, that Centuri and Southwest Administrators, Inc. shall be permitted, at the request of Centuri, to (x) maintain entity records and books of account that are not separate and (y) commingle their funds and assets on an as needed basis to conduct the Consolidated Companies’ business in its ordinary course consistent with past practices.</w:t>
      </w:r>
    </w:p>
    <w:p>
      <w:pPr>
        <w:spacing w:after="0" w:line="195"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8.17</w:t>
      </w:r>
      <w:r>
        <w:rPr>
          <w:sz w:val="20"/>
          <w:szCs w:val="20"/>
          <w:color w:val="auto"/>
        </w:rPr>
        <w:tab/>
      </w:r>
      <w:r>
        <w:rPr>
          <w:rFonts w:ascii="Arial" w:cs="Arial" w:eastAsia="Arial" w:hAnsi="Arial"/>
          <w:sz w:val="16"/>
          <w:szCs w:val="16"/>
          <w:color w:val="auto"/>
        </w:rPr>
        <w:t>Further Assurances</w:t>
      </w:r>
    </w:p>
    <w:p>
      <w:pPr>
        <w:spacing w:after="0" w:line="283" w:lineRule="exact"/>
        <w:rPr>
          <w:sz w:val="20"/>
          <w:szCs w:val="20"/>
          <w:color w:val="auto"/>
        </w:rPr>
      </w:pPr>
    </w:p>
    <w:p>
      <w:pPr>
        <w:jc w:val="both"/>
        <w:ind w:left="60" w:hanging="4"/>
        <w:spacing w:after="0" w:line="220" w:lineRule="auto"/>
        <w:tabs>
          <w:tab w:leader="none" w:pos="162" w:val="left"/>
        </w:tabs>
        <w:numPr>
          <w:ilvl w:val="0"/>
          <w:numId w:val="366"/>
        </w:numPr>
        <w:rPr>
          <w:rFonts w:ascii="Arial" w:cs="Arial" w:eastAsia="Arial" w:hAnsi="Arial"/>
          <w:sz w:val="20"/>
          <w:szCs w:val="20"/>
          <w:color w:val="auto"/>
        </w:rPr>
      </w:pPr>
      <w:r>
        <w:rPr>
          <w:rFonts w:ascii="Arial" w:cs="Arial" w:eastAsia="Arial" w:hAnsi="Arial"/>
          <w:sz w:val="20"/>
          <w:szCs w:val="20"/>
          <w:color w:val="auto"/>
        </w:rPr>
        <w:t>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09" w:name="page210"/>
    <w:bookmarkEnd w:id="209"/>
    <w:p>
      <w:pPr>
        <w:spacing w:after="0" w:line="209" w:lineRule="exact"/>
        <w:rPr>
          <w:sz w:val="20"/>
          <w:szCs w:val="20"/>
          <w:color w:val="auto"/>
        </w:rPr>
      </w:pPr>
    </w:p>
    <w:p>
      <w:pPr>
        <w:ind w:left="60" w:right="320"/>
        <w:spacing w:after="0" w:line="236" w:lineRule="auto"/>
        <w:rPr>
          <w:sz w:val="20"/>
          <w:szCs w:val="20"/>
          <w:color w:val="auto"/>
        </w:rPr>
      </w:pPr>
      <w:r>
        <w:rPr>
          <w:rFonts w:ascii="Arial" w:cs="Arial" w:eastAsia="Arial" w:hAnsi="Arial"/>
          <w:sz w:val="20"/>
          <w:szCs w:val="20"/>
          <w:color w:val="auto"/>
        </w:rPr>
        <w:t>preserve, protect or perfect the Liens created or intended to be created by the Security Documents or the validity or priority of any such Lien, all at the expense of the Credit Parties.</w:t>
      </w:r>
    </w:p>
    <w:p>
      <w:pPr>
        <w:spacing w:after="0" w:line="196" w:lineRule="exact"/>
        <w:rPr>
          <w:sz w:val="20"/>
          <w:szCs w:val="20"/>
          <w:color w:val="auto"/>
        </w:rPr>
      </w:pPr>
    </w:p>
    <w:p>
      <w:pPr>
        <w:ind w:left="60" w:right="180" w:firstLine="648"/>
        <w:spacing w:after="0" w:line="236" w:lineRule="auto"/>
        <w:rPr>
          <w:sz w:val="20"/>
          <w:szCs w:val="20"/>
          <w:color w:val="auto"/>
        </w:rPr>
      </w:pPr>
      <w:r>
        <w:rPr>
          <w:rFonts w:ascii="Arial" w:cs="Arial" w:eastAsia="Arial" w:hAnsi="Arial"/>
          <w:sz w:val="20"/>
          <w:szCs w:val="20"/>
          <w:color w:val="auto"/>
        </w:rPr>
        <w:t>SECTION 8.18 Compliance with Anti-Corruption Laws; Beneficial Ownership Regulation, Anti-Money Laundering Laws and Sanctions</w:t>
      </w:r>
    </w:p>
    <w:p>
      <w:pPr>
        <w:spacing w:after="0" w:line="263" w:lineRule="exact"/>
        <w:rPr>
          <w:sz w:val="20"/>
          <w:szCs w:val="20"/>
          <w:color w:val="auto"/>
        </w:rPr>
      </w:pPr>
    </w:p>
    <w:p>
      <w:pPr>
        <w:jc w:val="both"/>
        <w:ind w:left="60" w:hanging="4"/>
        <w:spacing w:after="0" w:line="214" w:lineRule="auto"/>
        <w:tabs>
          <w:tab w:leader="none" w:pos="20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Each Borrower will maintain in effect and enforce policies and procedures designed to ensure compliance by such Borrower, its Subsidiaries and their respective directors, officers, employees and agents (a) in all material respects with Anti-Corruption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98"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8.19</w:t>
      </w:r>
      <w:r>
        <w:rPr>
          <w:sz w:val="20"/>
          <w:szCs w:val="20"/>
          <w:color w:val="auto"/>
        </w:rPr>
        <w:tab/>
      </w:r>
      <w:r>
        <w:rPr>
          <w:rFonts w:ascii="Arial" w:cs="Arial" w:eastAsia="Arial" w:hAnsi="Arial"/>
          <w:sz w:val="16"/>
          <w:szCs w:val="16"/>
          <w:color w:val="auto"/>
        </w:rPr>
        <w:t>Post-Closing Matters</w:t>
      </w:r>
    </w:p>
    <w:p>
      <w:pPr>
        <w:spacing w:after="0" w:line="283" w:lineRule="exact"/>
        <w:rPr>
          <w:sz w:val="20"/>
          <w:szCs w:val="20"/>
          <w:color w:val="auto"/>
        </w:rPr>
      </w:pPr>
    </w:p>
    <w:p>
      <w:pPr>
        <w:ind w:left="60" w:right="380" w:hanging="4"/>
        <w:spacing w:after="0" w:line="229" w:lineRule="auto"/>
        <w:tabs>
          <w:tab w:leader="none" w:pos="159" w:val="left"/>
        </w:tabs>
        <w:numPr>
          <w:ilvl w:val="0"/>
          <w:numId w:val="368"/>
        </w:numPr>
        <w:rPr>
          <w:rFonts w:ascii="Arial" w:cs="Arial" w:eastAsia="Arial" w:hAnsi="Arial"/>
          <w:sz w:val="20"/>
          <w:szCs w:val="20"/>
          <w:color w:val="auto"/>
        </w:rPr>
      </w:pPr>
      <w:r>
        <w:rPr>
          <w:rFonts w:ascii="Arial" w:cs="Arial" w:eastAsia="Arial" w:hAnsi="Arial"/>
          <w:sz w:val="20"/>
          <w:szCs w:val="20"/>
          <w:color w:val="auto"/>
        </w:rPr>
        <w:t>Execute and deliver the documents and complete the tasks set forth on Schedule 8.19, in each case within the time limits specified on such schedule.</w:t>
      </w:r>
    </w:p>
    <w:p>
      <w:pPr>
        <w:spacing w:after="0" w:line="344"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ARTICLE IX NEGATIVE COVENANTS</w:t>
      </w:r>
    </w:p>
    <w:p>
      <w:pPr>
        <w:spacing w:after="0" w:line="94" w:lineRule="exact"/>
        <w:rPr>
          <w:sz w:val="20"/>
          <w:szCs w:val="20"/>
          <w:color w:val="auto"/>
        </w:rPr>
      </w:pPr>
    </w:p>
    <w:p>
      <w:pPr>
        <w:ind w:left="700"/>
        <w:spacing w:after="0"/>
        <w:rPr>
          <w:sz w:val="20"/>
          <w:szCs w:val="20"/>
          <w:color w:val="auto"/>
        </w:rPr>
      </w:pPr>
      <w:r>
        <w:rPr>
          <w:sz w:val="1"/>
          <w:szCs w:val="1"/>
          <w:color w:val="auto"/>
        </w:rPr>
        <w:drawing>
          <wp:inline distT="0" distB="0" distL="0" distR="0">
            <wp:extent cx="68580" cy="603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8"/>
          <w:szCs w:val="18"/>
          <w:color w:val="auto"/>
        </w:rPr>
        <w:t>Until all of the Obligations (other than contingent, indemnification obligations not then due) have been paid and satisfied in full</w:t>
      </w:r>
    </w:p>
    <w:p>
      <w:pPr>
        <w:spacing w:after="0" w:line="12" w:lineRule="exact"/>
        <w:rPr>
          <w:sz w:val="20"/>
          <w:szCs w:val="20"/>
          <w:color w:val="auto"/>
        </w:rPr>
      </w:pPr>
    </w:p>
    <w:p>
      <w:pPr>
        <w:ind w:left="60"/>
        <w:spacing w:after="0" w:line="220" w:lineRule="auto"/>
        <w:rPr>
          <w:sz w:val="20"/>
          <w:szCs w:val="20"/>
          <w:color w:val="auto"/>
        </w:rPr>
      </w:pPr>
      <w:r>
        <w:rPr>
          <w:rFonts w:ascii="Arial" w:cs="Arial" w:eastAsia="Arial" w:hAnsi="Arial"/>
          <w:sz w:val="20"/>
          <w:szCs w:val="20"/>
          <w:color w:val="auto"/>
        </w:rPr>
        <w:t>in cash, all Letters of Credit have been terminated or expired (or been Cash Collateralized) and the Commitments terminated, the Credit Parties will not, and will not permit any of their respective Subsidiaries to</w:t>
      </w:r>
      <w:r>
        <w:rPr>
          <w:rFonts w:ascii="Arial" w:cs="Arial" w:eastAsia="Arial" w:hAnsi="Arial"/>
          <w:sz w:val="20"/>
          <w:szCs w:val="20"/>
          <w:color w:val="FF0000"/>
        </w:rPr>
        <w:t>.</w:t>
      </w:r>
      <w:r>
        <w:rPr>
          <w:rFonts w:ascii="Arial" w:cs="Arial" w:eastAsia="Arial" w:hAnsi="Arial"/>
          <w:sz w:val="20"/>
          <w:szCs w:val="20"/>
          <w:color w:val="0000FF"/>
        </w:rPr>
        <w:t>:</w:t>
      </w:r>
    </w:p>
    <w:p>
      <w:pPr>
        <w:spacing w:after="0" w:line="264"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6"/>
          <w:szCs w:val="16"/>
          <w:color w:val="auto"/>
        </w:rPr>
        <w:t>Indebtedness</w:t>
      </w:r>
    </w:p>
    <w:p>
      <w:pPr>
        <w:spacing w:after="0" w:line="283" w:lineRule="exact"/>
        <w:rPr>
          <w:sz w:val="20"/>
          <w:szCs w:val="20"/>
          <w:color w:val="auto"/>
        </w:rPr>
      </w:pPr>
    </w:p>
    <w:p>
      <w:pPr>
        <w:ind w:left="160" w:hanging="104"/>
        <w:spacing w:after="0"/>
        <w:tabs>
          <w:tab w:leader="none" w:pos="16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Create, incur, assume or suffer to exist any Indebtedness except:</w:t>
      </w:r>
    </w:p>
    <w:p>
      <w:pPr>
        <w:spacing w:after="0" w:line="215" w:lineRule="exact"/>
        <w:rPr>
          <w:rFonts w:ascii="Arial" w:cs="Arial" w:eastAsia="Arial" w:hAnsi="Arial"/>
          <w:sz w:val="20"/>
          <w:szCs w:val="20"/>
          <w:color w:val="auto"/>
        </w:rPr>
      </w:pPr>
    </w:p>
    <w:p>
      <w:pPr>
        <w:ind w:left="1240" w:hanging="536"/>
        <w:spacing w:after="0"/>
        <w:tabs>
          <w:tab w:leader="none" w:pos="1240" w:val="left"/>
        </w:tabs>
        <w:numPr>
          <w:ilvl w:val="1"/>
          <w:numId w:val="369"/>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229" w:lineRule="exact"/>
        <w:rPr>
          <w:rFonts w:ascii="Arial" w:cs="Arial" w:eastAsia="Arial" w:hAnsi="Arial"/>
          <w:sz w:val="20"/>
          <w:szCs w:val="20"/>
          <w:color w:val="auto"/>
        </w:rPr>
      </w:pPr>
    </w:p>
    <w:p>
      <w:pPr>
        <w:jc w:val="both"/>
        <w:ind w:left="60" w:right="20" w:firstLine="644"/>
        <w:spacing w:after="0" w:line="223" w:lineRule="auto"/>
        <w:tabs>
          <w:tab w:leader="none" w:pos="1236" w:val="left"/>
        </w:tabs>
        <w:numPr>
          <w:ilvl w:val="1"/>
          <w:numId w:val="369"/>
        </w:numPr>
        <w:rPr>
          <w:rFonts w:ascii="Arial" w:cs="Arial" w:eastAsia="Arial" w:hAnsi="Arial"/>
          <w:sz w:val="20"/>
          <w:szCs w:val="20"/>
          <w:color w:val="auto"/>
        </w:rPr>
      </w:pPr>
      <w:r>
        <w:rPr>
          <w:rFonts w:ascii="Arial" w:cs="Arial" w:eastAsia="Arial" w:hAnsi="Arial"/>
          <w:sz w:val="20"/>
          <w:szCs w:val="20"/>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95" w:lineRule="exact"/>
        <w:rPr>
          <w:rFonts w:ascii="Arial" w:cs="Arial" w:eastAsia="Arial" w:hAnsi="Arial"/>
          <w:sz w:val="20"/>
          <w:szCs w:val="20"/>
          <w:color w:val="auto"/>
        </w:rPr>
      </w:pPr>
    </w:p>
    <w:p>
      <w:pPr>
        <w:jc w:val="both"/>
        <w:ind w:left="60" w:firstLine="644"/>
        <w:spacing w:after="0" w:line="262" w:lineRule="auto"/>
        <w:tabs>
          <w:tab w:leader="none" w:pos="1236" w:val="left"/>
        </w:tabs>
        <w:numPr>
          <w:ilvl w:val="1"/>
          <w:numId w:val="369"/>
        </w:numPr>
        <w:rPr>
          <w:rFonts w:ascii="Arial" w:cs="Arial" w:eastAsia="Arial" w:hAnsi="Arial"/>
          <w:sz w:val="16"/>
          <w:szCs w:val="16"/>
          <w:color w:val="auto"/>
        </w:rPr>
      </w:pPr>
      <w:r>
        <w:rPr>
          <w:rFonts w:ascii="Arial" w:cs="Arial" w:eastAsia="Arial" w:hAnsi="Arial"/>
          <w:sz w:val="16"/>
          <w:szCs w:val="16"/>
          <w:color w:val="auto"/>
        </w:rPr>
        <w:t>Indebtedness existing on the Closing Date and listed on Schedule 9.1, and any refinancings, refundings, renewals or extensions thereof; provided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to Maturity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w:t>
      </w:r>
    </w:p>
    <w:p>
      <w:pPr>
        <w:ind w:left="60"/>
        <w:spacing w:after="0"/>
        <w:rPr>
          <w:rFonts w:ascii="Arial" w:cs="Arial" w:eastAsia="Arial" w:hAnsi="Arial"/>
          <w:sz w:val="16"/>
          <w:szCs w:val="16"/>
          <w:color w:val="auto"/>
        </w:rPr>
      </w:pPr>
      <w:r>
        <w:rPr>
          <w:rFonts w:ascii="Arial" w:cs="Arial" w:eastAsia="Arial" w:hAnsi="Arial"/>
          <w:sz w:val="20"/>
          <w:szCs w:val="20"/>
          <w:color w:val="auto"/>
        </w:rPr>
        <w:t>(B) no more restrictive on the Consolidated Companies than the Subordinated Indebtedness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10" w:name="page211"/>
    <w:bookmarkEnd w:id="210"/>
    <w:p>
      <w:pPr>
        <w:spacing w:after="0" w:line="209" w:lineRule="exact"/>
        <w:rPr>
          <w:sz w:val="20"/>
          <w:szCs w:val="20"/>
          <w:color w:val="auto"/>
        </w:rPr>
      </w:pPr>
    </w:p>
    <w:p>
      <w:pPr>
        <w:ind w:left="60" w:right="460"/>
        <w:spacing w:after="0" w:line="236" w:lineRule="auto"/>
        <w:rPr>
          <w:sz w:val="20"/>
          <w:szCs w:val="20"/>
          <w:color w:val="auto"/>
        </w:rPr>
      </w:pPr>
      <w:r>
        <w:rPr>
          <w:rFonts w:ascii="Arial" w:cs="Arial" w:eastAsia="Arial" w:hAnsi="Arial"/>
          <w:sz w:val="20"/>
          <w:szCs w:val="20"/>
          <w:color w:val="auto"/>
        </w:rPr>
        <w:t>refinanced, refunded, renewed or extended and (C) in an amount not less than the amount outstanding at the time of such refinancing, refunding, renewal or extension;</w:t>
      </w:r>
    </w:p>
    <w:p>
      <w:pPr>
        <w:spacing w:after="0" w:line="196" w:lineRule="exact"/>
        <w:rPr>
          <w:sz w:val="20"/>
          <w:szCs w:val="20"/>
          <w:color w:val="auto"/>
        </w:rPr>
      </w:pPr>
    </w:p>
    <w:p>
      <w:pPr>
        <w:jc w:val="both"/>
        <w:ind w:left="60" w:right="20" w:firstLine="644"/>
        <w:spacing w:after="0" w:line="223" w:lineRule="auto"/>
        <w:tabs>
          <w:tab w:leader="none" w:pos="1236" w:val="left"/>
        </w:tabs>
        <w:numPr>
          <w:ilvl w:val="1"/>
          <w:numId w:val="370"/>
        </w:numPr>
        <w:rPr>
          <w:rFonts w:ascii="Arial" w:cs="Arial" w:eastAsia="Arial" w:hAnsi="Arial"/>
          <w:sz w:val="20"/>
          <w:szCs w:val="20"/>
          <w:color w:val="auto"/>
        </w:rPr>
      </w:pPr>
      <w:r>
        <w:rPr>
          <w:rFonts w:ascii="Arial" w:cs="Arial" w:eastAsia="Arial" w:hAnsi="Arial"/>
          <w:sz w:val="20"/>
          <w:szCs w:val="20"/>
          <w:color w:val="auto"/>
        </w:rPr>
        <w:t>Capital Lease Obligations and purchase money Indebtedness, in each case incurred in the ordinary course of business of the Consolidated Companies in an aggregate amount not to exceed at any time outstanding the greater of (i) $200,000,000 and (ii) 7.5% of Consolidated Total Assets;</w:t>
      </w:r>
    </w:p>
    <w:p>
      <w:pPr>
        <w:spacing w:after="0" w:line="207" w:lineRule="exact"/>
        <w:rPr>
          <w:rFonts w:ascii="Arial" w:cs="Arial" w:eastAsia="Arial" w:hAnsi="Arial"/>
          <w:sz w:val="20"/>
          <w:szCs w:val="20"/>
          <w:color w:val="auto"/>
        </w:rPr>
      </w:pPr>
    </w:p>
    <w:p>
      <w:pPr>
        <w:ind w:left="1240" w:hanging="536"/>
        <w:spacing w:after="0"/>
        <w:tabs>
          <w:tab w:leader="none" w:pos="12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Guaranty Obligations with respect to Indebtedness permitted pursuant to subsections (a) through (d), (g), (j) and (k) of this</w:t>
      </w:r>
    </w:p>
    <w:p>
      <w:pPr>
        <w:ind w:left="60"/>
        <w:spacing w:after="0"/>
        <w:rPr>
          <w:rFonts w:ascii="Arial" w:cs="Arial" w:eastAsia="Arial" w:hAnsi="Arial"/>
          <w:sz w:val="18"/>
          <w:szCs w:val="18"/>
          <w:color w:val="auto"/>
        </w:rPr>
      </w:pPr>
      <w:r>
        <w:rPr>
          <w:rFonts w:ascii="Arial" w:cs="Arial" w:eastAsia="Arial" w:hAnsi="Arial"/>
          <w:sz w:val="20"/>
          <w:szCs w:val="20"/>
          <w:color w:val="auto"/>
        </w:rPr>
        <w:t>Section;</w:t>
      </w:r>
    </w:p>
    <w:p>
      <w:pPr>
        <w:spacing w:after="0" w:line="213" w:lineRule="exact"/>
        <w:rPr>
          <w:rFonts w:ascii="Arial" w:cs="Arial" w:eastAsia="Arial" w:hAnsi="Arial"/>
          <w:sz w:val="18"/>
          <w:szCs w:val="18"/>
          <w:color w:val="auto"/>
        </w:rPr>
      </w:pPr>
    </w:p>
    <w:p>
      <w:pPr>
        <w:ind w:left="60" w:firstLine="644"/>
        <w:spacing w:after="0" w:line="229" w:lineRule="auto"/>
        <w:tabs>
          <w:tab w:leader="none" w:pos="1236" w:val="left"/>
        </w:tabs>
        <w:numPr>
          <w:ilvl w:val="1"/>
          <w:numId w:val="370"/>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 or other similar instrument drawn against insufficient funds in the ordinary course of business;</w:t>
      </w:r>
    </w:p>
    <w:p>
      <w:pPr>
        <w:spacing w:after="0" w:line="209" w:lineRule="exact"/>
        <w:rPr>
          <w:rFonts w:ascii="Arial" w:cs="Arial" w:eastAsia="Arial" w:hAnsi="Arial"/>
          <w:sz w:val="20"/>
          <w:szCs w:val="20"/>
          <w:color w:val="auto"/>
        </w:rPr>
      </w:pPr>
    </w:p>
    <w:p>
      <w:pPr>
        <w:jc w:val="both"/>
        <w:ind w:left="60" w:firstLine="644"/>
        <w:spacing w:after="0" w:line="223" w:lineRule="auto"/>
        <w:tabs>
          <w:tab w:leader="none" w:pos="1236" w:val="left"/>
        </w:tabs>
        <w:numPr>
          <w:ilvl w:val="1"/>
          <w:numId w:val="370"/>
        </w:numPr>
        <w:rPr>
          <w:rFonts w:ascii="Arial" w:cs="Arial" w:eastAsia="Arial" w:hAnsi="Arial"/>
          <w:sz w:val="20"/>
          <w:szCs w:val="20"/>
          <w:color w:val="auto"/>
        </w:rPr>
      </w:pPr>
      <w:r>
        <w:rPr>
          <w:rFonts w:ascii="Arial" w:cs="Arial" w:eastAsia="Arial" w:hAnsi="Arial"/>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95" w:lineRule="exact"/>
        <w:rPr>
          <w:rFonts w:ascii="Arial" w:cs="Arial" w:eastAsia="Arial" w:hAnsi="Arial"/>
          <w:sz w:val="20"/>
          <w:szCs w:val="20"/>
          <w:color w:val="auto"/>
        </w:rPr>
      </w:pPr>
    </w:p>
    <w:p>
      <w:pPr>
        <w:jc w:val="both"/>
        <w:ind w:left="60" w:firstLine="644"/>
        <w:spacing w:after="0" w:line="225" w:lineRule="auto"/>
        <w:tabs>
          <w:tab w:leader="none" w:pos="1236" w:val="left"/>
        </w:tabs>
        <w:numPr>
          <w:ilvl w:val="1"/>
          <w:numId w:val="370"/>
        </w:numPr>
        <w:rPr>
          <w:rFonts w:ascii="Arial" w:cs="Arial" w:eastAsia="Arial" w:hAnsi="Arial"/>
          <w:sz w:val="19"/>
          <w:szCs w:val="19"/>
          <w:color w:val="auto"/>
        </w:rPr>
      </w:pPr>
      <w:r>
        <w:rPr>
          <w:rFonts w:ascii="Arial" w:cs="Arial" w:eastAsia="Arial" w:hAnsi="Arial"/>
          <w:sz w:val="19"/>
          <w:szCs w:val="19"/>
          <w:color w:val="auto"/>
        </w:rPr>
        <w:t>unsecured intercompany Indebtedness (i) owed by any US Credit Party to another US Credit Party, (ii) owed by any Canadian Credit Party to another Canadian Credit Party, (iii) owed by any US Credit Party to any Canadian Credit Party, (iv) owed by any Canadian Credit Party to any US Credit Party in an aggregate amount not to exceed at any time outstanding the greater of (x) $50,000,000 and (y) 2.0% of Consolidated Total Assets, and (v) owed by or to any Non-Credit Party Subsidiary by or to any Credit Party or another Non-Credit Party Subsidiary, provided that the aggregate amount of such Indebtedness owed by a Non-Credit Party Subsidiary to a Credit Party shall not exceed at any time outstanding the greater of (x) $50,000,000 and (y) 2.0% of Consolidated Total Assets, provided further that any such Indebtedness owed by a Credit Party to a Non-Credit Party Subsidiary shall be subordinated to the Obligations on terms reasonably satisfactory to the Administrative Agent;</w:t>
      </w:r>
    </w:p>
    <w:p>
      <w:pPr>
        <w:spacing w:after="0" w:line="197" w:lineRule="exact"/>
        <w:rPr>
          <w:rFonts w:ascii="Arial" w:cs="Arial" w:eastAsia="Arial" w:hAnsi="Arial"/>
          <w:sz w:val="19"/>
          <w:szCs w:val="19"/>
          <w:color w:val="auto"/>
        </w:rPr>
      </w:pPr>
    </w:p>
    <w:p>
      <w:pPr>
        <w:jc w:val="both"/>
        <w:ind w:left="60" w:firstLine="644"/>
        <w:spacing w:after="0" w:line="235" w:lineRule="auto"/>
        <w:tabs>
          <w:tab w:leader="none" w:pos="123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Indebtedness of a Person existing at the time such Person became a Subsidiary or assets were acquired from such Person in connection with an Investment permitted pursuant to Section 9.3,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 such Person) shall have any liability or other obligation with respect to such Indebtedness and (iii) Centuri is in compliance on a pro forma basis with a Consolidated Net Leverage Ratio </w:t>
      </w:r>
      <w:r>
        <w:rPr>
          <w:rFonts w:ascii="Arial" w:cs="Arial" w:eastAsia="Arial" w:hAnsi="Arial"/>
          <w:sz w:val="18"/>
          <w:szCs w:val="18"/>
          <w:color w:val="FF0000"/>
          <w:strike w:val="1"/>
        </w:rPr>
        <w:t>at least 0.50</w:t>
      </w:r>
      <w:r>
        <w:rPr>
          <w:rFonts w:ascii="Arial" w:cs="Arial" w:eastAsia="Arial" w:hAnsi="Arial"/>
          <w:sz w:val="18"/>
          <w:szCs w:val="18"/>
          <w:color w:val="0000FF"/>
        </w:rPr>
        <w:t>of (A) 5.00</w:t>
      </w:r>
      <w:r>
        <w:rPr>
          <w:rFonts w:ascii="Arial" w:cs="Arial" w:eastAsia="Arial" w:hAnsi="Arial"/>
          <w:sz w:val="18"/>
          <w:szCs w:val="18"/>
          <w:color w:val="auto"/>
        </w:rPr>
        <w:t xml:space="preserve"> to 1.00 </w:t>
      </w:r>
      <w:r>
        <w:rPr>
          <w:rFonts w:ascii="Arial" w:cs="Arial" w:eastAsia="Arial" w:hAnsi="Arial"/>
          <w:sz w:val="18"/>
          <w:szCs w:val="18"/>
          <w:color w:val="FF0000"/>
          <w:strike w:val="1"/>
        </w:rPr>
        <w:t>below</w:t>
      </w:r>
      <w:r>
        <w:rPr>
          <w:rFonts w:ascii="Arial" w:cs="Arial" w:eastAsia="Arial" w:hAnsi="Arial"/>
          <w:sz w:val="18"/>
          <w:szCs w:val="18"/>
          <w:color w:val="0000FF"/>
        </w:rPr>
        <w:t>for</w:t>
      </w:r>
      <w:r>
        <w:rPr>
          <w:rFonts w:ascii="Arial" w:cs="Arial" w:eastAsia="Arial" w:hAnsi="Arial"/>
          <w:sz w:val="18"/>
          <w:szCs w:val="18"/>
          <w:color w:val="auto"/>
        </w:rPr>
        <w:t xml:space="preserve"> the </w:t>
      </w:r>
      <w:r>
        <w:rPr>
          <w:rFonts w:ascii="Arial" w:cs="Arial" w:eastAsia="Arial" w:hAnsi="Arial"/>
          <w:sz w:val="18"/>
          <w:szCs w:val="18"/>
          <w:color w:val="FF0000"/>
          <w:strike w:val="1"/>
        </w:rPr>
        <w:t>then applicable covenant level required pursuant to Section 9.13</w:t>
      </w:r>
      <w:r>
        <w:rPr>
          <w:rFonts w:ascii="Arial" w:cs="Arial" w:eastAsia="Arial" w:hAnsi="Arial"/>
          <w:sz w:val="18"/>
          <w:szCs w:val="18"/>
          <w:color w:val="0000FF"/>
        </w:rPr>
        <w:t>period</w:t>
      </w:r>
      <w:r>
        <w:rPr>
          <w:rFonts w:ascii="Arial" w:cs="Arial" w:eastAsia="Arial" w:hAnsi="Arial"/>
          <w:sz w:val="18"/>
          <w:szCs w:val="18"/>
          <w:color w:val="auto"/>
        </w:rPr>
        <w:t xml:space="preserve"> </w:t>
      </w:r>
      <w:r>
        <w:rPr>
          <w:rFonts w:ascii="Arial" w:cs="Arial" w:eastAsia="Arial" w:hAnsi="Arial"/>
          <w:sz w:val="18"/>
          <w:szCs w:val="18"/>
          <w:color w:val="0000FF"/>
        </w:rPr>
        <w:t xml:space="preserve">beginning on September 30, 2022 through and including December 30, 2022, (B) 4.25 to 1.00 for the period beginning on December 31, 2022 through and including December 30, 2022 and </w:t>
      </w:r>
      <w:r>
        <w:rPr>
          <w:rFonts w:ascii="Arial" w:cs="Arial" w:eastAsia="Arial" w:hAnsi="Arial"/>
          <w:sz w:val="18"/>
          <w:szCs w:val="18"/>
          <w:color w:val="000000"/>
        </w:rPr>
        <w:t>(</w:t>
      </w:r>
      <w:r>
        <w:rPr>
          <w:rFonts w:ascii="Arial" w:cs="Arial" w:eastAsia="Arial" w:hAnsi="Arial"/>
          <w:sz w:val="18"/>
          <w:szCs w:val="18"/>
          <w:color w:val="FF0000"/>
          <w:strike w:val="1"/>
        </w:rPr>
        <w:t>b</w:t>
      </w:r>
      <w:r>
        <w:rPr>
          <w:rFonts w:ascii="Arial" w:cs="Arial" w:eastAsia="Arial" w:hAnsi="Arial"/>
          <w:sz w:val="18"/>
          <w:szCs w:val="18"/>
          <w:color w:val="0000FF"/>
        </w:rPr>
        <w:t>C</w:t>
      </w:r>
      <w:r>
        <w:rPr>
          <w:rFonts w:ascii="Arial" w:cs="Arial" w:eastAsia="Arial" w:hAnsi="Arial"/>
          <w:sz w:val="18"/>
          <w:szCs w:val="18"/>
          <w:color w:val="000000"/>
        </w:rPr>
        <w:t>)</w:t>
      </w:r>
      <w:r>
        <w:rPr>
          <w:rFonts w:ascii="Arial" w:cs="Arial" w:eastAsia="Arial" w:hAnsi="Arial"/>
          <w:sz w:val="18"/>
          <w:szCs w:val="18"/>
          <w:color w:val="0000FF"/>
        </w:rPr>
        <w:t xml:space="preserve"> 3.50 to 1.00 for the period beginning on December 31, 2023 and thereafter</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determined as of the most recently ended four consecutive fiscal quarter period for which financial statements and the related Officer’s Compliance Certificate have been delivered pursuant to Sections 8.1(a) or (b) and 8.2(a);</w:t>
      </w:r>
    </w:p>
    <w:p>
      <w:pPr>
        <w:spacing w:after="0" w:line="268" w:lineRule="exact"/>
        <w:rPr>
          <w:rFonts w:ascii="Arial" w:cs="Arial" w:eastAsia="Arial" w:hAnsi="Arial"/>
          <w:sz w:val="18"/>
          <w:szCs w:val="18"/>
          <w:color w:val="auto"/>
        </w:rPr>
      </w:pPr>
    </w:p>
    <w:p>
      <w:pPr>
        <w:ind w:left="1240" w:hanging="536"/>
        <w:spacing w:after="0"/>
        <w:tabs>
          <w:tab w:leader="none" w:pos="124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unsecured Indebtedness of Centuri and its Subsidiaries; provided, that in the case of each incurrence of such Indebtedness,</w:t>
      </w:r>
    </w:p>
    <w:p>
      <w:pPr>
        <w:spacing w:after="0" w:line="21" w:lineRule="exact"/>
        <w:rPr>
          <w:rFonts w:ascii="Arial" w:cs="Arial" w:eastAsia="Arial" w:hAnsi="Arial"/>
          <w:sz w:val="16"/>
          <w:szCs w:val="16"/>
          <w:color w:val="auto"/>
        </w:rPr>
      </w:pPr>
    </w:p>
    <w:p>
      <w:pPr>
        <w:ind w:left="300" w:hanging="244"/>
        <w:spacing w:after="0" w:line="234" w:lineRule="auto"/>
        <w:tabs>
          <w:tab w:leader="none" w:pos="3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be caused by the incurrence of such Indebtedness, (ii)</w:t>
      </w:r>
    </w:p>
    <w:p>
      <w:pPr>
        <w:ind w:left="60"/>
        <w:spacing w:after="0" w:line="235" w:lineRule="auto"/>
        <w:rPr>
          <w:sz w:val="20"/>
          <w:szCs w:val="20"/>
          <w:color w:val="auto"/>
        </w:rPr>
      </w:pPr>
      <w:r>
        <w:rPr>
          <w:rFonts w:ascii="Arial" w:cs="Arial" w:eastAsia="Arial" w:hAnsi="Arial"/>
          <w:sz w:val="18"/>
          <w:szCs w:val="18"/>
          <w:color w:val="auto"/>
        </w:rPr>
        <w:t>the Administrative Agent shall have received satisfactory written evidence that, after giving effect to the incurrence of such Indebtedness</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 xml:space="preserve">and the receipt and application of the proceeds thereof, Centuri is in compliance on a pro forma basis with </w:t>
      </w:r>
      <w:r>
        <w:rPr>
          <w:rFonts w:ascii="Arial" w:cs="Arial" w:eastAsia="Arial" w:hAnsi="Arial"/>
          <w:sz w:val="18"/>
          <w:szCs w:val="18"/>
          <w:color w:val="FF0000"/>
          <w:strike w:val="1"/>
        </w:rPr>
        <w:t>the financial covenants set forth</w:t>
      </w:r>
      <w:r>
        <w:rPr>
          <w:rFonts w:ascii="Arial" w:cs="Arial" w:eastAsia="Arial" w:hAnsi="Arial"/>
          <w:sz w:val="18"/>
          <w:szCs w:val="18"/>
          <w:color w:val="auto"/>
        </w:rPr>
        <w:t xml:space="preserve"> </w:t>
      </w:r>
      <w:r>
        <w:rPr>
          <w:rFonts w:ascii="Arial" w:cs="Arial" w:eastAsia="Arial" w:hAnsi="Arial"/>
          <w:sz w:val="18"/>
          <w:szCs w:val="18"/>
          <w:color w:val="FF0000"/>
          <w:strike w:val="1"/>
        </w:rPr>
        <w:t>in Section 9.13</w:t>
      </w:r>
      <w:r>
        <w:rPr>
          <w:rFonts w:ascii="Arial" w:cs="Arial" w:eastAsia="Arial" w:hAnsi="Arial"/>
          <w:sz w:val="18"/>
          <w:szCs w:val="18"/>
          <w:color w:val="0000FF"/>
        </w:rPr>
        <w:t>(A) a Consolidated Interest Coverage Ratio of 2.50 to 1.00 and (B) a Consolidated Net Leverage Ratio of (1) 5.50 to 1.00</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0000FF"/>
        </w:rPr>
        <w:t>for the period beginning on September 30, 2022 through and including December 30, 2022, (2) 4.75 to 1.00 for the period beginning on December 31,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11" w:name="page212"/>
    <w:bookmarkEnd w:id="211"/>
    <w:p>
      <w:pPr>
        <w:ind w:left="40"/>
        <w:spacing w:after="0"/>
        <w:rPr>
          <w:sz w:val="20"/>
          <w:szCs w:val="20"/>
          <w:color w:val="auto"/>
        </w:rPr>
      </w:pPr>
      <w:r>
        <w:rPr>
          <w:rFonts w:ascii="Arial" w:cs="Arial" w:eastAsia="Arial" w:hAnsi="Arial"/>
          <w:sz w:val="16"/>
          <w:szCs w:val="16"/>
          <w:color w:val="0000FF"/>
        </w:rPr>
        <w:t>through and including December 30, 2023 and (3) 4.00 to 1.00 for the period beginning on December 31, 2023 and thereafter, in each case</w:t>
      </w:r>
      <w:r>
        <w:rPr>
          <w:rFonts w:ascii="Arial" w:cs="Arial" w:eastAsia="Arial" w:hAnsi="Arial"/>
          <w:sz w:val="16"/>
          <w:szCs w:val="16"/>
          <w:color w:val="000000"/>
        </w:rPr>
        <w:t>,</w:t>
      </w:r>
    </w:p>
    <w:p>
      <w:pPr>
        <w:spacing w:after="0" w:line="35" w:lineRule="exact"/>
        <w:rPr>
          <w:sz w:val="20"/>
          <w:szCs w:val="20"/>
          <w:color w:val="auto"/>
        </w:rPr>
      </w:pPr>
    </w:p>
    <w:p>
      <w:pPr>
        <w:ind w:left="40" w:right="20"/>
        <w:spacing w:after="0" w:line="226" w:lineRule="auto"/>
        <w:rPr>
          <w:sz w:val="20"/>
          <w:szCs w:val="20"/>
          <w:color w:val="auto"/>
        </w:rPr>
      </w:pPr>
      <w:r>
        <w:rPr>
          <w:rFonts w:ascii="Arial" w:cs="Arial" w:eastAsia="Arial" w:hAnsi="Arial"/>
          <w:sz w:val="18"/>
          <w:szCs w:val="18"/>
          <w:color w:val="auto"/>
        </w:rPr>
        <w:t>determined as of the most recently ended four consecutive fiscal quarter period for which financial statements and the related Officer’s Compliance Certificate have been delivered pursuant to Sections 8.1(a) or (b) and 8.2(a), (iii) such Indebtedness does not mature prior to</w:t>
      </w:r>
    </w:p>
    <w:p>
      <w:pPr>
        <w:ind w:left="40"/>
        <w:spacing w:after="0" w:line="236" w:lineRule="auto"/>
        <w:rPr>
          <w:sz w:val="20"/>
          <w:szCs w:val="20"/>
          <w:color w:val="auto"/>
        </w:rPr>
      </w:pPr>
      <w:r>
        <w:rPr>
          <w:rFonts w:ascii="Arial" w:cs="Arial" w:eastAsia="Arial" w:hAnsi="Arial"/>
          <w:sz w:val="18"/>
          <w:szCs w:val="18"/>
          <w:color w:val="auto"/>
        </w:rPr>
        <w:t>the date that is 91 days after the then latest maturity of the Commitments and Loans, (iv) the Weighted Average Life to Maturity of such</w:t>
      </w:r>
    </w:p>
    <w:p>
      <w:pPr>
        <w:spacing w:after="0" w:line="1"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Indebtedness shall not be shorter than the remaining Weighted Average Life to Maturity of the Term Loans then outstanding and (v) the terms of such Indebtedness reflect market terms (taken as a whole) at the time of issuance and (other than pricing, fees, rate floors,</w:t>
      </w:r>
    </w:p>
    <w:p>
      <w:pPr>
        <w:ind w:left="40"/>
        <w:spacing w:after="0" w:line="224" w:lineRule="auto"/>
        <w:rPr>
          <w:sz w:val="20"/>
          <w:szCs w:val="20"/>
          <w:color w:val="auto"/>
        </w:rPr>
      </w:pPr>
      <w:r>
        <w:rPr>
          <w:rFonts w:ascii="Arial" w:cs="Arial" w:eastAsia="Arial" w:hAnsi="Arial"/>
          <w:sz w:val="19"/>
          <w:szCs w:val="19"/>
          <w:color w:val="auto"/>
        </w:rPr>
        <w:t>premiums and optional prepayment or redemption provisions (and, if applicable, subordination terms)), taken as a whole, are not</w:t>
      </w:r>
    </w:p>
    <w:p>
      <w:pPr>
        <w:ind w:left="40"/>
        <w:spacing w:after="0" w:line="226" w:lineRule="auto"/>
        <w:rPr>
          <w:sz w:val="20"/>
          <w:szCs w:val="20"/>
          <w:color w:val="auto"/>
        </w:rPr>
      </w:pPr>
      <w:r>
        <w:rPr>
          <w:rFonts w:ascii="Arial" w:cs="Arial" w:eastAsia="Arial" w:hAnsi="Arial"/>
          <w:sz w:val="18"/>
          <w:szCs w:val="18"/>
          <w:color w:val="auto"/>
        </w:rPr>
        <w:t>materially more restrictive (as determined by Centuri in good faith) on Centuri and its Subsidiaries than the terms and conditions of this Agreement, taken as a whole, other than covenants which do not have effect until after the then latest maturity date of the Commitments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color w:val="auto"/>
        </w:rPr>
        <w:t>and Loans;</w:t>
      </w:r>
    </w:p>
    <w:p>
      <w:pPr>
        <w:spacing w:after="0" w:line="200" w:lineRule="exact"/>
        <w:rPr>
          <w:sz w:val="20"/>
          <w:szCs w:val="20"/>
          <w:color w:val="auto"/>
        </w:rPr>
      </w:pPr>
    </w:p>
    <w:p>
      <w:pPr>
        <w:ind w:left="40" w:firstLine="646"/>
        <w:spacing w:after="0" w:line="236" w:lineRule="auto"/>
        <w:tabs>
          <w:tab w:leader="none" w:pos="1226" w:val="left"/>
        </w:tabs>
        <w:numPr>
          <w:ilvl w:val="0"/>
          <w:numId w:val="372"/>
        </w:numPr>
        <w:rPr>
          <w:rFonts w:ascii="Arial" w:cs="Arial" w:eastAsia="Arial" w:hAnsi="Arial"/>
          <w:sz w:val="20"/>
          <w:szCs w:val="20"/>
          <w:color w:val="auto"/>
        </w:rPr>
      </w:pPr>
      <w:r>
        <w:rPr>
          <w:rFonts w:ascii="Arial" w:cs="Arial" w:eastAsia="Arial" w:hAnsi="Arial"/>
          <w:sz w:val="20"/>
          <w:szCs w:val="20"/>
          <w:color w:val="auto"/>
        </w:rPr>
        <w:t>Attributable Indebtedness incurred pursuant to Permitted Receivables Transactions in an aggregate amount not to exceed at any time outstanding the greater of (i) $150,000,000 and (ii) 6.0% of Consolidated Total Assets;</w:t>
      </w:r>
    </w:p>
    <w:p>
      <w:pPr>
        <w:spacing w:after="0" w:line="195" w:lineRule="exact"/>
        <w:rPr>
          <w:rFonts w:ascii="Arial" w:cs="Arial" w:eastAsia="Arial" w:hAnsi="Arial"/>
          <w:sz w:val="20"/>
          <w:szCs w:val="20"/>
          <w:color w:val="auto"/>
        </w:rPr>
      </w:pPr>
    </w:p>
    <w:p>
      <w:pPr>
        <w:jc w:val="both"/>
        <w:ind w:left="40" w:right="20" w:firstLine="646"/>
        <w:spacing w:after="0" w:line="227" w:lineRule="auto"/>
        <w:tabs>
          <w:tab w:leader="none" w:pos="1234"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other Indebtedness of any Credit Party or any Subsidiary thereof not otherwise permitted pursuant to this Section in an aggregate principal amount not to exceed at any time outstanding the greater of (i) $100,000,000 and (ii) 4.0% of Consolidated Total Assets; and</w:t>
      </w:r>
    </w:p>
    <w:p>
      <w:pPr>
        <w:spacing w:after="0" w:line="197" w:lineRule="exact"/>
        <w:rPr>
          <w:rFonts w:ascii="Arial" w:cs="Arial" w:eastAsia="Arial" w:hAnsi="Arial"/>
          <w:sz w:val="20"/>
          <w:szCs w:val="20"/>
          <w:color w:val="auto"/>
        </w:rPr>
      </w:pPr>
    </w:p>
    <w:p>
      <w:pPr>
        <w:jc w:val="both"/>
        <w:ind w:left="40" w:right="20" w:firstLine="646"/>
        <w:spacing w:after="0" w:line="246" w:lineRule="auto"/>
        <w:tabs>
          <w:tab w:leader="none" w:pos="123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Indebtedness of the Credit Parties in respect of one or more series of senior secured first lien notes that are issued in a public offering, Rule 144A or other private placement under the Securities Act, or a bridge financing in lieu of the foregoing that otherwise converts into permanent Incremental Equivalent Indebtedness (as defined below), that are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issued by the Credit Parties in lieu of Incremental Term Loans (“Incremental Equivalent Indebtedness”); provided that:</w:t>
      </w:r>
    </w:p>
    <w:p>
      <w:pPr>
        <w:spacing w:after="0" w:line="258" w:lineRule="exact"/>
        <w:rPr>
          <w:rFonts w:ascii="Arial" w:cs="Arial" w:eastAsia="Arial" w:hAnsi="Arial"/>
          <w:sz w:val="18"/>
          <w:szCs w:val="18"/>
          <w:color w:val="auto"/>
        </w:rPr>
      </w:pPr>
    </w:p>
    <w:p>
      <w:pPr>
        <w:jc w:val="both"/>
        <w:ind w:left="840" w:firstLine="494"/>
        <w:spacing w:after="0" w:line="223" w:lineRule="auto"/>
        <w:tabs>
          <w:tab w:leader="none" w:pos="1882" w:val="left"/>
        </w:tabs>
        <w:numPr>
          <w:ilvl w:val="1"/>
          <w:numId w:val="372"/>
        </w:numPr>
        <w:rPr>
          <w:rFonts w:ascii="Arial" w:cs="Arial" w:eastAsia="Arial" w:hAnsi="Arial"/>
          <w:sz w:val="20"/>
          <w:szCs w:val="20"/>
          <w:color w:val="auto"/>
        </w:rPr>
      </w:pPr>
      <w:r>
        <w:rPr>
          <w:rFonts w:ascii="Arial" w:cs="Arial" w:eastAsia="Arial" w:hAnsi="Arial"/>
          <w:sz w:val="20"/>
          <w:szCs w:val="20"/>
          <w:color w:val="auto"/>
        </w:rPr>
        <w:t>the aggregate principal amount of such Indebtedness incurred under this clause (m) shall not, together with the aggregate principal amount of all Incremental Increases incurred pursuant to Section 5.13, exceed the amount set forth in Section 5.13(a);</w:t>
      </w:r>
    </w:p>
    <w:p>
      <w:pPr>
        <w:spacing w:after="0" w:line="263" w:lineRule="exact"/>
        <w:rPr>
          <w:rFonts w:ascii="Arial" w:cs="Arial" w:eastAsia="Arial" w:hAnsi="Arial"/>
          <w:sz w:val="20"/>
          <w:szCs w:val="20"/>
          <w:color w:val="auto"/>
        </w:rPr>
      </w:pPr>
    </w:p>
    <w:p>
      <w:pPr>
        <w:jc w:val="both"/>
        <w:ind w:left="840" w:firstLine="494"/>
        <w:spacing w:after="0" w:line="252" w:lineRule="auto"/>
        <w:tabs>
          <w:tab w:leader="none" w:pos="1879" w:val="left"/>
        </w:tabs>
        <w:numPr>
          <w:ilvl w:val="1"/>
          <w:numId w:val="372"/>
        </w:numPr>
        <w:rPr>
          <w:rFonts w:ascii="Arial" w:cs="Arial" w:eastAsia="Arial" w:hAnsi="Arial"/>
          <w:sz w:val="18"/>
          <w:szCs w:val="18"/>
          <w:color w:val="auto"/>
        </w:rPr>
      </w:pPr>
      <w:r>
        <w:rPr>
          <w:rFonts w:ascii="Arial" w:cs="Arial" w:eastAsia="Arial" w:hAnsi="Arial"/>
          <w:sz w:val="18"/>
          <w:szCs w:val="18"/>
          <w:color w:val="auto"/>
        </w:rPr>
        <w:t>subject to Section 1.12 in the case of any Incremental Equivalent Indebtedness incurred to finance a substantially concurrent Limited Condition Acquisition, immediately after giving effect to the incurrence of such Indebtedness and the use of proceeds thereof, no Default or Event of Default shall have occurred and be continuing or would result therefrom;</w:t>
      </w:r>
    </w:p>
    <w:p>
      <w:pPr>
        <w:spacing w:after="0" w:line="198" w:lineRule="exact"/>
        <w:rPr>
          <w:rFonts w:ascii="Arial" w:cs="Arial" w:eastAsia="Arial" w:hAnsi="Arial"/>
          <w:sz w:val="18"/>
          <w:szCs w:val="18"/>
          <w:color w:val="auto"/>
        </w:rPr>
      </w:pPr>
    </w:p>
    <w:p>
      <w:pPr>
        <w:jc w:val="both"/>
        <w:ind w:left="840" w:firstLine="494"/>
        <w:spacing w:after="0" w:line="234" w:lineRule="auto"/>
        <w:tabs>
          <w:tab w:leader="none" w:pos="1882"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stated maturity date of such Indebtedness shall be no earlier than, and the terms of such Indebtedness shall not provide for any scheduled payment, mandatory repayment or redemption or sinking fund or similar obligations at any time prior to the latest maturity date of the Loans and Commitments in effect at the time of such incurrence; provided that such Indebtedness may have scheduled payments, mandatory repayments or redemptions or similar obligations prior to its stated maturity so long as (x) such Indebtedness does not have a shorter Weighted Average Life to Maturity than the remaining Weighted Average Life to Maturity of any Class of Term Loans then outstanding at the time of incurrence, (y) any mandatory prepayment (other than scheduled amortization payments which shall be determined by the applicable Borrower and the lenders of such Indebtedness) of such Indebtedness shall be made on a pro rata basis with all then existing Term Loans, except that the applicable Borrower and the lenders of such Indebtedness may, in their sole discretion, elect to prepay or receive, as applicable, any prepayments on a less than pro rata basis (but not on a greater than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12" w:name="page213"/>
    <w:bookmarkEnd w:id="212"/>
    <w:p>
      <w:pPr>
        <w:spacing w:after="0" w:line="20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 (z) such mandatory repayments or redemptions or similar obligations are no more restrictive on the applicable Borrower or</w:t>
      </w:r>
    </w:p>
    <w:p>
      <w:pPr>
        <w:spacing w:after="0" w:line="12" w:lineRule="exact"/>
        <w:rPr>
          <w:sz w:val="20"/>
          <w:szCs w:val="20"/>
          <w:color w:val="auto"/>
        </w:rPr>
      </w:pPr>
    </w:p>
    <w:p>
      <w:pPr>
        <w:ind w:left="840"/>
        <w:spacing w:after="0" w:line="226" w:lineRule="auto"/>
        <w:rPr>
          <w:sz w:val="20"/>
          <w:szCs w:val="20"/>
          <w:color w:val="auto"/>
        </w:rPr>
      </w:pPr>
      <w:r>
        <w:rPr>
          <w:rFonts w:ascii="Arial" w:cs="Arial" w:eastAsia="Arial" w:hAnsi="Arial"/>
          <w:sz w:val="18"/>
          <w:szCs w:val="18"/>
          <w:color w:val="auto"/>
        </w:rPr>
        <w:t>its Subsidiaries than the provisions of Section 4.4(b); provided that the restrictions of this clause (iii) shall not apply to the extent such Indebtedness constitutes a customary bridge or similar facility that is to be automatically converted or exchanged into notes</w:t>
      </w:r>
    </w:p>
    <w:p>
      <w:pPr>
        <w:ind w:left="840"/>
        <w:spacing w:after="0" w:line="236" w:lineRule="auto"/>
        <w:rPr>
          <w:sz w:val="20"/>
          <w:szCs w:val="20"/>
          <w:color w:val="auto"/>
        </w:rPr>
      </w:pPr>
      <w:r>
        <w:rPr>
          <w:rFonts w:ascii="Arial" w:cs="Arial" w:eastAsia="Arial" w:hAnsi="Arial"/>
          <w:sz w:val="18"/>
          <w:szCs w:val="18"/>
          <w:color w:val="auto"/>
        </w:rPr>
        <w:t>or other permitted Indebtedness that otherwise would satisfy this clause (iii) so long as such conversion or exchange is subject</w:t>
      </w:r>
    </w:p>
    <w:p>
      <w:pPr>
        <w:spacing w:after="0" w:line="1" w:lineRule="exact"/>
        <w:rPr>
          <w:sz w:val="20"/>
          <w:szCs w:val="20"/>
          <w:color w:val="auto"/>
        </w:rPr>
      </w:pPr>
    </w:p>
    <w:p>
      <w:pPr>
        <w:ind w:left="840"/>
        <w:spacing w:after="0" w:line="220" w:lineRule="auto"/>
        <w:rPr>
          <w:sz w:val="20"/>
          <w:szCs w:val="20"/>
          <w:color w:val="auto"/>
        </w:rPr>
      </w:pPr>
      <w:r>
        <w:rPr>
          <w:rFonts w:ascii="Arial" w:cs="Arial" w:eastAsia="Arial" w:hAnsi="Arial"/>
          <w:sz w:val="20"/>
          <w:szCs w:val="20"/>
          <w:color w:val="auto"/>
        </w:rPr>
        <w:t>only to conditions customary for similar conversions and exchanges and the applicable Credit Party irrevocably agrees at the time of incurrence thereof to take all actions necessary to convert or exchange such Indebtedness);</w:t>
      </w:r>
    </w:p>
    <w:p>
      <w:pPr>
        <w:spacing w:after="0" w:line="208" w:lineRule="exact"/>
        <w:rPr>
          <w:sz w:val="20"/>
          <w:szCs w:val="20"/>
          <w:color w:val="auto"/>
        </w:rPr>
      </w:pPr>
    </w:p>
    <w:p>
      <w:pPr>
        <w:ind w:left="1880" w:hanging="546"/>
        <w:spacing w:after="0"/>
        <w:tabs>
          <w:tab w:leader="none" w:pos="188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such Indebtedness shall have pricing (including interest rates, fees and premiums), amortization (subject to clause</w:t>
      </w:r>
    </w:p>
    <w:p>
      <w:pPr>
        <w:ind w:left="1220" w:hanging="372"/>
        <w:spacing w:after="0" w:line="234" w:lineRule="auto"/>
        <w:tabs>
          <w:tab w:leader="none" w:pos="12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above), optional prepayment and redemption terms as may be agreed to by the applicable Borrower and the lenders 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holders of such Indebtedness;</w:t>
      </w:r>
    </w:p>
    <w:p>
      <w:pPr>
        <w:spacing w:after="0" w:line="200" w:lineRule="exact"/>
        <w:rPr>
          <w:sz w:val="20"/>
          <w:szCs w:val="20"/>
          <w:color w:val="auto"/>
        </w:rPr>
      </w:pPr>
    </w:p>
    <w:p>
      <w:pPr>
        <w:ind w:left="1880" w:hanging="546"/>
        <w:spacing w:after="0"/>
        <w:tabs>
          <w:tab w:leader="none" w:pos="188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such Indebtedness is not recourse to or guaranteed by any Subsidiary that is not a Credit Party;</w:t>
      </w:r>
    </w:p>
    <w:p>
      <w:pPr>
        <w:spacing w:after="0" w:line="229" w:lineRule="exact"/>
        <w:rPr>
          <w:rFonts w:ascii="Arial" w:cs="Arial" w:eastAsia="Arial" w:hAnsi="Arial"/>
          <w:sz w:val="20"/>
          <w:szCs w:val="20"/>
          <w:color w:val="auto"/>
        </w:rPr>
      </w:pPr>
    </w:p>
    <w:p>
      <w:pPr>
        <w:jc w:val="both"/>
        <w:ind w:left="840" w:firstLine="494"/>
        <w:spacing w:after="0" w:line="231" w:lineRule="auto"/>
        <w:tabs>
          <w:tab w:leader="none" w:pos="1873" w:val="left"/>
        </w:tabs>
        <w:numPr>
          <w:ilvl w:val="0"/>
          <w:numId w:val="375"/>
        </w:numPr>
        <w:rPr>
          <w:rFonts w:ascii="Arial" w:cs="Arial" w:eastAsia="Arial" w:hAnsi="Arial"/>
          <w:sz w:val="19"/>
          <w:szCs w:val="19"/>
          <w:color w:val="auto"/>
        </w:rPr>
      </w:pPr>
      <w:r>
        <w:rPr>
          <w:rFonts w:ascii="Arial" w:cs="Arial" w:eastAsia="Arial" w:hAnsi="Arial"/>
          <w:sz w:val="19"/>
          <w:szCs w:val="19"/>
          <w:color w:val="auto"/>
        </w:rPr>
        <w:t>(x) the obligations in respect thereof shall not be secured by any Lien on any asset of any Borrower or any Subsidiary other than any asset constituting Collateral, (y) the security agreements relating to such Indebtedness shall be substantially the same as the Security Documents (with such differences as are reasonably satisfactory to the Administrative Agent) and (z) such Indebtedness shall be subject to an Acceptable Intercreditor Agreement;</w:t>
      </w:r>
    </w:p>
    <w:p>
      <w:pPr>
        <w:spacing w:after="0" w:line="198" w:lineRule="exact"/>
        <w:rPr>
          <w:rFonts w:ascii="Arial" w:cs="Arial" w:eastAsia="Arial" w:hAnsi="Arial"/>
          <w:sz w:val="19"/>
          <w:szCs w:val="19"/>
          <w:color w:val="auto"/>
        </w:rPr>
      </w:pPr>
    </w:p>
    <w:p>
      <w:pPr>
        <w:jc w:val="both"/>
        <w:ind w:left="840" w:firstLine="494"/>
        <w:spacing w:after="0" w:line="234" w:lineRule="auto"/>
        <w:tabs>
          <w:tab w:leader="none" w:pos="187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except as otherwise set forth in this clause (m), the terms, covenants and conditions with respect to such Indebtedness, when taken as a whole, shall not be materially more restrictive on the applicable Borrower and its Subsidiaries than the terms and conditions of this Agreement, taken as a whole (except for (x) terms, covenants and conditions with respect to such Indebtedness that are applicable only to the periods after the latest maturity date of the Loans and Commitments in effect at the time of incurrence or assumption of such Indebtedness and (y) any materially more restrictive terms added for the benefit of any such Indebtedness, if such materially more restrictive terms are also added for the benefit of the Lenders hereunder with respect to any Term Loans or Term Loan Commitments remaining outstanding after giving effect to the incurrence or assumption of such Indebtedness and the application of the proceeds thereof) and such Indebtedness shall not include any financial maintenance covenants; provided that a certificate of a Responsible Officer of the applicable Borrower delivered to the Administrative Agent prior to the incurrence or assumption of such Indebtedness, together with a reasonably detailed description of the material terms and conditions of such Indebtedness or substantially final drafts of the documentation related thereto, stating that the applicable Borrower has determined in good faith that such terms and conditions satisfy the foregoing requirement shall be conclusive evidence that such terms and conditions satisfy the foregoing requirement;</w:t>
      </w:r>
    </w:p>
    <w:p>
      <w:pPr>
        <w:spacing w:after="0" w:line="197" w:lineRule="exact"/>
        <w:rPr>
          <w:rFonts w:ascii="Arial" w:cs="Arial" w:eastAsia="Arial" w:hAnsi="Arial"/>
          <w:sz w:val="18"/>
          <w:szCs w:val="18"/>
          <w:color w:val="auto"/>
        </w:rPr>
      </w:pPr>
    </w:p>
    <w:p>
      <w:pPr>
        <w:jc w:val="both"/>
        <w:ind w:left="840" w:right="20" w:firstLine="494"/>
        <w:spacing w:after="0" w:line="243" w:lineRule="auto"/>
        <w:tabs>
          <w:tab w:leader="none" w:pos="187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subject to Section 1.12 in the case of any such Indebtedness incurred to finance a substantially concurrent Limited Condition Acquisition, the Administrative Agent shall have received from Centuri, an Officer’s Compliance Certificate demonstrating that the Consolidated Companies are in pro forma compliance with the financial covenants set forth in Section 9.13 (based on the financial statements most recently delivered pursuant to Section 8.1) after giving effect to such Indebtedness (assuming that the entire amount is fully funded on the effective date thereof) and the use of proceeds thereof;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13" w:name="page214"/>
    <w:bookmarkEnd w:id="213"/>
    <w:p>
      <w:pPr>
        <w:jc w:val="both"/>
        <w:ind w:left="700" w:firstLine="652"/>
        <w:spacing w:after="0" w:line="223" w:lineRule="auto"/>
        <w:tabs>
          <w:tab w:leader="none" w:pos="1591" w:val="left"/>
        </w:tabs>
        <w:numPr>
          <w:ilvl w:val="0"/>
          <w:numId w:val="376"/>
        </w:numPr>
        <w:rPr>
          <w:rFonts w:ascii="Arial" w:cs="Arial" w:eastAsia="Arial" w:hAnsi="Arial"/>
          <w:sz w:val="20"/>
          <w:szCs w:val="20"/>
          <w:color w:val="auto"/>
        </w:rPr>
      </w:pPr>
      <w:r>
        <w:rPr>
          <w:rFonts w:ascii="Arial" w:cs="Arial" w:eastAsia="Arial" w:hAnsi="Arial"/>
          <w:sz w:val="20"/>
          <w:szCs w:val="20"/>
          <w:color w:val="auto"/>
        </w:rPr>
        <w:t>prior to the incurrence of such Indebtedness, the applicable Borrower shall have delivered to the Administrative Agent a certificate from a Responsible Officer of such Borrower certifying as to compliance with the requirements of the preceding clauses (i) through (viii) above.</w:t>
      </w:r>
    </w:p>
    <w:p>
      <w:pPr>
        <w:spacing w:after="0" w:line="209"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color w:val="auto"/>
        </w:rPr>
        <w:t>Liens</w:t>
      </w:r>
    </w:p>
    <w:p>
      <w:pPr>
        <w:spacing w:after="0" w:line="283" w:lineRule="exact"/>
        <w:rPr>
          <w:sz w:val="20"/>
          <w:szCs w:val="20"/>
          <w:color w:val="auto"/>
        </w:rPr>
      </w:pPr>
    </w:p>
    <w:p>
      <w:pPr>
        <w:ind w:left="60" w:hanging="4"/>
        <w:spacing w:after="0" w:line="229" w:lineRule="auto"/>
        <w:tabs>
          <w:tab w:leader="none" w:pos="177" w:val="left"/>
        </w:tabs>
        <w:numPr>
          <w:ilvl w:val="0"/>
          <w:numId w:val="377"/>
        </w:numPr>
        <w:rPr>
          <w:rFonts w:ascii="Arial" w:cs="Arial" w:eastAsia="Arial" w:hAnsi="Arial"/>
          <w:sz w:val="20"/>
          <w:szCs w:val="20"/>
          <w:color w:val="auto"/>
        </w:rPr>
      </w:pPr>
      <w:r>
        <w:rPr>
          <w:rFonts w:ascii="Arial" w:cs="Arial" w:eastAsia="Arial" w:hAnsi="Arial"/>
          <w:sz w:val="20"/>
          <w:szCs w:val="20"/>
          <w:color w:val="auto"/>
        </w:rPr>
        <w:t>Create, incur, assume or suffer to exist, any Lien on or with respect to any of its Property, whether now owned or hereafter acquired, except:</w:t>
      </w:r>
    </w:p>
    <w:p>
      <w:pPr>
        <w:spacing w:after="0" w:line="209" w:lineRule="exact"/>
        <w:rPr>
          <w:rFonts w:ascii="Arial" w:cs="Arial" w:eastAsia="Arial" w:hAnsi="Arial"/>
          <w:sz w:val="20"/>
          <w:szCs w:val="20"/>
          <w:color w:val="auto"/>
        </w:rPr>
      </w:pPr>
    </w:p>
    <w:p>
      <w:pPr>
        <w:ind w:left="60" w:firstLine="644"/>
        <w:spacing w:after="0" w:line="229" w:lineRule="auto"/>
        <w:tabs>
          <w:tab w:leader="none" w:pos="1236" w:val="left"/>
        </w:tabs>
        <w:numPr>
          <w:ilvl w:val="1"/>
          <w:numId w:val="377"/>
        </w:numPr>
        <w:rPr>
          <w:rFonts w:ascii="Arial" w:cs="Arial" w:eastAsia="Arial" w:hAnsi="Arial"/>
          <w:sz w:val="20"/>
          <w:szCs w:val="20"/>
          <w:color w:val="auto"/>
        </w:rPr>
      </w:pPr>
      <w:r>
        <w:rPr>
          <w:rFonts w:ascii="Arial" w:cs="Arial" w:eastAsia="Arial" w:hAnsi="Arial"/>
          <w:sz w:val="20"/>
          <w:szCs w:val="20"/>
          <w:color w:val="auto"/>
        </w:rPr>
        <w:t>Liens created pursuant to the Loan Documents (including, without limitation, Liens in favor of the Swingline Lenders and/or the Issuing Lenders, as applicable, on Cash Collateral granted pursuant to the Loan Documents);</w:t>
      </w:r>
    </w:p>
    <w:p>
      <w:pPr>
        <w:spacing w:after="0" w:line="209" w:lineRule="exact"/>
        <w:rPr>
          <w:rFonts w:ascii="Arial" w:cs="Arial" w:eastAsia="Arial" w:hAnsi="Arial"/>
          <w:sz w:val="20"/>
          <w:szCs w:val="20"/>
          <w:color w:val="auto"/>
        </w:rPr>
      </w:pPr>
    </w:p>
    <w:p>
      <w:pPr>
        <w:jc w:val="both"/>
        <w:ind w:left="60" w:firstLine="644"/>
        <w:spacing w:after="0" w:line="227" w:lineRule="auto"/>
        <w:tabs>
          <w:tab w:leader="none" w:pos="1236" w:val="left"/>
        </w:tabs>
        <w:numPr>
          <w:ilvl w:val="1"/>
          <w:numId w:val="377"/>
        </w:numPr>
        <w:rPr>
          <w:rFonts w:ascii="Arial" w:cs="Arial" w:eastAsia="Arial" w:hAnsi="Arial"/>
          <w:sz w:val="19"/>
          <w:szCs w:val="19"/>
          <w:color w:val="auto"/>
        </w:rPr>
      </w:pPr>
      <w:r>
        <w:rPr>
          <w:rFonts w:ascii="Arial" w:cs="Arial" w:eastAsia="Arial" w:hAnsi="Arial"/>
          <w:sz w:val="19"/>
          <w:szCs w:val="19"/>
          <w:color w:val="auto"/>
        </w:rPr>
        <w:t>Liens in existence on the Closing Date and described on Schedule 9.2, and the replacement, renewal or extension thereof (including Liens incurred in connection with any refinancing, refunding, renewal or extension of Indebtedness pursuant to Section 9.1(c) (solely to the extent that such Liens were in existence on the Closing Date and described on Schedule 9.2)); provided that the scope of any such Lien shall not be increased, or otherwise expanded, to cover any additional property or type of asset, as applicable, beyond that in existence on the Closing Date, except for products and proceeds of the foregoing;</w:t>
      </w:r>
    </w:p>
    <w:p>
      <w:pPr>
        <w:spacing w:after="0" w:line="195" w:lineRule="exact"/>
        <w:rPr>
          <w:rFonts w:ascii="Arial" w:cs="Arial" w:eastAsia="Arial" w:hAnsi="Arial"/>
          <w:sz w:val="19"/>
          <w:szCs w:val="19"/>
          <w:color w:val="auto"/>
        </w:rPr>
      </w:pPr>
    </w:p>
    <w:p>
      <w:pPr>
        <w:ind w:left="60" w:right="20" w:firstLine="644"/>
        <w:spacing w:after="0" w:line="219" w:lineRule="auto"/>
        <w:tabs>
          <w:tab w:leader="none" w:pos="1236" w:val="left"/>
        </w:tabs>
        <w:numPr>
          <w:ilvl w:val="1"/>
          <w:numId w:val="377"/>
        </w:numPr>
        <w:rPr>
          <w:rFonts w:ascii="Arial" w:cs="Arial" w:eastAsia="Arial" w:hAnsi="Arial"/>
          <w:sz w:val="20"/>
          <w:szCs w:val="20"/>
          <w:color w:val="auto"/>
        </w:rPr>
      </w:pPr>
      <w:r>
        <w:rPr>
          <w:rFonts w:ascii="Arial" w:cs="Arial" w:eastAsia="Arial" w:hAnsi="Arial"/>
          <w:sz w:val="20"/>
          <w:szCs w:val="20"/>
          <w:color w:val="auto"/>
        </w:rPr>
        <w:t>Liens for taxes, assessments and other governmental charges or levies (excluding any Lien imposed pursuant to any of the provisions of ERISA, any Canadian Pension Laws or Environmental Laws)</w:t>
      </w:r>
    </w:p>
    <w:p>
      <w:pPr>
        <w:spacing w:after="0" w:line="1" w:lineRule="exact"/>
        <w:rPr>
          <w:sz w:val="20"/>
          <w:szCs w:val="20"/>
          <w:color w:val="auto"/>
        </w:rPr>
      </w:pPr>
    </w:p>
    <w:p>
      <w:pPr>
        <w:ind w:left="60" w:right="20" w:hanging="4"/>
        <w:spacing w:after="0" w:line="250" w:lineRule="auto"/>
        <w:tabs>
          <w:tab w:leader="none" w:pos="58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not past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200" w:lineRule="exact"/>
        <w:rPr>
          <w:rFonts w:ascii="Arial" w:cs="Arial" w:eastAsia="Arial" w:hAnsi="Arial"/>
          <w:sz w:val="18"/>
          <w:szCs w:val="18"/>
          <w:color w:val="auto"/>
        </w:rPr>
      </w:pPr>
    </w:p>
    <w:p>
      <w:pPr>
        <w:jc w:val="both"/>
        <w:ind w:left="60" w:firstLine="644"/>
        <w:spacing w:after="0" w:line="227" w:lineRule="auto"/>
        <w:tabs>
          <w:tab w:leader="none" w:pos="1236" w:val="left"/>
        </w:tabs>
        <w:numPr>
          <w:ilvl w:val="1"/>
          <w:numId w:val="378"/>
        </w:numPr>
        <w:rPr>
          <w:rFonts w:ascii="Arial" w:cs="Arial" w:eastAsia="Arial" w:hAnsi="Arial"/>
          <w:sz w:val="19"/>
          <w:szCs w:val="19"/>
          <w:color w:val="auto"/>
        </w:rPr>
      </w:pPr>
      <w:r>
        <w:rPr>
          <w:rFonts w:ascii="Arial" w:cs="Arial" w:eastAsia="Arial" w:hAnsi="Arial"/>
          <w:sz w:val="19"/>
          <w:szCs w:val="19"/>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208" w:lineRule="exact"/>
        <w:rPr>
          <w:rFonts w:ascii="Arial" w:cs="Arial" w:eastAsia="Arial" w:hAnsi="Arial"/>
          <w:sz w:val="19"/>
          <w:szCs w:val="19"/>
          <w:color w:val="auto"/>
        </w:rPr>
      </w:pPr>
    </w:p>
    <w:p>
      <w:pPr>
        <w:jc w:val="both"/>
        <w:ind w:left="60" w:firstLine="644"/>
        <w:spacing w:after="0" w:line="238" w:lineRule="auto"/>
        <w:tabs>
          <w:tab w:leader="none" w:pos="1236" w:val="left"/>
        </w:tabs>
        <w:numPr>
          <w:ilvl w:val="1"/>
          <w:numId w:val="378"/>
        </w:numPr>
        <w:rPr>
          <w:rFonts w:ascii="Arial" w:cs="Arial" w:eastAsia="Arial" w:hAnsi="Arial"/>
          <w:sz w:val="18"/>
          <w:szCs w:val="18"/>
          <w:color w:val="auto"/>
        </w:rPr>
      </w:pPr>
      <w:r>
        <w:rPr>
          <w:rFonts w:ascii="Arial" w:cs="Arial" w:eastAsia="Arial" w:hAnsi="Arial"/>
          <w:sz w:val="18"/>
          <w:szCs w:val="18"/>
          <w:color w:val="auto"/>
        </w:rPr>
        <w:t>deposits or pledges made in the ordinary course of business in connection with, or to secure payment of, obligations under workers’ compensation, unemployment or 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99" w:lineRule="exact"/>
        <w:rPr>
          <w:rFonts w:ascii="Arial" w:cs="Arial" w:eastAsia="Arial" w:hAnsi="Arial"/>
          <w:sz w:val="18"/>
          <w:szCs w:val="18"/>
          <w:color w:val="auto"/>
        </w:rPr>
      </w:pPr>
    </w:p>
    <w:p>
      <w:pPr>
        <w:jc w:val="both"/>
        <w:ind w:left="60" w:firstLine="644"/>
        <w:spacing w:after="0" w:line="227" w:lineRule="auto"/>
        <w:tabs>
          <w:tab w:leader="none" w:pos="1236" w:val="left"/>
        </w:tabs>
        <w:numPr>
          <w:ilvl w:val="1"/>
          <w:numId w:val="378"/>
        </w:numPr>
        <w:rPr>
          <w:rFonts w:ascii="Arial" w:cs="Arial" w:eastAsia="Arial" w:hAnsi="Arial"/>
          <w:sz w:val="20"/>
          <w:szCs w:val="20"/>
          <w:color w:val="auto"/>
        </w:rPr>
      </w:pPr>
      <w:r>
        <w:rPr>
          <w:rFonts w:ascii="Arial" w:cs="Arial" w:eastAsia="Arial" w:hAnsi="Arial"/>
          <w:sz w:val="20"/>
          <w:szCs w:val="20"/>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97" w:lineRule="exact"/>
        <w:rPr>
          <w:rFonts w:ascii="Arial" w:cs="Arial" w:eastAsia="Arial" w:hAnsi="Arial"/>
          <w:sz w:val="20"/>
          <w:szCs w:val="20"/>
          <w:color w:val="auto"/>
        </w:rPr>
      </w:pPr>
    </w:p>
    <w:p>
      <w:pPr>
        <w:ind w:left="60" w:firstLine="644"/>
        <w:spacing w:after="0" w:line="229" w:lineRule="auto"/>
        <w:tabs>
          <w:tab w:leader="none" w:pos="1236" w:val="left"/>
        </w:tabs>
        <w:numPr>
          <w:ilvl w:val="1"/>
          <w:numId w:val="378"/>
        </w:numPr>
        <w:rPr>
          <w:rFonts w:ascii="Arial" w:cs="Arial" w:eastAsia="Arial" w:hAnsi="Arial"/>
          <w:sz w:val="20"/>
          <w:szCs w:val="20"/>
          <w:color w:val="auto"/>
        </w:rPr>
      </w:pPr>
      <w:r>
        <w:rPr>
          <w:rFonts w:ascii="Arial" w:cs="Arial" w:eastAsia="Arial" w:hAnsi="Arial"/>
          <w:sz w:val="20"/>
          <w:szCs w:val="20"/>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14" w:name="page215"/>
    <w:bookmarkEnd w:id="214"/>
    <w:p>
      <w:pPr>
        <w:spacing w:after="0" w:line="209" w:lineRule="exact"/>
        <w:rPr>
          <w:sz w:val="20"/>
          <w:szCs w:val="20"/>
          <w:color w:val="auto"/>
        </w:rPr>
      </w:pPr>
    </w:p>
    <w:p>
      <w:pPr>
        <w:jc w:val="both"/>
        <w:ind w:left="60" w:firstLine="644"/>
        <w:spacing w:after="0" w:line="238" w:lineRule="auto"/>
        <w:tabs>
          <w:tab w:leader="none" w:pos="1236" w:val="left"/>
        </w:tabs>
        <w:numPr>
          <w:ilvl w:val="1"/>
          <w:numId w:val="379"/>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9.1(d); provided that (i) such Liens shall be created concurrently with or within twenty four (24) 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212" w:lineRule="exact"/>
        <w:rPr>
          <w:rFonts w:ascii="Arial" w:cs="Arial" w:eastAsia="Arial" w:hAnsi="Arial"/>
          <w:sz w:val="18"/>
          <w:szCs w:val="18"/>
          <w:color w:val="auto"/>
        </w:rPr>
      </w:pPr>
    </w:p>
    <w:p>
      <w:pPr>
        <w:ind w:left="60" w:firstLine="644"/>
        <w:spacing w:after="0" w:line="229" w:lineRule="auto"/>
        <w:tabs>
          <w:tab w:leader="none" w:pos="1236" w:val="left"/>
        </w:tabs>
        <w:numPr>
          <w:ilvl w:val="1"/>
          <w:numId w:val="379"/>
        </w:numPr>
        <w:rPr>
          <w:rFonts w:ascii="Arial" w:cs="Arial" w:eastAsia="Arial" w:hAnsi="Arial"/>
          <w:sz w:val="20"/>
          <w:szCs w:val="20"/>
          <w:color w:val="auto"/>
        </w:rPr>
      </w:pPr>
      <w:r>
        <w:rPr>
          <w:rFonts w:ascii="Arial" w:cs="Arial" w:eastAsia="Arial" w:hAnsi="Arial"/>
          <w:sz w:val="20"/>
          <w:szCs w:val="20"/>
          <w:color w:val="auto"/>
        </w:rPr>
        <w:t>Liens securing judgments for the payment of money not constituting an Event of Default under Section 10.1(m) or securing appeal or other surety bonds relating to such judgments;</w:t>
      </w:r>
    </w:p>
    <w:p>
      <w:pPr>
        <w:spacing w:after="0" w:line="263" w:lineRule="exact"/>
        <w:rPr>
          <w:rFonts w:ascii="Arial" w:cs="Arial" w:eastAsia="Arial" w:hAnsi="Arial"/>
          <w:sz w:val="20"/>
          <w:szCs w:val="20"/>
          <w:color w:val="auto"/>
        </w:rPr>
      </w:pPr>
    </w:p>
    <w:p>
      <w:pPr>
        <w:jc w:val="both"/>
        <w:ind w:left="60" w:firstLine="644"/>
        <w:spacing w:after="0" w:line="239" w:lineRule="auto"/>
        <w:tabs>
          <w:tab w:leader="none" w:pos="1240" w:val="left"/>
        </w:tabs>
        <w:numPr>
          <w:ilvl w:val="1"/>
          <w:numId w:val="379"/>
        </w:numPr>
        <w:rPr>
          <w:rFonts w:ascii="Arial" w:cs="Arial" w:eastAsia="Arial" w:hAnsi="Arial"/>
          <w:sz w:val="19"/>
          <w:szCs w:val="19"/>
          <w:color w:val="auto"/>
        </w:rPr>
      </w:pPr>
      <w:r>
        <w:rPr>
          <w:rFonts w:ascii="Arial" w:cs="Arial" w:eastAsia="Arial" w:hAnsi="Arial"/>
          <w:sz w:val="19"/>
          <w:szCs w:val="19"/>
          <w:color w:val="auto"/>
        </w:rPr>
        <w:t>(i) Liens of a collecting bank arising in the ordinary course of business under Section 4- 210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97" w:lineRule="exact"/>
        <w:rPr>
          <w:rFonts w:ascii="Arial" w:cs="Arial" w:eastAsia="Arial" w:hAnsi="Arial"/>
          <w:sz w:val="19"/>
          <w:szCs w:val="19"/>
          <w:color w:val="auto"/>
        </w:rPr>
      </w:pPr>
    </w:p>
    <w:p>
      <w:pPr>
        <w:jc w:val="both"/>
        <w:ind w:left="60" w:firstLine="644"/>
        <w:spacing w:after="0" w:line="223" w:lineRule="auto"/>
        <w:tabs>
          <w:tab w:leader="none" w:pos="1233" w:val="left"/>
        </w:tabs>
        <w:numPr>
          <w:ilvl w:val="1"/>
          <w:numId w:val="379"/>
        </w:numPr>
        <w:rPr>
          <w:rFonts w:ascii="Arial" w:cs="Arial" w:eastAsia="Arial" w:hAnsi="Arial"/>
          <w:sz w:val="20"/>
          <w:szCs w:val="20"/>
          <w:color w:val="auto"/>
        </w:rPr>
      </w:pPr>
      <w:r>
        <w:rPr>
          <w:rFonts w:ascii="Arial" w:cs="Arial" w:eastAsia="Arial" w:hAnsi="Arial"/>
          <w:sz w:val="20"/>
          <w:szCs w:val="20"/>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95" w:lineRule="exact"/>
        <w:rPr>
          <w:rFonts w:ascii="Arial" w:cs="Arial" w:eastAsia="Arial" w:hAnsi="Arial"/>
          <w:sz w:val="20"/>
          <w:szCs w:val="20"/>
          <w:color w:val="auto"/>
        </w:rPr>
      </w:pPr>
    </w:p>
    <w:p>
      <w:pPr>
        <w:jc w:val="both"/>
        <w:ind w:left="60" w:firstLine="644"/>
        <w:spacing w:after="0" w:line="225" w:lineRule="auto"/>
        <w:tabs>
          <w:tab w:leader="none" w:pos="1241" w:val="left"/>
        </w:tabs>
        <w:numPr>
          <w:ilvl w:val="1"/>
          <w:numId w:val="379"/>
        </w:numPr>
        <w:rPr>
          <w:rFonts w:ascii="Arial" w:cs="Arial" w:eastAsia="Arial" w:hAnsi="Arial"/>
          <w:sz w:val="19"/>
          <w:szCs w:val="19"/>
          <w:color w:val="auto"/>
        </w:rPr>
      </w:pPr>
      <w:r>
        <w:rPr>
          <w:rFonts w:ascii="Arial" w:cs="Arial" w:eastAsia="Arial" w:hAnsi="Arial"/>
          <w:sz w:val="19"/>
          <w:szCs w:val="19"/>
          <w:color w:val="auto"/>
        </w:rPr>
        <w:t>Liens on Property (i) of any Subsidiary which are in existence at the time that such Subsidiary is acquired pursuant to a Permitted Acquisition and (ii) of Centuri or any of its Subsidiaries existing at the time such tangible property or tangible assets are purchased or otherwise acquired by Centuri or such Subsidiary thereof pursuant to a transaction permitted pursuant to this Agreement; provided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Centuri or any of its Subsidiaries and (E) the Indebtedness secured by such Liens is permitted under Section 9.1(i) of this Agreement);</w:t>
      </w:r>
    </w:p>
    <w:p>
      <w:pPr>
        <w:spacing w:after="0" w:line="267" w:lineRule="exact"/>
        <w:rPr>
          <w:rFonts w:ascii="Arial" w:cs="Arial" w:eastAsia="Arial" w:hAnsi="Arial"/>
          <w:sz w:val="19"/>
          <w:szCs w:val="19"/>
          <w:color w:val="auto"/>
        </w:rPr>
      </w:pPr>
    </w:p>
    <w:p>
      <w:pPr>
        <w:jc w:val="both"/>
        <w:ind w:left="60" w:firstLine="644"/>
        <w:spacing w:after="0" w:line="211" w:lineRule="auto"/>
        <w:tabs>
          <w:tab w:leader="none" w:pos="1240" w:val="left"/>
        </w:tabs>
        <w:numPr>
          <w:ilvl w:val="1"/>
          <w:numId w:val="379"/>
        </w:numPr>
        <w:rPr>
          <w:rFonts w:ascii="Arial" w:cs="Arial" w:eastAsia="Arial" w:hAnsi="Arial"/>
          <w:sz w:val="20"/>
          <w:szCs w:val="20"/>
          <w:color w:val="auto"/>
        </w:rPr>
      </w:pPr>
      <w:r>
        <w:rPr>
          <w:rFonts w:ascii="Arial" w:cs="Arial" w:eastAsia="Arial" w:hAnsi="Arial"/>
          <w:sz w:val="20"/>
          <w:szCs w:val="20"/>
          <w:color w:val="auto"/>
        </w:rPr>
        <w:t>any interest or title of a licensor, sublicensor, lessor or sublessor with respect to any assets under any license or lease agreement entered into in the ordinary course of business which do not (i) interfere in any material respect with the business of the Consolidated Companies taken as a whole or materially detract from the value of the relevant assets of the Consolidated Companies taken as a whole or</w:t>
      </w:r>
    </w:p>
    <w:p>
      <w:pPr>
        <w:spacing w:after="0" w:line="3" w:lineRule="exact"/>
        <w:rPr>
          <w:rFonts w:ascii="Arial" w:cs="Arial" w:eastAsia="Arial" w:hAnsi="Arial"/>
          <w:sz w:val="20"/>
          <w:szCs w:val="20"/>
          <w:color w:val="auto"/>
        </w:rPr>
      </w:pPr>
    </w:p>
    <w:p>
      <w:pPr>
        <w:ind w:left="340" w:hanging="284"/>
        <w:spacing w:after="0"/>
        <w:tabs>
          <w:tab w:leader="none" w:pos="34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secure any Indebtedness;</w:t>
      </w:r>
    </w:p>
    <w:p>
      <w:pPr>
        <w:spacing w:after="0" w:line="199" w:lineRule="exact"/>
        <w:rPr>
          <w:rFonts w:ascii="Arial" w:cs="Arial" w:eastAsia="Arial" w:hAnsi="Arial"/>
          <w:sz w:val="20"/>
          <w:szCs w:val="20"/>
          <w:color w:val="auto"/>
        </w:rPr>
      </w:pPr>
    </w:p>
    <w:p>
      <w:pPr>
        <w:ind w:left="60" w:right="20" w:firstLine="644"/>
        <w:spacing w:after="0" w:line="285" w:lineRule="auto"/>
        <w:tabs>
          <w:tab w:leader="none" w:pos="12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Liens on Receivables Assets that have been transferred to a Person other than Centuri and its Subsidiaries (other than a Receivables Subsidiary) in connection with such Permitted Receivables Transaction securing Permitted Receivables Transactions;</w:t>
      </w:r>
    </w:p>
    <w:p>
      <w:pPr>
        <w:spacing w:after="0" w:line="156" w:lineRule="exact"/>
        <w:rPr>
          <w:rFonts w:ascii="Arial" w:cs="Arial" w:eastAsia="Arial" w:hAnsi="Arial"/>
          <w:sz w:val="18"/>
          <w:szCs w:val="18"/>
          <w:color w:val="auto"/>
        </w:rPr>
      </w:pPr>
    </w:p>
    <w:p>
      <w:pPr>
        <w:ind w:left="60" w:firstLine="644"/>
        <w:spacing w:after="0" w:line="257" w:lineRule="auto"/>
        <w:tabs>
          <w:tab w:leader="none" w:pos="1240" w:val="left"/>
        </w:tabs>
        <w:numPr>
          <w:ilvl w:val="1"/>
          <w:numId w:val="380"/>
        </w:numPr>
        <w:rPr>
          <w:rFonts w:ascii="Arial" w:cs="Arial" w:eastAsia="Arial" w:hAnsi="Arial"/>
          <w:sz w:val="19"/>
          <w:szCs w:val="19"/>
          <w:color w:val="auto"/>
        </w:rPr>
      </w:pPr>
      <w:r>
        <w:rPr>
          <w:rFonts w:ascii="Arial" w:cs="Arial" w:eastAsia="Arial" w:hAnsi="Arial"/>
          <w:sz w:val="19"/>
          <w:szCs w:val="19"/>
          <w:color w:val="auto"/>
        </w:rPr>
        <w:t>Liens not otherwise permitted hereunder securing Indebtedness or other obligations in the aggregate principal amount not to exceed at any time outstanding the greater of (i) $100,000,000 and (ii) 4.0% of Consolidated Total Assets; and</w:t>
      </w:r>
    </w:p>
    <w:p>
      <w:pPr>
        <w:spacing w:after="0" w:line="180" w:lineRule="exact"/>
        <w:rPr>
          <w:rFonts w:ascii="Arial" w:cs="Arial" w:eastAsia="Arial" w:hAnsi="Arial"/>
          <w:sz w:val="19"/>
          <w:szCs w:val="19"/>
          <w:color w:val="auto"/>
        </w:rPr>
      </w:pPr>
    </w:p>
    <w:p>
      <w:pPr>
        <w:ind w:left="1340" w:hanging="636"/>
        <w:spacing w:after="0"/>
        <w:tabs>
          <w:tab w:leader="none" w:pos="134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Liens on Collateral securing Incremental Equivalent Indebtedness.</w:t>
      </w:r>
    </w:p>
    <w:p>
      <w:pPr>
        <w:spacing w:after="0" w:line="216" w:lineRule="exact"/>
        <w:rPr>
          <w:sz w:val="20"/>
          <w:szCs w:val="20"/>
          <w:color w:val="auto"/>
        </w:rPr>
      </w:pPr>
    </w:p>
    <w:p>
      <w:pPr>
        <w:ind w:left="60" w:right="20" w:firstLine="648"/>
        <w:spacing w:after="0" w:line="236" w:lineRule="auto"/>
        <w:rPr>
          <w:sz w:val="20"/>
          <w:szCs w:val="20"/>
          <w:color w:val="auto"/>
        </w:rPr>
      </w:pPr>
      <w:r>
        <w:rPr>
          <w:rFonts w:ascii="Arial" w:cs="Arial" w:eastAsia="Arial" w:hAnsi="Arial"/>
          <w:sz w:val="20"/>
          <w:szCs w:val="20"/>
          <w:color w:val="auto"/>
        </w:rPr>
        <w:t>Notwithstanding the foregoing, in no event shall this Section permit any consensual Liens on real property except pursuant to clauses (a), (b), (c), (d), (f), (h), (k), (l) and (p)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15" w:name="page216"/>
    <w:bookmarkEnd w:id="215"/>
    <w:p>
      <w:pPr>
        <w:spacing w:after="0" w:line="209"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6"/>
          <w:szCs w:val="16"/>
          <w:color w:val="auto"/>
        </w:rPr>
        <w:t>Investments</w:t>
      </w:r>
    </w:p>
    <w:p>
      <w:pPr>
        <w:spacing w:after="0" w:line="283" w:lineRule="exact"/>
        <w:rPr>
          <w:sz w:val="20"/>
          <w:szCs w:val="20"/>
          <w:color w:val="auto"/>
        </w:rPr>
      </w:pPr>
    </w:p>
    <w:p>
      <w:pPr>
        <w:jc w:val="both"/>
        <w:ind w:left="60" w:hanging="4"/>
        <w:spacing w:after="0" w:line="229" w:lineRule="auto"/>
        <w:tabs>
          <w:tab w:leader="none" w:pos="193" w:val="left"/>
        </w:tabs>
        <w:numPr>
          <w:ilvl w:val="0"/>
          <w:numId w:val="381"/>
        </w:numPr>
        <w:rPr>
          <w:rFonts w:ascii="Arial" w:cs="Arial" w:eastAsia="Arial" w:hAnsi="Arial"/>
          <w:sz w:val="19"/>
          <w:szCs w:val="19"/>
          <w:color w:val="auto"/>
        </w:rPr>
      </w:pPr>
      <w:r>
        <w:rPr>
          <w:rFonts w:ascii="Arial" w:cs="Arial" w:eastAsia="Arial" w:hAnsi="Arial"/>
          <w:sz w:val="19"/>
          <w:szCs w:val="19"/>
          <w:color w:val="auto"/>
        </w:rPr>
        <w:t>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 indirectly, any loans, advances or extensions of credit to, or any investment in cash or by delivery of Property in, any Person (all the foregoing, “Investments”) except:</w:t>
      </w:r>
    </w:p>
    <w:p>
      <w:pPr>
        <w:spacing w:after="0" w:line="199" w:lineRule="exact"/>
        <w:rPr>
          <w:rFonts w:ascii="Arial" w:cs="Arial" w:eastAsia="Arial" w:hAnsi="Arial"/>
          <w:sz w:val="19"/>
          <w:szCs w:val="19"/>
          <w:color w:val="auto"/>
        </w:rPr>
      </w:pPr>
    </w:p>
    <w:p>
      <w:pPr>
        <w:ind w:left="1240" w:hanging="536"/>
        <w:spacing w:after="0"/>
        <w:tabs>
          <w:tab w:leader="none" w:pos="12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(i)  Investments existing on the Closing Date and described on Schedule 9.3;</w:t>
      </w:r>
    </w:p>
    <w:p>
      <w:pPr>
        <w:spacing w:after="0" w:line="283" w:lineRule="exact"/>
        <w:rPr>
          <w:rFonts w:ascii="Arial" w:cs="Arial" w:eastAsia="Arial" w:hAnsi="Arial"/>
          <w:sz w:val="20"/>
          <w:szCs w:val="20"/>
          <w:color w:val="auto"/>
        </w:rPr>
      </w:pPr>
    </w:p>
    <w:p>
      <w:pPr>
        <w:ind w:left="1880" w:hanging="528"/>
        <w:spacing w:after="0"/>
        <w:tabs>
          <w:tab w:leader="none" w:pos="1880" w:val="left"/>
        </w:tabs>
        <w:numPr>
          <w:ilvl w:val="2"/>
          <w:numId w:val="381"/>
        </w:numPr>
        <w:rPr>
          <w:rFonts w:ascii="Arial" w:cs="Arial" w:eastAsia="Arial" w:hAnsi="Arial"/>
          <w:sz w:val="20"/>
          <w:szCs w:val="20"/>
          <w:color w:val="auto"/>
        </w:rPr>
      </w:pPr>
      <w:r>
        <w:rPr>
          <w:rFonts w:ascii="Arial" w:cs="Arial" w:eastAsia="Arial" w:hAnsi="Arial"/>
          <w:sz w:val="20"/>
          <w:szCs w:val="20"/>
          <w:color w:val="auto"/>
        </w:rPr>
        <w:t>Investments made after the Closing Date by any US Credit Party in any other US Credit Party;</w:t>
      </w:r>
    </w:p>
    <w:p>
      <w:pPr>
        <w:spacing w:after="0" w:line="215" w:lineRule="exact"/>
        <w:rPr>
          <w:rFonts w:ascii="Arial" w:cs="Arial" w:eastAsia="Arial" w:hAnsi="Arial"/>
          <w:sz w:val="20"/>
          <w:szCs w:val="20"/>
          <w:color w:val="auto"/>
        </w:rPr>
      </w:pPr>
    </w:p>
    <w:p>
      <w:pPr>
        <w:ind w:left="1880" w:hanging="528"/>
        <w:spacing w:after="0"/>
        <w:tabs>
          <w:tab w:leader="none" w:pos="1880" w:val="left"/>
        </w:tabs>
        <w:numPr>
          <w:ilvl w:val="2"/>
          <w:numId w:val="381"/>
        </w:numPr>
        <w:rPr>
          <w:rFonts w:ascii="Arial" w:cs="Arial" w:eastAsia="Arial" w:hAnsi="Arial"/>
          <w:sz w:val="19"/>
          <w:szCs w:val="19"/>
          <w:color w:val="auto"/>
        </w:rPr>
      </w:pPr>
      <w:r>
        <w:rPr>
          <w:rFonts w:ascii="Arial" w:cs="Arial" w:eastAsia="Arial" w:hAnsi="Arial"/>
          <w:sz w:val="19"/>
          <w:szCs w:val="19"/>
          <w:color w:val="auto"/>
        </w:rPr>
        <w:t>Investments made after the Closing Date by any Canadian Credit Party in any other Canadian Credit Party;</w:t>
      </w:r>
    </w:p>
    <w:p>
      <w:pPr>
        <w:spacing w:after="0" w:line="227" w:lineRule="exact"/>
        <w:rPr>
          <w:rFonts w:ascii="Arial" w:cs="Arial" w:eastAsia="Arial" w:hAnsi="Arial"/>
          <w:sz w:val="19"/>
          <w:szCs w:val="19"/>
          <w:color w:val="auto"/>
        </w:rPr>
      </w:pPr>
    </w:p>
    <w:p>
      <w:pPr>
        <w:ind w:left="700" w:right="60" w:firstLine="652"/>
        <w:spacing w:after="0" w:line="236" w:lineRule="auto"/>
        <w:tabs>
          <w:tab w:leader="none" w:pos="1876" w:val="left"/>
        </w:tabs>
        <w:numPr>
          <w:ilvl w:val="2"/>
          <w:numId w:val="381"/>
        </w:numPr>
        <w:rPr>
          <w:rFonts w:ascii="Arial" w:cs="Arial" w:eastAsia="Arial" w:hAnsi="Arial"/>
          <w:sz w:val="20"/>
          <w:szCs w:val="20"/>
          <w:color w:val="auto"/>
        </w:rPr>
      </w:pPr>
      <w:r>
        <w:rPr>
          <w:rFonts w:ascii="Arial" w:cs="Arial" w:eastAsia="Arial" w:hAnsi="Arial"/>
          <w:sz w:val="20"/>
          <w:szCs w:val="20"/>
          <w:color w:val="auto"/>
        </w:rPr>
        <w:t>Investments made after the Closing Date by any Non-Credit Party Subsidiary in any Credit Party or any other Non-Credit Party Subsidiary;</w:t>
      </w:r>
    </w:p>
    <w:p>
      <w:pPr>
        <w:spacing w:after="0" w:line="195" w:lineRule="exact"/>
        <w:rPr>
          <w:rFonts w:ascii="Arial" w:cs="Arial" w:eastAsia="Arial" w:hAnsi="Arial"/>
          <w:sz w:val="20"/>
          <w:szCs w:val="20"/>
          <w:color w:val="auto"/>
        </w:rPr>
      </w:pPr>
    </w:p>
    <w:p>
      <w:pPr>
        <w:ind w:left="1880" w:hanging="528"/>
        <w:spacing w:after="0"/>
        <w:tabs>
          <w:tab w:leader="none" w:pos="1880" w:val="left"/>
        </w:tabs>
        <w:numPr>
          <w:ilvl w:val="2"/>
          <w:numId w:val="381"/>
        </w:numPr>
        <w:rPr>
          <w:rFonts w:ascii="Arial" w:cs="Arial" w:eastAsia="Arial" w:hAnsi="Arial"/>
          <w:sz w:val="20"/>
          <w:szCs w:val="20"/>
          <w:color w:val="auto"/>
        </w:rPr>
      </w:pPr>
      <w:r>
        <w:rPr>
          <w:rFonts w:ascii="Arial" w:cs="Arial" w:eastAsia="Arial" w:hAnsi="Arial"/>
          <w:sz w:val="20"/>
          <w:szCs w:val="20"/>
          <w:color w:val="auto"/>
        </w:rPr>
        <w:t>Investments made after the Closing Date by any Canadian Credit Party in any US Credit Party;</w:t>
      </w:r>
    </w:p>
    <w:p>
      <w:pPr>
        <w:spacing w:after="0" w:line="229" w:lineRule="exact"/>
        <w:rPr>
          <w:rFonts w:ascii="Arial" w:cs="Arial" w:eastAsia="Arial" w:hAnsi="Arial"/>
          <w:sz w:val="20"/>
          <w:szCs w:val="20"/>
          <w:color w:val="auto"/>
        </w:rPr>
      </w:pPr>
    </w:p>
    <w:p>
      <w:pPr>
        <w:ind w:left="700" w:right="460" w:firstLine="652"/>
        <w:spacing w:after="0" w:line="212" w:lineRule="auto"/>
        <w:tabs>
          <w:tab w:leader="none" w:pos="1883" w:val="left"/>
        </w:tabs>
        <w:numPr>
          <w:ilvl w:val="2"/>
          <w:numId w:val="381"/>
        </w:numPr>
        <w:rPr>
          <w:rFonts w:ascii="Arial" w:cs="Arial" w:eastAsia="Arial" w:hAnsi="Arial"/>
          <w:sz w:val="20"/>
          <w:szCs w:val="20"/>
          <w:color w:val="auto"/>
        </w:rPr>
      </w:pPr>
      <w:r>
        <w:rPr>
          <w:rFonts w:ascii="Arial" w:cs="Arial" w:eastAsia="Arial" w:hAnsi="Arial"/>
          <w:sz w:val="20"/>
          <w:szCs w:val="20"/>
          <w:color w:val="auto"/>
        </w:rPr>
        <w:t>Investments made after the Closing Date by any US Credit Party in any Canadian Credit Party in an aggregate amount not to exceed at any time outstanding the greater of (x)</w:t>
      </w:r>
    </w:p>
    <w:p>
      <w:pPr>
        <w:spacing w:after="0" w:line="1" w:lineRule="exact"/>
        <w:rPr>
          <w:rFonts w:ascii="Arial" w:cs="Arial" w:eastAsia="Arial" w:hAnsi="Arial"/>
          <w:sz w:val="20"/>
          <w:szCs w:val="20"/>
          <w:color w:val="auto"/>
        </w:rPr>
      </w:pPr>
    </w:p>
    <w:p>
      <w:pPr>
        <w:ind w:left="700"/>
        <w:spacing w:after="0"/>
        <w:rPr>
          <w:rFonts w:ascii="Arial" w:cs="Arial" w:eastAsia="Arial" w:hAnsi="Arial"/>
          <w:sz w:val="20"/>
          <w:szCs w:val="20"/>
          <w:color w:val="auto"/>
        </w:rPr>
      </w:pPr>
      <w:r>
        <w:rPr>
          <w:rFonts w:ascii="Arial" w:cs="Arial" w:eastAsia="Arial" w:hAnsi="Arial"/>
          <w:sz w:val="20"/>
          <w:szCs w:val="20"/>
          <w:color w:val="auto"/>
        </w:rPr>
        <w:t>$50,000,000 and (y) 2.0% of Consolidated Total Assets; and</w:t>
      </w:r>
    </w:p>
    <w:p>
      <w:pPr>
        <w:spacing w:after="0" w:line="199" w:lineRule="exact"/>
        <w:rPr>
          <w:rFonts w:ascii="Arial" w:cs="Arial" w:eastAsia="Arial" w:hAnsi="Arial"/>
          <w:sz w:val="20"/>
          <w:szCs w:val="20"/>
          <w:color w:val="auto"/>
        </w:rPr>
      </w:pPr>
    </w:p>
    <w:p>
      <w:pPr>
        <w:ind w:left="700" w:right="280" w:firstLine="652"/>
        <w:spacing w:after="0" w:line="219" w:lineRule="auto"/>
        <w:tabs>
          <w:tab w:leader="none" w:pos="1876" w:val="left"/>
        </w:tabs>
        <w:numPr>
          <w:ilvl w:val="2"/>
          <w:numId w:val="381"/>
        </w:numPr>
        <w:rPr>
          <w:rFonts w:ascii="Arial" w:cs="Arial" w:eastAsia="Arial" w:hAnsi="Arial"/>
          <w:sz w:val="20"/>
          <w:szCs w:val="20"/>
          <w:color w:val="auto"/>
        </w:rPr>
      </w:pPr>
      <w:r>
        <w:rPr>
          <w:rFonts w:ascii="Arial" w:cs="Arial" w:eastAsia="Arial" w:hAnsi="Arial"/>
          <w:sz w:val="20"/>
          <w:szCs w:val="20"/>
          <w:color w:val="auto"/>
        </w:rPr>
        <w:t>Investments made after the Closing Date by any Credit Party in any Non-Credit Party Subsidiary in an aggregate amount at any time outstanding not to exceed the greater of (x)</w:t>
      </w:r>
    </w:p>
    <w:p>
      <w:pPr>
        <w:spacing w:after="0" w:line="1" w:lineRule="exact"/>
        <w:rPr>
          <w:rFonts w:ascii="Arial" w:cs="Arial" w:eastAsia="Arial" w:hAnsi="Arial"/>
          <w:sz w:val="20"/>
          <w:szCs w:val="20"/>
          <w:color w:val="auto"/>
        </w:rPr>
      </w:pPr>
    </w:p>
    <w:p>
      <w:pPr>
        <w:ind w:left="700"/>
        <w:spacing w:after="0"/>
        <w:rPr>
          <w:rFonts w:ascii="Arial" w:cs="Arial" w:eastAsia="Arial" w:hAnsi="Arial"/>
          <w:sz w:val="20"/>
          <w:szCs w:val="20"/>
          <w:color w:val="auto"/>
        </w:rPr>
      </w:pPr>
      <w:r>
        <w:rPr>
          <w:rFonts w:ascii="Arial" w:cs="Arial" w:eastAsia="Arial" w:hAnsi="Arial"/>
          <w:sz w:val="20"/>
          <w:szCs w:val="20"/>
          <w:color w:val="auto"/>
        </w:rPr>
        <w:t>$50,000,000 and (y) 2.0% of Consolidated Total Assets.</w:t>
      </w:r>
    </w:p>
    <w:p>
      <w:pPr>
        <w:spacing w:after="0" w:line="199" w:lineRule="exact"/>
        <w:rPr>
          <w:rFonts w:ascii="Arial" w:cs="Arial" w:eastAsia="Arial" w:hAnsi="Arial"/>
          <w:sz w:val="20"/>
          <w:szCs w:val="20"/>
          <w:color w:val="auto"/>
        </w:rPr>
      </w:pPr>
    </w:p>
    <w:p>
      <w:pPr>
        <w:ind w:left="1340" w:hanging="636"/>
        <w:spacing w:after="0"/>
        <w:tabs>
          <w:tab w:leader="none" w:pos="13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15" w:lineRule="exact"/>
        <w:rPr>
          <w:rFonts w:ascii="Arial" w:cs="Arial" w:eastAsia="Arial" w:hAnsi="Arial"/>
          <w:sz w:val="20"/>
          <w:szCs w:val="20"/>
          <w:color w:val="auto"/>
        </w:rPr>
      </w:pPr>
    </w:p>
    <w:p>
      <w:pPr>
        <w:ind w:left="1240" w:hanging="536"/>
        <w:spacing w:after="0"/>
        <w:tabs>
          <w:tab w:leader="none" w:pos="124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the performance of leases or other obligations as permitted by</w:t>
      </w:r>
    </w:p>
    <w:p>
      <w:pPr>
        <w:spacing w:after="0" w:line="1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20"/>
          <w:szCs w:val="20"/>
          <w:color w:val="auto"/>
        </w:rPr>
        <w:t>Section 9.2;</w:t>
      </w:r>
    </w:p>
    <w:p>
      <w:pPr>
        <w:spacing w:after="0" w:line="267" w:lineRule="exact"/>
        <w:rPr>
          <w:rFonts w:ascii="Arial" w:cs="Arial" w:eastAsia="Arial" w:hAnsi="Arial"/>
          <w:sz w:val="18"/>
          <w:szCs w:val="18"/>
          <w:color w:val="auto"/>
        </w:rPr>
      </w:pPr>
    </w:p>
    <w:p>
      <w:pPr>
        <w:ind w:left="1340" w:hanging="636"/>
        <w:spacing w:after="0"/>
        <w:tabs>
          <w:tab w:leader="none" w:pos="13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Hedge Agreements permitted pursuant to Section 9.1(b);</w:t>
      </w:r>
    </w:p>
    <w:p>
      <w:pPr>
        <w:spacing w:after="0" w:line="283" w:lineRule="exact"/>
        <w:rPr>
          <w:rFonts w:ascii="Arial" w:cs="Arial" w:eastAsia="Arial" w:hAnsi="Arial"/>
          <w:sz w:val="20"/>
          <w:szCs w:val="20"/>
          <w:color w:val="auto"/>
        </w:rPr>
      </w:pPr>
    </w:p>
    <w:p>
      <w:pPr>
        <w:jc w:val="both"/>
        <w:ind w:left="60" w:firstLine="644"/>
        <w:spacing w:after="0" w:line="220" w:lineRule="auto"/>
        <w:tabs>
          <w:tab w:leader="none" w:pos="1236" w:val="left"/>
        </w:tabs>
        <w:numPr>
          <w:ilvl w:val="1"/>
          <w:numId w:val="381"/>
        </w:numPr>
        <w:rPr>
          <w:rFonts w:ascii="Arial" w:cs="Arial" w:eastAsia="Arial" w:hAnsi="Arial"/>
          <w:sz w:val="20"/>
          <w:szCs w:val="20"/>
          <w:color w:val="auto"/>
        </w:rPr>
      </w:pPr>
      <w:r>
        <w:rPr>
          <w:rFonts w:ascii="Arial" w:cs="Arial" w:eastAsia="Arial" w:hAnsi="Arial"/>
          <w:sz w:val="20"/>
          <w:szCs w:val="20"/>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96" w:lineRule="exact"/>
        <w:rPr>
          <w:rFonts w:ascii="Arial" w:cs="Arial" w:eastAsia="Arial" w:hAnsi="Arial"/>
          <w:sz w:val="20"/>
          <w:szCs w:val="20"/>
          <w:color w:val="auto"/>
        </w:rPr>
      </w:pPr>
    </w:p>
    <w:p>
      <w:pPr>
        <w:jc w:val="both"/>
        <w:ind w:left="60" w:right="20" w:firstLine="644"/>
        <w:spacing w:after="0" w:line="223" w:lineRule="auto"/>
        <w:tabs>
          <w:tab w:leader="none" w:pos="1236" w:val="left"/>
        </w:tabs>
        <w:numPr>
          <w:ilvl w:val="1"/>
          <w:numId w:val="381"/>
        </w:numPr>
        <w:rPr>
          <w:rFonts w:ascii="Arial" w:cs="Arial" w:eastAsia="Arial" w:hAnsi="Arial"/>
          <w:sz w:val="20"/>
          <w:szCs w:val="20"/>
          <w:color w:val="auto"/>
        </w:rPr>
      </w:pPr>
      <w:r>
        <w:rPr>
          <w:rFonts w:ascii="Arial" w:cs="Arial" w:eastAsia="Arial" w:hAnsi="Arial"/>
          <w:sz w:val="20"/>
          <w:szCs w:val="20"/>
          <w:color w:val="auto"/>
        </w:rPr>
        <w:t>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Section 8.14;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16" w:name="page217"/>
    <w:bookmarkEnd w:id="216"/>
    <w:p>
      <w:pPr>
        <w:spacing w:after="0" w:line="209" w:lineRule="exact"/>
        <w:rPr>
          <w:sz w:val="20"/>
          <w:szCs w:val="20"/>
          <w:color w:val="auto"/>
        </w:rPr>
      </w:pPr>
    </w:p>
    <w:p>
      <w:pPr>
        <w:jc w:val="both"/>
        <w:ind w:left="60" w:firstLine="644"/>
        <w:spacing w:after="0" w:line="246" w:lineRule="auto"/>
        <w:tabs>
          <w:tab w:leader="none" w:pos="123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Investments (i) in the form of loans and advances to officers, directors and employees in the ordinary course of business (including, without limitation, loans and advances for the relocation of such Person’s residence) in an aggregate amount not to exceed at any time outstanding $10,000,000 (determined without regard to any write-downs or write-offs of such loans or advances) and (ii) in the form of loans and advances to officers, directors and employees in connection with the purchase of the Permitted Drum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17" w:name="page218"/>
    <w:bookmarkEnd w:id="217"/>
    <w:p>
      <w:pPr>
        <w:ind w:left="6260"/>
        <w:spacing w:after="0"/>
        <w:rPr>
          <w:sz w:val="20"/>
          <w:szCs w:val="20"/>
          <w:color w:val="auto"/>
        </w:rPr>
      </w:pPr>
      <w:r>
        <w:rPr>
          <w:rFonts w:ascii="Arial" w:cs="Arial" w:eastAsia="Arial" w:hAnsi="Arial"/>
          <w:sz w:val="20"/>
          <w:szCs w:val="20"/>
          <w:color w:val="auto"/>
        </w:rPr>
        <w:t>Investments in the form of intercompany Indebtedness</w:t>
      </w:r>
    </w:p>
    <w:p>
      <w:pPr>
        <w:ind w:left="60"/>
        <w:spacing w:after="0"/>
        <w:tabs>
          <w:tab w:leader="none" w:pos="6240" w:val="left"/>
        </w:tabs>
        <w:rPr>
          <w:sz w:val="20"/>
          <w:szCs w:val="20"/>
          <w:color w:val="auto"/>
        </w:rPr>
      </w:pPr>
      <w:r>
        <w:rPr>
          <w:rFonts w:ascii="Arial" w:cs="Arial" w:eastAsia="Arial" w:hAnsi="Arial"/>
          <w:sz w:val="31"/>
          <w:szCs w:val="31"/>
          <w:color w:val="auto"/>
          <w:vertAlign w:val="subscript"/>
        </w:rPr>
        <w:t>9.1(h);</w:t>
      </w:r>
      <w:r>
        <w:rPr>
          <w:sz w:val="20"/>
          <w:szCs w:val="20"/>
          <w:color w:val="auto"/>
        </w:rPr>
        <w:tab/>
      </w:r>
      <w:r>
        <w:rPr>
          <w:rFonts w:ascii="Arial" w:cs="Arial" w:eastAsia="Arial" w:hAnsi="Arial"/>
          <w:sz w:val="16"/>
          <w:szCs w:val="16"/>
          <w:color w:val="auto"/>
        </w:rPr>
        <w:t>permitted pursuant to Section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(8)</w:t>
      </w:r>
    </w:p>
    <w:p>
      <w:pPr>
        <w:spacing w:after="0" w:line="270" w:lineRule="exact"/>
        <w:rPr>
          <w:sz w:val="20"/>
          <w:szCs w:val="20"/>
          <w:color w:val="auto"/>
        </w:rPr>
      </w:pPr>
    </w:p>
    <w:p>
      <w:pPr>
        <w:ind w:left="60" w:right="20" w:firstLine="644"/>
        <w:spacing w:after="0" w:line="236" w:lineRule="auto"/>
        <w:tabs>
          <w:tab w:leader="none" w:pos="1236"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acquisition by a US Subsidiary Guarantor of the remaining Equity Interests of Linetec pursuant to the LLC Agreement (as defined in the Linetec Purchase Agreement);</w:t>
      </w:r>
    </w:p>
    <w:p>
      <w:pPr>
        <w:spacing w:after="0" w:line="195" w:lineRule="exact"/>
        <w:rPr>
          <w:rFonts w:ascii="Arial" w:cs="Arial" w:eastAsia="Arial" w:hAnsi="Arial"/>
          <w:sz w:val="20"/>
          <w:szCs w:val="20"/>
          <w:color w:val="auto"/>
        </w:rPr>
      </w:pPr>
    </w:p>
    <w:p>
      <w:pPr>
        <w:jc w:val="both"/>
        <w:ind w:left="60" w:firstLine="644"/>
        <w:spacing w:after="0" w:line="223" w:lineRule="auto"/>
        <w:tabs>
          <w:tab w:leader="none" w:pos="124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 xml:space="preserve">Investments in an amount not to exceed the Available Amount at the time such Investment is made; provided that at the time of such Investment, or LCA Test Date, as applicable, (i) no Default or Event of Default has occurred and is continuing or would result therefrom and (ii) after giving pro forma effect to such Investment and any Indebtedness incurred in connection therewith, Centuri is in compliance with </w:t>
      </w:r>
      <w:r>
        <w:rPr>
          <w:rFonts w:ascii="Arial" w:cs="Arial" w:eastAsia="Arial" w:hAnsi="Arial"/>
          <w:sz w:val="19"/>
          <w:szCs w:val="19"/>
          <w:color w:val="FF0000"/>
          <w:strike w:val="1"/>
        </w:rPr>
        <w:t>the financial covenants set forth in Section 9.13</w:t>
      </w:r>
      <w:r>
        <w:rPr>
          <w:rFonts w:ascii="Arial" w:cs="Arial" w:eastAsia="Arial" w:hAnsi="Arial"/>
          <w:sz w:val="19"/>
          <w:szCs w:val="19"/>
          <w:color w:val="0000FF"/>
        </w:rPr>
        <w:t>(A) a Consolidated Interest Coverage Ratio of 2.50 to 1.00 and (B) a</w:t>
      </w:r>
      <w:r>
        <w:rPr>
          <w:rFonts w:ascii="Arial" w:cs="Arial" w:eastAsia="Arial" w:hAnsi="Arial"/>
          <w:sz w:val="19"/>
          <w:szCs w:val="19"/>
          <w:color w:val="auto"/>
        </w:rPr>
        <w:t xml:space="preserve"> </w:t>
      </w:r>
      <w:r>
        <w:rPr>
          <w:rFonts w:ascii="Arial" w:cs="Arial" w:eastAsia="Arial" w:hAnsi="Arial"/>
          <w:sz w:val="19"/>
          <w:szCs w:val="19"/>
          <w:color w:val="0000FF"/>
        </w:rPr>
        <w:t xml:space="preserve">Consolidated Net Leverage Ratio of (1) 5.50 to 1.00 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 </w:t>
      </w:r>
      <w:r>
        <w:rPr>
          <w:rFonts w:ascii="Arial" w:cs="Arial" w:eastAsia="Arial" w:hAnsi="Arial"/>
          <w:sz w:val="19"/>
          <w:szCs w:val="19"/>
          <w:color w:val="000000"/>
        </w:rPr>
        <w:t>as of the most recently ended four consecutive fiscal</w:t>
      </w:r>
      <w:r>
        <w:rPr>
          <w:rFonts w:ascii="Arial" w:cs="Arial" w:eastAsia="Arial" w:hAnsi="Arial"/>
          <w:sz w:val="19"/>
          <w:szCs w:val="19"/>
          <w:color w:val="0000FF"/>
        </w:rPr>
        <w:t xml:space="preserve"> </w:t>
      </w:r>
      <w:r>
        <w:rPr>
          <w:rFonts w:ascii="Arial" w:cs="Arial" w:eastAsia="Arial" w:hAnsi="Arial"/>
          <w:sz w:val="19"/>
          <w:szCs w:val="19"/>
          <w:color w:val="000000"/>
        </w:rPr>
        <w:t>quarter period for which financial statements and the related Officer’s Compliance Certificate have been delivered pursuant to Sections 8.1(a) or (b) and 8.2(a);</w:t>
      </w:r>
    </w:p>
    <w:p>
      <w:pPr>
        <w:spacing w:after="0" w:line="265" w:lineRule="exact"/>
        <w:rPr>
          <w:rFonts w:ascii="Arial" w:cs="Arial" w:eastAsia="Arial" w:hAnsi="Arial"/>
          <w:sz w:val="19"/>
          <w:szCs w:val="19"/>
          <w:color w:val="auto"/>
        </w:rPr>
      </w:pPr>
    </w:p>
    <w:p>
      <w:pPr>
        <w:ind w:left="1340" w:hanging="636"/>
        <w:spacing w:after="0"/>
        <w:tabs>
          <w:tab w:leader="none" w:pos="134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Guaranty Obligations permitted pursuant to Section 9.1;</w:t>
      </w:r>
    </w:p>
    <w:p>
      <w:pPr>
        <w:spacing w:after="0" w:line="283" w:lineRule="exact"/>
        <w:rPr>
          <w:rFonts w:ascii="Arial" w:cs="Arial" w:eastAsia="Arial" w:hAnsi="Arial"/>
          <w:sz w:val="20"/>
          <w:szCs w:val="20"/>
          <w:color w:val="auto"/>
        </w:rPr>
      </w:pPr>
    </w:p>
    <w:p>
      <w:pPr>
        <w:ind w:left="1340" w:hanging="636"/>
        <w:spacing w:after="0"/>
        <w:tabs>
          <w:tab w:leader="none" w:pos="134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Drum Acquisition;</w:t>
      </w:r>
    </w:p>
    <w:p>
      <w:pPr>
        <w:spacing w:after="0" w:line="229" w:lineRule="exact"/>
        <w:rPr>
          <w:rFonts w:ascii="Arial" w:cs="Arial" w:eastAsia="Arial" w:hAnsi="Arial"/>
          <w:sz w:val="20"/>
          <w:szCs w:val="20"/>
          <w:color w:val="auto"/>
        </w:rPr>
      </w:pPr>
    </w:p>
    <w:p>
      <w:pPr>
        <w:jc w:val="both"/>
        <w:ind w:left="60" w:firstLine="644"/>
        <w:spacing w:after="0" w:line="235" w:lineRule="auto"/>
        <w:tabs>
          <w:tab w:leader="none" w:pos="124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(i) Investments in any Receivables Subsidiary that, in the good faith determination of Centuri, are prudent and reasonably necessary to effect or maintain any Permitted Receivables Transaction or any repurchase obligation in connection therewith and (ii) contributions or sales of Receivables Assets in connection with any Permitted Receivables Transaction;</w:t>
      </w:r>
    </w:p>
    <w:p>
      <w:pPr>
        <w:spacing w:after="0" w:line="195" w:lineRule="exact"/>
        <w:rPr>
          <w:rFonts w:ascii="Arial" w:cs="Arial" w:eastAsia="Arial" w:hAnsi="Arial"/>
          <w:sz w:val="19"/>
          <w:szCs w:val="19"/>
          <w:color w:val="auto"/>
        </w:rPr>
      </w:pPr>
    </w:p>
    <w:p>
      <w:pPr>
        <w:jc w:val="both"/>
        <w:ind w:left="60" w:firstLine="643"/>
        <w:spacing w:after="0" w:line="252" w:lineRule="auto"/>
        <w:tabs>
          <w:tab w:leader="none" w:pos="123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Investments not otherwise permitted pursuant to this Section 9.3 in an aggregate amount not to exceed at any time outstanding the greater of (i) $50,000,000 and (ii) 2.0% of Consolidated Total Assets; provided that, immediately before and immediately after giving pro forma effect to any such Investments, no Default or Event of Default shall have occurred and be continuing; and</w:t>
      </w:r>
    </w:p>
    <w:p>
      <w:pPr>
        <w:spacing w:after="0" w:line="198" w:lineRule="exact"/>
        <w:rPr>
          <w:rFonts w:ascii="Arial" w:cs="Arial" w:eastAsia="Arial" w:hAnsi="Arial"/>
          <w:sz w:val="18"/>
          <w:szCs w:val="18"/>
          <w:color w:val="auto"/>
        </w:rPr>
      </w:pPr>
    </w:p>
    <w:p>
      <w:pPr>
        <w:jc w:val="both"/>
        <w:ind w:left="60" w:firstLine="644"/>
        <w:spacing w:after="0" w:line="239" w:lineRule="auto"/>
        <w:tabs>
          <w:tab w:leader="none" w:pos="12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Investments not otherwise permitted pursuant to this Section 9.3; provided that, immediately after giving pro forma effect to the making of any such Investment and any Indebtedness incurred in connection therewith, subject to Section 1.12 in connection with a Limited Condition Acquisition,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Sections 8.1(a) or (b) and 8.2(a).</w:t>
      </w:r>
    </w:p>
    <w:p>
      <w:pPr>
        <w:spacing w:after="0" w:line="265" w:lineRule="exact"/>
        <w:rPr>
          <w:sz w:val="20"/>
          <w:szCs w:val="20"/>
          <w:color w:val="auto"/>
        </w:rPr>
      </w:pPr>
    </w:p>
    <w:p>
      <w:pPr>
        <w:jc w:val="both"/>
        <w:ind w:left="60"/>
        <w:spacing w:after="0" w:line="227" w:lineRule="auto"/>
        <w:rPr>
          <w:sz w:val="20"/>
          <w:szCs w:val="20"/>
          <w:color w:val="auto"/>
        </w:rPr>
      </w:pPr>
      <w:r>
        <w:rPr>
          <w:rFonts w:ascii="Arial" w:cs="Arial" w:eastAsia="Arial" w:hAnsi="Arial"/>
          <w:sz w:val="20"/>
          <w:szCs w:val="20"/>
          <w:color w:val="auto"/>
        </w:rPr>
        <w:t>For purposes of determining the amount of any Investment outstanding for purposes of this Section 9.3, such amount shall be deemed to be the amount of such Investment when made, purchased or acquired (without adjustment for subsequent increases or decreases in the value of such Investment) less any amount</w:t>
      </w: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746" w:right="439" w:bottom="1440" w:gutter="0" w:footer="0" w:header="0"/>
        </w:sectPr>
      </w:pPr>
    </w:p>
    <w:bookmarkStart w:id="218" w:name="page219"/>
    <w:bookmarkEnd w:id="218"/>
    <w:p>
      <w:pPr>
        <w:ind w:left="60"/>
        <w:spacing w:after="0"/>
        <w:rPr>
          <w:sz w:val="20"/>
          <w:szCs w:val="20"/>
          <w:color w:val="auto"/>
        </w:rPr>
      </w:pPr>
      <w:r>
        <w:rPr>
          <w:rFonts w:ascii="Arial" w:cs="Arial" w:eastAsia="Arial" w:hAnsi="Arial"/>
          <w:sz w:val="19"/>
          <w:szCs w:val="19"/>
          <w:color w:val="auto"/>
        </w:rPr>
        <w:t>realized in respect of such Investment upon the sale, collection or return of capital (not to exceed the original amount invested).</w:t>
      </w:r>
    </w:p>
    <w:p>
      <w:pPr>
        <w:spacing w:after="0" w:line="227"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6"/>
          <w:szCs w:val="16"/>
          <w:color w:val="auto"/>
        </w:rPr>
        <w:t>Fundamental Changes</w:t>
      </w:r>
    </w:p>
    <w:p>
      <w:pPr>
        <w:spacing w:after="0" w:line="283" w:lineRule="exact"/>
        <w:rPr>
          <w:sz w:val="20"/>
          <w:szCs w:val="20"/>
          <w:color w:val="auto"/>
        </w:rPr>
      </w:pPr>
    </w:p>
    <w:p>
      <w:pPr>
        <w:jc w:val="both"/>
        <w:ind w:left="60" w:hanging="4"/>
        <w:spacing w:after="0" w:line="239" w:lineRule="auto"/>
        <w:tabs>
          <w:tab w:leader="none" w:pos="165" w:val="left"/>
        </w:tabs>
        <w:numPr>
          <w:ilvl w:val="0"/>
          <w:numId w:val="384"/>
        </w:numPr>
        <w:rPr>
          <w:rFonts w:ascii="Arial" w:cs="Arial" w:eastAsia="Arial" w:hAnsi="Arial"/>
          <w:sz w:val="19"/>
          <w:szCs w:val="19"/>
          <w:color w:val="auto"/>
        </w:rPr>
      </w:pPr>
      <w:r>
        <w:rPr>
          <w:rFonts w:ascii="Arial" w:cs="Arial" w:eastAsia="Arial" w:hAnsi="Arial"/>
          <w:sz w:val="19"/>
          <w:szCs w:val="19"/>
          <w:color w:val="auto"/>
        </w:rPr>
        <w:t>Merge, amalgamate,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(including, in each case, pursuant to statutory division), except:</w:t>
      </w:r>
    </w:p>
    <w:p>
      <w:pPr>
        <w:spacing w:after="0" w:line="197" w:lineRule="exact"/>
        <w:rPr>
          <w:rFonts w:ascii="Arial" w:cs="Arial" w:eastAsia="Arial" w:hAnsi="Arial"/>
          <w:sz w:val="19"/>
          <w:szCs w:val="19"/>
          <w:color w:val="auto"/>
        </w:rPr>
      </w:pPr>
    </w:p>
    <w:p>
      <w:pPr>
        <w:ind w:left="60" w:firstLine="644"/>
        <w:spacing w:after="0" w:line="236" w:lineRule="auto"/>
        <w:tabs>
          <w:tab w:leader="none" w:pos="1236" w:val="left"/>
        </w:tabs>
        <w:numPr>
          <w:ilvl w:val="1"/>
          <w:numId w:val="384"/>
        </w:numPr>
        <w:rPr>
          <w:rFonts w:ascii="Arial" w:cs="Arial" w:eastAsia="Arial" w:hAnsi="Arial"/>
          <w:sz w:val="20"/>
          <w:szCs w:val="20"/>
          <w:color w:val="auto"/>
        </w:rPr>
      </w:pPr>
      <w:r>
        <w:rPr>
          <w:rFonts w:ascii="Arial" w:cs="Arial" w:eastAsia="Arial" w:hAnsi="Arial"/>
          <w:sz w:val="20"/>
          <w:szCs w:val="20"/>
          <w:color w:val="auto"/>
        </w:rPr>
        <w:t>any Subsidiary of the US Borrower may merge into the US Borrower in a transaction in which the US Borrower is the surviving Person;</w:t>
      </w:r>
    </w:p>
    <w:p>
      <w:pPr>
        <w:spacing w:after="0" w:line="195" w:lineRule="exact"/>
        <w:rPr>
          <w:rFonts w:ascii="Arial" w:cs="Arial" w:eastAsia="Arial" w:hAnsi="Arial"/>
          <w:sz w:val="20"/>
          <w:szCs w:val="20"/>
          <w:color w:val="auto"/>
        </w:rPr>
      </w:pPr>
    </w:p>
    <w:p>
      <w:pPr>
        <w:ind w:left="60" w:right="20" w:firstLine="644"/>
        <w:spacing w:after="0" w:line="229" w:lineRule="auto"/>
        <w:tabs>
          <w:tab w:leader="none" w:pos="1236" w:val="left"/>
        </w:tabs>
        <w:numPr>
          <w:ilvl w:val="1"/>
          <w:numId w:val="384"/>
        </w:numPr>
        <w:rPr>
          <w:rFonts w:ascii="Arial" w:cs="Arial" w:eastAsia="Arial" w:hAnsi="Arial"/>
          <w:sz w:val="20"/>
          <w:szCs w:val="20"/>
          <w:color w:val="auto"/>
        </w:rPr>
      </w:pPr>
      <w:r>
        <w:rPr>
          <w:rFonts w:ascii="Arial" w:cs="Arial" w:eastAsia="Arial" w:hAnsi="Arial"/>
          <w:sz w:val="20"/>
          <w:szCs w:val="20"/>
          <w:color w:val="auto"/>
        </w:rPr>
        <w:t>(i) any Subsidiary (other than a Borrower) may merge into any other Subsidiary in a transaction in which the surviving entity is a US Credit Party and (ii) any US Borrower may merge into another US Borrower;</w:t>
      </w:r>
    </w:p>
    <w:p>
      <w:pPr>
        <w:spacing w:after="0" w:line="209" w:lineRule="exact"/>
        <w:rPr>
          <w:rFonts w:ascii="Arial" w:cs="Arial" w:eastAsia="Arial" w:hAnsi="Arial"/>
          <w:sz w:val="20"/>
          <w:szCs w:val="20"/>
          <w:color w:val="auto"/>
        </w:rPr>
      </w:pPr>
    </w:p>
    <w:p>
      <w:pPr>
        <w:ind w:left="60" w:firstLine="644"/>
        <w:spacing w:after="0" w:line="229" w:lineRule="auto"/>
        <w:tabs>
          <w:tab w:leader="none" w:pos="1236" w:val="left"/>
        </w:tabs>
        <w:numPr>
          <w:ilvl w:val="1"/>
          <w:numId w:val="384"/>
        </w:numPr>
        <w:rPr>
          <w:rFonts w:ascii="Arial" w:cs="Arial" w:eastAsia="Arial" w:hAnsi="Arial"/>
          <w:sz w:val="20"/>
          <w:szCs w:val="20"/>
          <w:color w:val="auto"/>
        </w:rPr>
      </w:pPr>
      <w:r>
        <w:rPr>
          <w:rFonts w:ascii="Arial" w:cs="Arial" w:eastAsia="Arial" w:hAnsi="Arial"/>
          <w:sz w:val="20"/>
          <w:szCs w:val="20"/>
          <w:color w:val="auto"/>
        </w:rPr>
        <w:t>any Canadian Subsidiary (other than the Canadian Borrowers) may be merged, amalgamated or consolidated with or into any other Subsidiary in a transaction in which the surviving or resulting entity is a Canadian Credit Party;</w:t>
      </w:r>
    </w:p>
    <w:p>
      <w:pPr>
        <w:spacing w:after="0" w:line="209" w:lineRule="exact"/>
        <w:rPr>
          <w:rFonts w:ascii="Arial" w:cs="Arial" w:eastAsia="Arial" w:hAnsi="Arial"/>
          <w:sz w:val="20"/>
          <w:szCs w:val="20"/>
          <w:color w:val="auto"/>
        </w:rPr>
      </w:pPr>
    </w:p>
    <w:p>
      <w:pPr>
        <w:jc w:val="both"/>
        <w:ind w:left="60" w:right="20" w:firstLine="644"/>
        <w:spacing w:after="0" w:line="220" w:lineRule="auto"/>
        <w:tabs>
          <w:tab w:leader="none" w:pos="1236" w:val="left"/>
        </w:tabs>
        <w:numPr>
          <w:ilvl w:val="1"/>
          <w:numId w:val="384"/>
        </w:numPr>
        <w:rPr>
          <w:rFonts w:ascii="Arial" w:cs="Arial" w:eastAsia="Arial" w:hAnsi="Arial"/>
          <w:sz w:val="20"/>
          <w:szCs w:val="20"/>
          <w:color w:val="auto"/>
        </w:rPr>
      </w:pPr>
      <w:r>
        <w:rPr>
          <w:rFonts w:ascii="Arial" w:cs="Arial" w:eastAsia="Arial" w:hAnsi="Arial"/>
          <w:sz w:val="20"/>
          <w:szCs w:val="20"/>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96" w:lineRule="exact"/>
        <w:rPr>
          <w:rFonts w:ascii="Arial" w:cs="Arial" w:eastAsia="Arial" w:hAnsi="Arial"/>
          <w:sz w:val="20"/>
          <w:szCs w:val="20"/>
          <w:color w:val="auto"/>
        </w:rPr>
      </w:pPr>
    </w:p>
    <w:p>
      <w:pPr>
        <w:jc w:val="both"/>
        <w:ind w:left="60" w:firstLine="644"/>
        <w:spacing w:after="0" w:line="238" w:lineRule="auto"/>
        <w:tabs>
          <w:tab w:leader="none" w:pos="123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Consolidated Company may give effect to a merger, amalgamation or consolidation the purpose of which is to effect an Investment or Asset Disposition permitted under Article IX so long as, in the case of any such merger, amalgamation or consolidation to which a Credit Party is a party, (i) such Credit Party is the surviving Person, or (ii) if such Credit Party is not the surviving Person, the 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212" w:lineRule="exact"/>
        <w:rPr>
          <w:rFonts w:ascii="Arial" w:cs="Arial" w:eastAsia="Arial" w:hAnsi="Arial"/>
          <w:sz w:val="18"/>
          <w:szCs w:val="18"/>
          <w:color w:val="auto"/>
        </w:rPr>
      </w:pPr>
    </w:p>
    <w:p>
      <w:pPr>
        <w:ind w:left="60" w:right="20" w:firstLine="644"/>
        <w:spacing w:after="0" w:line="229" w:lineRule="auto"/>
        <w:tabs>
          <w:tab w:leader="none" w:pos="1236" w:val="left"/>
        </w:tabs>
        <w:numPr>
          <w:ilvl w:val="1"/>
          <w:numId w:val="384"/>
        </w:numPr>
        <w:rPr>
          <w:rFonts w:ascii="Arial" w:cs="Arial" w:eastAsia="Arial" w:hAnsi="Arial"/>
          <w:sz w:val="20"/>
          <w:szCs w:val="20"/>
          <w:color w:val="auto"/>
        </w:rPr>
      </w:pPr>
      <w:r>
        <w:rPr>
          <w:rFonts w:ascii="Arial" w:cs="Arial" w:eastAsia="Arial" w:hAnsi="Arial"/>
          <w:sz w:val="20"/>
          <w:szCs w:val="20"/>
          <w:color w:val="auto"/>
        </w:rPr>
        <w:t>any Subsidiary may dispose of all or substantially all of its assets (upon voluntary liquidation, dissolution, winding up or otherwise) to any Borrower;</w:t>
      </w:r>
    </w:p>
    <w:p>
      <w:pPr>
        <w:spacing w:after="0" w:line="209" w:lineRule="exact"/>
        <w:rPr>
          <w:rFonts w:ascii="Arial" w:cs="Arial" w:eastAsia="Arial" w:hAnsi="Arial"/>
          <w:sz w:val="20"/>
          <w:szCs w:val="20"/>
          <w:color w:val="auto"/>
        </w:rPr>
      </w:pPr>
    </w:p>
    <w:p>
      <w:pPr>
        <w:ind w:left="60" w:right="20" w:firstLine="644"/>
        <w:spacing w:after="0" w:line="212" w:lineRule="auto"/>
        <w:tabs>
          <w:tab w:leader="none" w:pos="1236" w:val="left"/>
        </w:tabs>
        <w:numPr>
          <w:ilvl w:val="1"/>
          <w:numId w:val="384"/>
        </w:numPr>
        <w:rPr>
          <w:rFonts w:ascii="Arial" w:cs="Arial" w:eastAsia="Arial" w:hAnsi="Arial"/>
          <w:sz w:val="20"/>
          <w:szCs w:val="20"/>
          <w:color w:val="auto"/>
        </w:rPr>
      </w:pPr>
      <w:r>
        <w:rPr>
          <w:rFonts w:ascii="Arial" w:cs="Arial" w:eastAsia="Arial" w:hAnsi="Arial"/>
          <w:sz w:val="20"/>
          <w:szCs w:val="20"/>
          <w:color w:val="auto"/>
        </w:rPr>
        <w:t>any Subsidiary may dispose of all or substantially all of its assets (upon voluntary liquidation, dissolution, winding up or otherwise) to any other Subsidiary; provided that such disposal by</w:t>
      </w:r>
    </w:p>
    <w:p>
      <w:pPr>
        <w:spacing w:after="0" w:line="1" w:lineRule="exact"/>
        <w:rPr>
          <w:sz w:val="20"/>
          <w:szCs w:val="20"/>
          <w:color w:val="auto"/>
        </w:rPr>
      </w:pPr>
    </w:p>
    <w:p>
      <w:pPr>
        <w:ind w:left="60" w:right="20" w:hanging="4"/>
        <w:spacing w:after="0" w:line="227" w:lineRule="auto"/>
        <w:tabs>
          <w:tab w:leader="none" w:pos="588" w:val="left"/>
        </w:tabs>
        <w:numPr>
          <w:ilvl w:val="0"/>
          <w:numId w:val="385"/>
        </w:numPr>
        <w:rPr>
          <w:rFonts w:ascii="Arial" w:cs="Arial" w:eastAsia="Arial" w:hAnsi="Arial"/>
          <w:sz w:val="20"/>
          <w:szCs w:val="20"/>
          <w:color w:val="auto"/>
        </w:rPr>
      </w:pPr>
      <w:r>
        <w:rPr>
          <w:rFonts w:ascii="Arial" w:cs="Arial" w:eastAsia="Arial" w:hAnsi="Arial"/>
          <w:sz w:val="20"/>
          <w:szCs w:val="20"/>
          <w:color w:val="auto"/>
        </w:rPr>
        <w:t>a US Credit Party shall be permitted to be made only to another US Credit Party and (ii) a Canadian Credit Party shall be permitted to be made only to another Canadian Credit Party; and</w:t>
      </w:r>
    </w:p>
    <w:p>
      <w:pPr>
        <w:spacing w:after="0" w:line="196" w:lineRule="exact"/>
        <w:rPr>
          <w:rFonts w:ascii="Arial" w:cs="Arial" w:eastAsia="Arial" w:hAnsi="Arial"/>
          <w:sz w:val="20"/>
          <w:szCs w:val="20"/>
          <w:color w:val="auto"/>
        </w:rPr>
      </w:pPr>
    </w:p>
    <w:p>
      <w:pPr>
        <w:ind w:left="1340" w:hanging="636"/>
        <w:spacing w:after="0"/>
        <w:tabs>
          <w:tab w:leader="none" w:pos="1340" w:val="left"/>
        </w:tabs>
        <w:numPr>
          <w:ilvl w:val="1"/>
          <w:numId w:val="385"/>
        </w:numPr>
        <w:rPr>
          <w:rFonts w:ascii="Arial" w:cs="Arial" w:eastAsia="Arial" w:hAnsi="Arial"/>
          <w:sz w:val="20"/>
          <w:szCs w:val="20"/>
          <w:color w:val="auto"/>
        </w:rPr>
      </w:pPr>
      <w:r>
        <w:rPr>
          <w:rFonts w:ascii="Arial" w:cs="Arial" w:eastAsia="Arial" w:hAnsi="Arial"/>
          <w:sz w:val="20"/>
          <w:szCs w:val="20"/>
          <w:color w:val="auto"/>
        </w:rPr>
        <w:t>Asset Dispositions permitted by Section 9.5.</w:t>
      </w:r>
    </w:p>
    <w:p>
      <w:pPr>
        <w:spacing w:after="0" w:line="283"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color w:val="auto"/>
        </w:rPr>
        <w:t>Asset Dispositions</w:t>
      </w:r>
    </w:p>
    <w:p>
      <w:pPr>
        <w:spacing w:after="0" w:line="283" w:lineRule="exact"/>
        <w:rPr>
          <w:sz w:val="20"/>
          <w:szCs w:val="20"/>
          <w:color w:val="auto"/>
        </w:rPr>
      </w:pPr>
    </w:p>
    <w:p>
      <w:pPr>
        <w:ind w:left="160" w:hanging="104"/>
        <w:spacing w:after="0"/>
        <w:tabs>
          <w:tab w:leader="none" w:pos="1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Make any Asset Disposition except:</w:t>
      </w:r>
    </w:p>
    <w:p>
      <w:pPr>
        <w:spacing w:after="0" w:line="215" w:lineRule="exact"/>
        <w:rPr>
          <w:rFonts w:ascii="Arial" w:cs="Arial" w:eastAsia="Arial" w:hAnsi="Arial"/>
          <w:sz w:val="20"/>
          <w:szCs w:val="20"/>
          <w:color w:val="auto"/>
        </w:rPr>
      </w:pPr>
    </w:p>
    <w:p>
      <w:pPr>
        <w:ind w:left="1240" w:hanging="536"/>
        <w:spacing w:after="0"/>
        <w:tabs>
          <w:tab w:leader="none" w:pos="124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the sale of inventory or assets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19" w:name="page220"/>
    <w:bookmarkEnd w:id="219"/>
    <w:p>
      <w:pPr>
        <w:spacing w:after="0" w:line="209" w:lineRule="exact"/>
        <w:rPr>
          <w:sz w:val="20"/>
          <w:szCs w:val="20"/>
          <w:color w:val="auto"/>
        </w:rPr>
      </w:pPr>
    </w:p>
    <w:p>
      <w:pPr>
        <w:ind w:left="1240" w:hanging="536"/>
        <w:spacing w:after="0"/>
        <w:tabs>
          <w:tab w:leader="none" w:pos="124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transfer of assets to a Borrower or any Subsidiary Guarantor pursuant to any other transaction permitted pursuant to</w:t>
      </w:r>
    </w:p>
    <w:p>
      <w:pPr>
        <w:spacing w:after="0" w:line="1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20"/>
          <w:szCs w:val="20"/>
          <w:color w:val="auto"/>
        </w:rPr>
        <w:t>Section 9.4;</w:t>
      </w:r>
    </w:p>
    <w:p>
      <w:pPr>
        <w:spacing w:after="0" w:line="267" w:lineRule="exact"/>
        <w:rPr>
          <w:rFonts w:ascii="Arial" w:cs="Arial" w:eastAsia="Arial" w:hAnsi="Arial"/>
          <w:sz w:val="18"/>
          <w:szCs w:val="18"/>
          <w:color w:val="auto"/>
        </w:rPr>
      </w:pPr>
    </w:p>
    <w:p>
      <w:pPr>
        <w:ind w:left="60" w:firstLine="644"/>
        <w:spacing w:after="0" w:line="229" w:lineRule="auto"/>
        <w:tabs>
          <w:tab w:leader="none" w:pos="1236"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209" w:lineRule="exact"/>
        <w:rPr>
          <w:rFonts w:ascii="Arial" w:cs="Arial" w:eastAsia="Arial" w:hAnsi="Arial"/>
          <w:sz w:val="20"/>
          <w:szCs w:val="20"/>
          <w:color w:val="auto"/>
        </w:rPr>
      </w:pPr>
    </w:p>
    <w:p>
      <w:pPr>
        <w:ind w:left="1340" w:hanging="636"/>
        <w:spacing w:after="0"/>
        <w:tabs>
          <w:tab w:leader="none" w:pos="13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disposition of any Hedge Agreement or close out of any position thereunder;</w:t>
      </w:r>
    </w:p>
    <w:p>
      <w:pPr>
        <w:spacing w:after="0" w:line="215" w:lineRule="exact"/>
        <w:rPr>
          <w:rFonts w:ascii="Arial" w:cs="Arial" w:eastAsia="Arial" w:hAnsi="Arial"/>
          <w:sz w:val="20"/>
          <w:szCs w:val="20"/>
          <w:color w:val="auto"/>
        </w:rPr>
      </w:pPr>
    </w:p>
    <w:p>
      <w:pPr>
        <w:ind w:left="1340" w:hanging="636"/>
        <w:spacing w:after="0"/>
        <w:tabs>
          <w:tab w:leader="none" w:pos="13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dispositions of Investments in cash and Cash Equivalents;</w:t>
      </w:r>
    </w:p>
    <w:p>
      <w:pPr>
        <w:spacing w:after="0" w:line="215" w:lineRule="exact"/>
        <w:rPr>
          <w:rFonts w:ascii="Arial" w:cs="Arial" w:eastAsia="Arial" w:hAnsi="Arial"/>
          <w:sz w:val="20"/>
          <w:szCs w:val="20"/>
          <w:color w:val="auto"/>
        </w:rPr>
      </w:pPr>
    </w:p>
    <w:p>
      <w:pPr>
        <w:ind w:left="1340" w:hanging="636"/>
        <w:spacing w:after="0"/>
        <w:tabs>
          <w:tab w:leader="none" w:pos="13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transfer by any Credit Party of its assets to any other Credit Party;</w:t>
      </w:r>
    </w:p>
    <w:p>
      <w:pPr>
        <w:spacing w:after="0" w:line="215" w:lineRule="exact"/>
        <w:rPr>
          <w:rFonts w:ascii="Arial" w:cs="Arial" w:eastAsia="Arial" w:hAnsi="Arial"/>
          <w:sz w:val="20"/>
          <w:szCs w:val="20"/>
          <w:color w:val="auto"/>
        </w:rPr>
      </w:pPr>
    </w:p>
    <w:p>
      <w:pPr>
        <w:jc w:val="both"/>
        <w:ind w:left="60" w:firstLine="644"/>
        <w:spacing w:after="0" w:line="227" w:lineRule="auto"/>
        <w:tabs>
          <w:tab w:leader="none" w:pos="1236"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transfer by any Non-Credit Party Subsidiary of its assets to any Credit Party (provided that in connection with any new transfer, such Credit Party shall not pay more than an amount equal to the fair market value of such assets as determined in good faith at the time of such transfer);</w:t>
      </w:r>
    </w:p>
    <w:p>
      <w:pPr>
        <w:spacing w:after="0" w:line="197" w:lineRule="exact"/>
        <w:rPr>
          <w:rFonts w:ascii="Arial" w:cs="Arial" w:eastAsia="Arial" w:hAnsi="Arial"/>
          <w:sz w:val="20"/>
          <w:szCs w:val="20"/>
          <w:color w:val="auto"/>
        </w:rPr>
      </w:pPr>
    </w:p>
    <w:p>
      <w:pPr>
        <w:ind w:left="1240" w:hanging="536"/>
        <w:spacing w:after="0"/>
        <w:tabs>
          <w:tab w:leader="none" w:pos="12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transfer by any Non-Credit Party Subsidiary of its assets to any other Non-Credit Party Subsidiary;</w:t>
      </w:r>
    </w:p>
    <w:p>
      <w:pPr>
        <w:spacing w:after="0" w:line="215" w:lineRule="exact"/>
        <w:rPr>
          <w:rFonts w:ascii="Arial" w:cs="Arial" w:eastAsia="Arial" w:hAnsi="Arial"/>
          <w:sz w:val="20"/>
          <w:szCs w:val="20"/>
          <w:color w:val="auto"/>
        </w:rPr>
      </w:pPr>
    </w:p>
    <w:p>
      <w:pPr>
        <w:ind w:left="60" w:firstLine="644"/>
        <w:spacing w:after="0" w:line="236" w:lineRule="auto"/>
        <w:tabs>
          <w:tab w:leader="none" w:pos="1236"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sale, abandonment or other disposition of obsolete, worn-out or surplus assets no longer needed or necessary in the business of the Consolidated Company effecting such Asset Disposition or any of its Subsidiaries;</w:t>
      </w:r>
    </w:p>
    <w:p>
      <w:pPr>
        <w:spacing w:after="0" w:line="195" w:lineRule="exact"/>
        <w:rPr>
          <w:rFonts w:ascii="Arial" w:cs="Arial" w:eastAsia="Arial" w:hAnsi="Arial"/>
          <w:sz w:val="20"/>
          <w:szCs w:val="20"/>
          <w:color w:val="auto"/>
        </w:rPr>
      </w:pPr>
    </w:p>
    <w:p>
      <w:pPr>
        <w:ind w:left="60" w:right="20" w:firstLine="644"/>
        <w:spacing w:after="0" w:line="285" w:lineRule="auto"/>
        <w:tabs>
          <w:tab w:leader="none" w:pos="124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56" w:lineRule="exact"/>
        <w:rPr>
          <w:rFonts w:ascii="Arial" w:cs="Arial" w:eastAsia="Arial" w:hAnsi="Arial"/>
          <w:sz w:val="18"/>
          <w:szCs w:val="18"/>
          <w:color w:val="auto"/>
        </w:rPr>
      </w:pPr>
    </w:p>
    <w:p>
      <w:pPr>
        <w:ind w:left="60" w:firstLine="644"/>
        <w:spacing w:after="0" w:line="285" w:lineRule="auto"/>
        <w:tabs>
          <w:tab w:leader="none" w:pos="1233" w:val="left"/>
        </w:tabs>
        <w:numPr>
          <w:ilvl w:val="1"/>
          <w:numId w:val="387"/>
        </w:numPr>
        <w:rPr>
          <w:rFonts w:ascii="Arial" w:cs="Arial" w:eastAsia="Arial" w:hAnsi="Arial"/>
          <w:sz w:val="18"/>
          <w:szCs w:val="18"/>
          <w:color w:val="auto"/>
        </w:rPr>
      </w:pPr>
      <w:r>
        <w:rPr>
          <w:rFonts w:ascii="Arial" w:cs="Arial" w:eastAsia="Arial" w:hAnsi="Arial"/>
          <w:sz w:val="18"/>
          <w:szCs w:val="18"/>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56" w:lineRule="exact"/>
        <w:rPr>
          <w:rFonts w:ascii="Arial" w:cs="Arial" w:eastAsia="Arial" w:hAnsi="Arial"/>
          <w:sz w:val="18"/>
          <w:szCs w:val="18"/>
          <w:color w:val="auto"/>
        </w:rPr>
      </w:pPr>
    </w:p>
    <w:p>
      <w:pPr>
        <w:ind w:left="60" w:right="20" w:firstLine="644"/>
        <w:spacing w:after="0" w:line="236" w:lineRule="auto"/>
        <w:tabs>
          <w:tab w:leader="none" w:pos="12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Asset Dispositions in connection with Insurance and Condemnation Events; provided that the requirements of Section 4.4(b) are complied with in connection therewith;</w:t>
      </w:r>
    </w:p>
    <w:p>
      <w:pPr>
        <w:spacing w:after="0" w:line="263" w:lineRule="exact"/>
        <w:rPr>
          <w:rFonts w:ascii="Arial" w:cs="Arial" w:eastAsia="Arial" w:hAnsi="Arial"/>
          <w:sz w:val="20"/>
          <w:szCs w:val="20"/>
          <w:color w:val="auto"/>
        </w:rPr>
      </w:pPr>
    </w:p>
    <w:p>
      <w:pPr>
        <w:ind w:left="1240" w:hanging="536"/>
        <w:spacing w:after="0"/>
        <w:tabs>
          <w:tab w:leader="none" w:pos="12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Asset Dispositions in connection with transactions permitted by Section 9.4 (other than Section 9.4(h));</w:t>
      </w:r>
    </w:p>
    <w:p>
      <w:pPr>
        <w:spacing w:after="0" w:line="283" w:lineRule="exact"/>
        <w:rPr>
          <w:rFonts w:ascii="Arial" w:cs="Arial" w:eastAsia="Arial" w:hAnsi="Arial"/>
          <w:sz w:val="20"/>
          <w:szCs w:val="20"/>
          <w:color w:val="auto"/>
        </w:rPr>
      </w:pPr>
    </w:p>
    <w:p>
      <w:pPr>
        <w:ind w:left="1340" w:hanging="636"/>
        <w:spacing w:after="0"/>
        <w:tabs>
          <w:tab w:leader="none" w:pos="13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the sale of the Permitted Drum Equity to officers, directors or employees;</w:t>
      </w:r>
    </w:p>
    <w:p>
      <w:pPr>
        <w:spacing w:after="0" w:line="215" w:lineRule="exact"/>
        <w:rPr>
          <w:rFonts w:ascii="Arial" w:cs="Arial" w:eastAsia="Arial" w:hAnsi="Arial"/>
          <w:sz w:val="20"/>
          <w:szCs w:val="20"/>
          <w:color w:val="auto"/>
        </w:rPr>
      </w:pPr>
    </w:p>
    <w:p>
      <w:pPr>
        <w:ind w:left="60" w:right="360" w:firstLine="644"/>
        <w:spacing w:after="0" w:line="219" w:lineRule="auto"/>
        <w:tabs>
          <w:tab w:leader="none" w:pos="124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Asset Dispositions not otherwise pursuant to this Section; provided that (i) at the time of such transaction, no Default or Event of Default shall exist or would result from such Asset Disposition and</w:t>
      </w:r>
    </w:p>
    <w:p>
      <w:pPr>
        <w:spacing w:after="0" w:line="1" w:lineRule="exact"/>
        <w:rPr>
          <w:rFonts w:ascii="Arial" w:cs="Arial" w:eastAsia="Arial" w:hAnsi="Arial"/>
          <w:sz w:val="20"/>
          <w:szCs w:val="20"/>
          <w:color w:val="auto"/>
        </w:rPr>
      </w:pPr>
    </w:p>
    <w:p>
      <w:pPr>
        <w:ind w:left="360" w:hanging="304"/>
        <w:spacing w:after="0" w:line="225" w:lineRule="auto"/>
        <w:tabs>
          <w:tab w:leader="none" w:pos="36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aggregate book value of all property disposed of in reliance on this clause (o) shall not exceed</w:t>
      </w:r>
    </w:p>
    <w:p>
      <w:pPr>
        <w:ind w:left="60"/>
        <w:spacing w:after="0"/>
        <w:rPr>
          <w:sz w:val="20"/>
          <w:szCs w:val="20"/>
          <w:color w:val="auto"/>
        </w:rPr>
      </w:pPr>
      <w:r>
        <w:rPr>
          <w:rFonts w:ascii="Arial" w:cs="Arial" w:eastAsia="Arial" w:hAnsi="Arial"/>
          <w:sz w:val="20"/>
          <w:szCs w:val="20"/>
          <w:color w:val="auto"/>
        </w:rPr>
        <w:t>$50,000,000 during the term of this Agreement;</w:t>
      </w:r>
    </w:p>
    <w:p>
      <w:pPr>
        <w:spacing w:after="0" w:line="200" w:lineRule="exact"/>
        <w:rPr>
          <w:sz w:val="20"/>
          <w:szCs w:val="20"/>
          <w:color w:val="auto"/>
        </w:rPr>
      </w:pPr>
    </w:p>
    <w:p>
      <w:pPr>
        <w:ind w:left="1240" w:hanging="536"/>
        <w:spacing w:after="0"/>
        <w:tabs>
          <w:tab w:leader="none" w:pos="1240" w:val="left"/>
        </w:tabs>
        <w:numPr>
          <w:ilvl w:val="0"/>
          <w:numId w:val="389"/>
        </w:numPr>
        <w:rPr>
          <w:rFonts w:ascii="Arial" w:cs="Arial" w:eastAsia="Arial" w:hAnsi="Arial"/>
          <w:sz w:val="19"/>
          <w:szCs w:val="19"/>
          <w:color w:val="auto"/>
        </w:rPr>
      </w:pPr>
      <w:r>
        <w:rPr>
          <w:rFonts w:ascii="Arial" w:cs="Arial" w:eastAsia="Arial" w:hAnsi="Arial"/>
          <w:sz w:val="19"/>
          <w:szCs w:val="19"/>
          <w:color w:val="auto"/>
        </w:rPr>
        <w:t>the sale, discount or other transfer of Receivables Assets pursuant to a Permitted Receivables Transaction; and</w:t>
      </w:r>
    </w:p>
    <w:p>
      <w:pPr>
        <w:spacing w:after="0" w:line="240" w:lineRule="exact"/>
        <w:rPr>
          <w:rFonts w:ascii="Arial" w:cs="Arial" w:eastAsia="Arial" w:hAnsi="Arial"/>
          <w:sz w:val="19"/>
          <w:szCs w:val="19"/>
          <w:color w:val="auto"/>
        </w:rPr>
      </w:pPr>
    </w:p>
    <w:p>
      <w:pPr>
        <w:ind w:left="60" w:right="120" w:firstLine="644"/>
        <w:spacing w:after="0" w:line="229" w:lineRule="auto"/>
        <w:tabs>
          <w:tab w:leader="none" w:pos="124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Asset Dispositions not otherwise permitted pursuant to this Section; provided that (i) at the time of such Asset Disposition, no Default or Event of Default shall exist or would result from such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0" w:name="page221"/>
    <w:bookmarkEnd w:id="220"/>
    <w:p>
      <w:pPr>
        <w:spacing w:after="0" w:line="209" w:lineRule="exact"/>
        <w:rPr>
          <w:sz w:val="20"/>
          <w:szCs w:val="20"/>
          <w:color w:val="auto"/>
        </w:rPr>
      </w:pPr>
    </w:p>
    <w:p>
      <w:pPr>
        <w:ind w:left="60" w:right="160"/>
        <w:spacing w:after="0" w:line="236" w:lineRule="auto"/>
        <w:rPr>
          <w:sz w:val="20"/>
          <w:szCs w:val="20"/>
          <w:color w:val="auto"/>
        </w:rPr>
      </w:pPr>
      <w:r>
        <w:rPr>
          <w:rFonts w:ascii="Arial" w:cs="Arial" w:eastAsia="Arial" w:hAnsi="Arial"/>
          <w:sz w:val="20"/>
          <w:szCs w:val="20"/>
          <w:color w:val="auto"/>
        </w:rPr>
        <w:t>Disposition and (ii) such Asset Disposition is made for fair market value and the consideration received shall be no less than seventy-five percent (75%) in cash.</w:t>
      </w:r>
    </w:p>
    <w:p>
      <w:pPr>
        <w:spacing w:after="0" w:line="196"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6"/>
          <w:szCs w:val="16"/>
          <w:color w:val="auto"/>
        </w:rPr>
        <w:t>Restricted Payments</w:t>
      </w:r>
    </w:p>
    <w:p>
      <w:pPr>
        <w:spacing w:after="0" w:line="283" w:lineRule="exact"/>
        <w:rPr>
          <w:sz w:val="20"/>
          <w:szCs w:val="20"/>
          <w:color w:val="auto"/>
        </w:rPr>
      </w:pPr>
    </w:p>
    <w:p>
      <w:pPr>
        <w:jc w:val="both"/>
        <w:ind w:left="60" w:hanging="4"/>
        <w:spacing w:after="0" w:line="218" w:lineRule="auto"/>
        <w:tabs>
          <w:tab w:leader="none" w:pos="187" w:val="left"/>
        </w:tabs>
        <w:numPr>
          <w:ilvl w:val="0"/>
          <w:numId w:val="390"/>
        </w:numPr>
        <w:rPr>
          <w:rFonts w:ascii="Arial" w:cs="Arial" w:eastAsia="Arial" w:hAnsi="Arial"/>
          <w:sz w:val="20"/>
          <w:szCs w:val="20"/>
          <w:color w:val="auto"/>
        </w:rPr>
      </w:pPr>
      <w:r>
        <w:rPr>
          <w:rFonts w:ascii="Arial" w:cs="Arial" w:eastAsia="Arial" w:hAnsi="Arial"/>
          <w:sz w:val="20"/>
          <w:szCs w:val="20"/>
          <w:color w:val="auto"/>
        </w:rPr>
        <w:t>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“Restricted Payments”) provided that:</w:t>
      </w:r>
    </w:p>
    <w:p>
      <w:pPr>
        <w:spacing w:after="0" w:line="251" w:lineRule="exact"/>
        <w:rPr>
          <w:rFonts w:ascii="Arial" w:cs="Arial" w:eastAsia="Arial" w:hAnsi="Arial"/>
          <w:sz w:val="20"/>
          <w:szCs w:val="20"/>
          <w:color w:val="auto"/>
        </w:rPr>
      </w:pPr>
    </w:p>
    <w:p>
      <w:pPr>
        <w:ind w:left="60" w:firstLine="644"/>
        <w:spacing w:after="0" w:line="236" w:lineRule="auto"/>
        <w:tabs>
          <w:tab w:leader="none" w:pos="1236" w:val="left"/>
        </w:tabs>
        <w:numPr>
          <w:ilvl w:val="1"/>
          <w:numId w:val="390"/>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therefrom, any Consolidated Company may pay dividends in shares of its own Qualified Equity Interests;</w:t>
      </w:r>
    </w:p>
    <w:p>
      <w:pPr>
        <w:spacing w:after="0" w:line="195" w:lineRule="exact"/>
        <w:rPr>
          <w:rFonts w:ascii="Arial" w:cs="Arial" w:eastAsia="Arial" w:hAnsi="Arial"/>
          <w:sz w:val="20"/>
          <w:szCs w:val="20"/>
          <w:color w:val="auto"/>
        </w:rPr>
      </w:pPr>
    </w:p>
    <w:p>
      <w:pPr>
        <w:ind w:left="1340" w:hanging="636"/>
        <w:spacing w:after="0"/>
        <w:tabs>
          <w:tab w:leader="none" w:pos="134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any Subsidiary of a Consolidated Company may pay cash dividends to any Credit Party;</w:t>
      </w:r>
    </w:p>
    <w:p>
      <w:pPr>
        <w:spacing w:after="0" w:line="229" w:lineRule="exact"/>
        <w:rPr>
          <w:rFonts w:ascii="Arial" w:cs="Arial" w:eastAsia="Arial" w:hAnsi="Arial"/>
          <w:sz w:val="20"/>
          <w:szCs w:val="20"/>
          <w:color w:val="auto"/>
        </w:rPr>
      </w:pPr>
    </w:p>
    <w:p>
      <w:pPr>
        <w:ind w:left="60" w:right="20" w:firstLine="644"/>
        <w:spacing w:after="0" w:line="229" w:lineRule="auto"/>
        <w:tabs>
          <w:tab w:leader="none" w:pos="1236" w:val="left"/>
        </w:tabs>
        <w:numPr>
          <w:ilvl w:val="1"/>
          <w:numId w:val="390"/>
        </w:numPr>
        <w:rPr>
          <w:rFonts w:ascii="Arial" w:cs="Arial" w:eastAsia="Arial" w:hAnsi="Arial"/>
          <w:sz w:val="20"/>
          <w:szCs w:val="20"/>
          <w:color w:val="auto"/>
        </w:rPr>
      </w:pPr>
      <w:r>
        <w:rPr>
          <w:rFonts w:ascii="Arial" w:cs="Arial" w:eastAsia="Arial" w:hAnsi="Arial"/>
          <w:sz w:val="20"/>
          <w:szCs w:val="20"/>
          <w:color w:val="auto"/>
        </w:rPr>
        <w:t>any Non-Credit Party Subsidiary may make Restricted Payments to any other Non-Credit Party Subsidiary (and, if applicable, to other holders of its outstanding Equity Interests on a ratable basis);</w:t>
      </w:r>
    </w:p>
    <w:p>
      <w:pPr>
        <w:spacing w:after="0" w:line="209" w:lineRule="exact"/>
        <w:rPr>
          <w:rFonts w:ascii="Arial" w:cs="Arial" w:eastAsia="Arial" w:hAnsi="Arial"/>
          <w:sz w:val="20"/>
          <w:szCs w:val="20"/>
          <w:color w:val="auto"/>
        </w:rPr>
      </w:pPr>
    </w:p>
    <w:p>
      <w:pPr>
        <w:jc w:val="both"/>
        <w:ind w:left="60" w:firstLine="644"/>
        <w:spacing w:after="0" w:line="235" w:lineRule="auto"/>
        <w:tabs>
          <w:tab w:leader="none" w:pos="1236" w:val="left"/>
        </w:tabs>
        <w:numPr>
          <w:ilvl w:val="1"/>
          <w:numId w:val="390"/>
        </w:numPr>
        <w:rPr>
          <w:rFonts w:ascii="Arial" w:cs="Arial" w:eastAsia="Arial" w:hAnsi="Arial"/>
          <w:sz w:val="18"/>
          <w:szCs w:val="18"/>
          <w:color w:val="auto"/>
        </w:rPr>
      </w:pPr>
      <w:r>
        <w:rPr>
          <w:rFonts w:ascii="Arial" w:cs="Arial" w:eastAsia="Arial" w:hAnsi="Arial"/>
          <w:sz w:val="18"/>
          <w:szCs w:val="18"/>
          <w:color w:val="auto"/>
        </w:rPr>
        <w:t xml:space="preserve">any Consolidated Company may declare and make Restricted Payments in an amount not to exceed the Available Amount; provided that (i) no Default or Event of Default has occurred and is continuing or would result therefrom and (ii) after giving pro forma effect to such usage and any Indebtedness incurred in connection therewith, Centuri is in compliance with </w:t>
      </w:r>
      <w:r>
        <w:rPr>
          <w:rFonts w:ascii="Arial" w:cs="Arial" w:eastAsia="Arial" w:hAnsi="Arial"/>
          <w:sz w:val="18"/>
          <w:szCs w:val="18"/>
          <w:color w:val="FF0000"/>
          <w:strike w:val="1"/>
        </w:rPr>
        <w:t>the financial covenants set forth</w:t>
      </w:r>
      <w:r>
        <w:rPr>
          <w:rFonts w:ascii="Arial" w:cs="Arial" w:eastAsia="Arial" w:hAnsi="Arial"/>
          <w:sz w:val="18"/>
          <w:szCs w:val="18"/>
          <w:color w:val="auto"/>
        </w:rPr>
        <w:t xml:space="preserve"> </w:t>
      </w:r>
      <w:r>
        <w:rPr>
          <w:rFonts w:ascii="Arial" w:cs="Arial" w:eastAsia="Arial" w:hAnsi="Arial"/>
          <w:sz w:val="18"/>
          <w:szCs w:val="18"/>
          <w:color w:val="FF0000"/>
          <w:strike w:val="1"/>
        </w:rPr>
        <w:t>in Section 9.13</w:t>
      </w:r>
      <w:r>
        <w:rPr>
          <w:rFonts w:ascii="Arial" w:cs="Arial" w:eastAsia="Arial" w:hAnsi="Arial"/>
          <w:sz w:val="18"/>
          <w:szCs w:val="18"/>
          <w:color w:val="0000FF"/>
        </w:rPr>
        <w:t>(A) a Consolidated Interest Coverage Ratio of 2.50 to 1.00 and (B) a Consolidated Net Leverage Ratio of (1) 5.50 to 1.00</w:t>
      </w:r>
      <w:r>
        <w:rPr>
          <w:rFonts w:ascii="Arial" w:cs="Arial" w:eastAsia="Arial" w:hAnsi="Arial"/>
          <w:sz w:val="18"/>
          <w:szCs w:val="18"/>
          <w:color w:val="FF0000"/>
        </w:rPr>
        <w:t xml:space="preserve"> </w:t>
      </w:r>
      <w:r>
        <w:rPr>
          <w:rFonts w:ascii="Arial" w:cs="Arial" w:eastAsia="Arial" w:hAnsi="Arial"/>
          <w:sz w:val="18"/>
          <w:szCs w:val="18"/>
          <w:color w:val="0000FF"/>
        </w:rPr>
        <w:t xml:space="preserve">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 </w:t>
      </w:r>
      <w:r>
        <w:rPr>
          <w:rFonts w:ascii="Arial" w:cs="Arial" w:eastAsia="Arial" w:hAnsi="Arial"/>
          <w:sz w:val="18"/>
          <w:szCs w:val="18"/>
          <w:color w:val="000000"/>
        </w:rPr>
        <w:t>as of the most recently ended four consecutive fiscal quarter period for which financial statements and</w:t>
      </w:r>
      <w:r>
        <w:rPr>
          <w:rFonts w:ascii="Arial" w:cs="Arial" w:eastAsia="Arial" w:hAnsi="Arial"/>
          <w:sz w:val="18"/>
          <w:szCs w:val="18"/>
          <w:color w:val="0000FF"/>
        </w:rPr>
        <w:t xml:space="preserve"> </w:t>
      </w:r>
      <w:r>
        <w:rPr>
          <w:rFonts w:ascii="Arial" w:cs="Arial" w:eastAsia="Arial" w:hAnsi="Arial"/>
          <w:sz w:val="18"/>
          <w:szCs w:val="18"/>
          <w:color w:val="000000"/>
        </w:rPr>
        <w:t>the related Officer’s Compliance Certificate have been delivered pursuant to Sections 8.1(a) or (b) and 8.2(a);</w:t>
      </w:r>
    </w:p>
    <w:p>
      <w:pPr>
        <w:spacing w:after="0" w:line="268" w:lineRule="exact"/>
        <w:rPr>
          <w:rFonts w:ascii="Arial" w:cs="Arial" w:eastAsia="Arial" w:hAnsi="Arial"/>
          <w:sz w:val="18"/>
          <w:szCs w:val="18"/>
          <w:color w:val="auto"/>
        </w:rPr>
      </w:pPr>
    </w:p>
    <w:p>
      <w:pPr>
        <w:jc w:val="both"/>
        <w:ind w:left="60" w:firstLine="644"/>
        <w:spacing w:after="0" w:line="281" w:lineRule="auto"/>
        <w:tabs>
          <w:tab w:leader="none" w:pos="1236" w:val="left"/>
        </w:tabs>
        <w:numPr>
          <w:ilvl w:val="1"/>
          <w:numId w:val="390"/>
        </w:numPr>
        <w:rPr>
          <w:rFonts w:ascii="Arial" w:cs="Arial" w:eastAsia="Arial" w:hAnsi="Arial"/>
          <w:sz w:val="16"/>
          <w:szCs w:val="16"/>
          <w:color w:val="auto"/>
        </w:rPr>
      </w:pPr>
      <w:r>
        <w:rPr>
          <w:rFonts w:ascii="Arial" w:cs="Arial" w:eastAsia="Arial" w:hAnsi="Arial"/>
          <w:sz w:val="16"/>
          <w:szCs w:val="16"/>
          <w:color w:val="auto"/>
        </w:rPr>
        <w:t>any Consolidated Company may declare and make Restricted Payments in an amount not to exceed $25,000,000 per Fiscal Year; provided that, immediately after giving pro forma effect to the making of any such Restricted Payment and any Indebtedness incurred in connection therewith, (i) no Default or Event of Default has occurred and is continuing or would result therefrom and (ii) the Consolidated Net Leverage Ratio is greater than 3.50 to 1.00 as of the most recently ended four consecutive fiscal quarter period for which financial statements and the related Officer’s Compliance Certificate have been delivered pursuant to Sections 8.1(a) or (b) and 8.2(a);</w:t>
      </w:r>
    </w:p>
    <w:p>
      <w:pPr>
        <w:spacing w:after="0" w:line="232" w:lineRule="exact"/>
        <w:rPr>
          <w:rFonts w:ascii="Arial" w:cs="Arial" w:eastAsia="Arial" w:hAnsi="Arial"/>
          <w:sz w:val="16"/>
          <w:szCs w:val="16"/>
          <w:color w:val="auto"/>
        </w:rPr>
      </w:pPr>
    </w:p>
    <w:p>
      <w:pPr>
        <w:ind w:left="60" w:firstLine="644"/>
        <w:spacing w:after="0" w:line="229" w:lineRule="auto"/>
        <w:tabs>
          <w:tab w:leader="none" w:pos="1236" w:val="left"/>
        </w:tabs>
        <w:numPr>
          <w:ilvl w:val="1"/>
          <w:numId w:val="390"/>
        </w:numPr>
        <w:rPr>
          <w:rFonts w:ascii="Arial" w:cs="Arial" w:eastAsia="Arial" w:hAnsi="Arial"/>
          <w:sz w:val="20"/>
          <w:szCs w:val="20"/>
          <w:color w:val="auto"/>
        </w:rPr>
      </w:pPr>
      <w:r>
        <w:rPr>
          <w:rFonts w:ascii="Arial" w:cs="Arial" w:eastAsia="Arial" w:hAnsi="Arial"/>
          <w:sz w:val="20"/>
          <w:szCs w:val="20"/>
          <w:color w:val="auto"/>
        </w:rPr>
        <w:t>any Consolidated Company may declare and make Restricted Payments in an aggregate amount not to exceed during the term of this Agreement the greater of (i) $50,000,000 and (ii) 2.0% of Consolidated Total Assets; and</w:t>
      </w:r>
    </w:p>
    <w:p>
      <w:pPr>
        <w:spacing w:after="0" w:line="195" w:lineRule="exact"/>
        <w:rPr>
          <w:rFonts w:ascii="Arial" w:cs="Arial" w:eastAsia="Arial" w:hAnsi="Arial"/>
          <w:sz w:val="20"/>
          <w:szCs w:val="20"/>
          <w:color w:val="auto"/>
        </w:rPr>
      </w:pPr>
    </w:p>
    <w:p>
      <w:pPr>
        <w:jc w:val="both"/>
        <w:ind w:left="60" w:firstLine="644"/>
        <w:spacing w:after="0" w:line="243" w:lineRule="auto"/>
        <w:tabs>
          <w:tab w:leader="none" w:pos="1236"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any Consolidated Company may declare and make Restricted Payments not otherwise permitted pursuant to this Section 9.6; provided that, immediately after giving pro forma effect to the making of any such Restricted Payment and any Indebtedness incurred in connection therewith,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Sections 8.1(a) or (b) and 8.2(a).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1" w:name="page222"/>
    <w:bookmarkEnd w:id="221"/>
    <w:p>
      <w:pPr>
        <w:spacing w:after="0" w:line="209"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9.7</w:t>
      </w:r>
      <w:r>
        <w:rPr>
          <w:sz w:val="20"/>
          <w:szCs w:val="20"/>
          <w:color w:val="auto"/>
        </w:rPr>
        <w:tab/>
      </w:r>
      <w:r>
        <w:rPr>
          <w:rFonts w:ascii="Arial" w:cs="Arial" w:eastAsia="Arial" w:hAnsi="Arial"/>
          <w:sz w:val="18"/>
          <w:szCs w:val="18"/>
          <w:color w:val="auto"/>
        </w:rPr>
        <w:t>Transactions with Affiliates</w:t>
      </w:r>
    </w:p>
    <w:p>
      <w:pPr>
        <w:spacing w:after="0" w:line="283" w:lineRule="exact"/>
        <w:rPr>
          <w:sz w:val="20"/>
          <w:szCs w:val="20"/>
          <w:color w:val="auto"/>
        </w:rPr>
      </w:pPr>
    </w:p>
    <w:p>
      <w:pPr>
        <w:jc w:val="both"/>
        <w:ind w:left="60" w:right="20" w:hanging="5"/>
        <w:spacing w:after="0" w:line="252" w:lineRule="auto"/>
        <w:tabs>
          <w:tab w:leader="none" w:pos="18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Centuri or any of its Subsidiaries or (b) any Affiliate of any such officer, director or holder, other than:</w:t>
      </w:r>
    </w:p>
    <w:p>
      <w:pPr>
        <w:spacing w:after="0" w:line="198" w:lineRule="exact"/>
        <w:rPr>
          <w:rFonts w:ascii="Arial" w:cs="Arial" w:eastAsia="Arial" w:hAnsi="Arial"/>
          <w:sz w:val="18"/>
          <w:szCs w:val="18"/>
          <w:color w:val="auto"/>
        </w:rPr>
      </w:pPr>
    </w:p>
    <w:p>
      <w:pPr>
        <w:ind w:left="1880" w:hanging="528"/>
        <w:spacing w:after="0"/>
        <w:tabs>
          <w:tab w:leader="none" w:pos="188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transactions permitted by Sections 9.1, 9.3, 9.4, 9.5, 9.6 and 9.9;</w:t>
      </w:r>
    </w:p>
    <w:p>
      <w:pPr>
        <w:spacing w:after="0" w:line="283" w:lineRule="exact"/>
        <w:rPr>
          <w:rFonts w:ascii="Arial" w:cs="Arial" w:eastAsia="Arial" w:hAnsi="Arial"/>
          <w:sz w:val="20"/>
          <w:szCs w:val="20"/>
          <w:color w:val="auto"/>
        </w:rPr>
      </w:pPr>
    </w:p>
    <w:p>
      <w:pPr>
        <w:ind w:left="1980" w:hanging="628"/>
        <w:spacing w:after="0"/>
        <w:tabs>
          <w:tab w:leader="none" w:pos="198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transactions existing on the Closing Date and described on Schedule 9.7;</w:t>
      </w:r>
    </w:p>
    <w:p>
      <w:pPr>
        <w:spacing w:after="0" w:line="283" w:lineRule="exact"/>
        <w:rPr>
          <w:rFonts w:ascii="Arial" w:cs="Arial" w:eastAsia="Arial" w:hAnsi="Arial"/>
          <w:sz w:val="20"/>
          <w:szCs w:val="20"/>
          <w:color w:val="auto"/>
        </w:rPr>
      </w:pPr>
    </w:p>
    <w:p>
      <w:pPr>
        <w:ind w:left="700" w:firstLine="652"/>
        <w:spacing w:after="0" w:line="229" w:lineRule="auto"/>
        <w:tabs>
          <w:tab w:leader="none" w:pos="1878" w:val="left"/>
        </w:tabs>
        <w:numPr>
          <w:ilvl w:val="1"/>
          <w:numId w:val="391"/>
        </w:numPr>
        <w:rPr>
          <w:rFonts w:ascii="Arial" w:cs="Arial" w:eastAsia="Arial" w:hAnsi="Arial"/>
          <w:sz w:val="20"/>
          <w:szCs w:val="20"/>
          <w:color w:val="auto"/>
        </w:rPr>
      </w:pPr>
      <w:r>
        <w:rPr>
          <w:rFonts w:ascii="Arial" w:cs="Arial" w:eastAsia="Arial" w:hAnsi="Arial"/>
          <w:sz w:val="20"/>
          <w:szCs w:val="20"/>
          <w:color w:val="auto"/>
        </w:rPr>
        <w:t>transactions (i) between or among US Credit Parties not involving any other Affiliate and (ii) between or among Canadian Credit Parties not involving any other Affiliate;</w:t>
      </w:r>
    </w:p>
    <w:p>
      <w:pPr>
        <w:spacing w:after="0" w:line="195" w:lineRule="exact"/>
        <w:rPr>
          <w:rFonts w:ascii="Arial" w:cs="Arial" w:eastAsia="Arial" w:hAnsi="Arial"/>
          <w:sz w:val="20"/>
          <w:szCs w:val="20"/>
          <w:color w:val="auto"/>
        </w:rPr>
      </w:pPr>
    </w:p>
    <w:p>
      <w:pPr>
        <w:jc w:val="both"/>
        <w:ind w:left="700" w:right="20" w:firstLine="652"/>
        <w:spacing w:after="0" w:line="227" w:lineRule="auto"/>
        <w:tabs>
          <w:tab w:leader="none" w:pos="1876" w:val="left"/>
        </w:tabs>
        <w:numPr>
          <w:ilvl w:val="1"/>
          <w:numId w:val="391"/>
        </w:numPr>
        <w:rPr>
          <w:rFonts w:ascii="Arial" w:cs="Arial" w:eastAsia="Arial" w:hAnsi="Arial"/>
          <w:sz w:val="20"/>
          <w:szCs w:val="20"/>
          <w:color w:val="auto"/>
        </w:rPr>
      </w:pPr>
      <w:r>
        <w:rPr>
          <w:rFonts w:ascii="Arial" w:cs="Arial" w:eastAsia="Arial" w:hAnsi="Arial"/>
          <w:sz w:val="20"/>
          <w:szCs w:val="20"/>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197" w:lineRule="exact"/>
        <w:rPr>
          <w:rFonts w:ascii="Arial" w:cs="Arial" w:eastAsia="Arial" w:hAnsi="Arial"/>
          <w:sz w:val="20"/>
          <w:szCs w:val="20"/>
          <w:color w:val="auto"/>
        </w:rPr>
      </w:pPr>
    </w:p>
    <w:p>
      <w:pPr>
        <w:ind w:left="700" w:right="20" w:firstLine="652"/>
        <w:spacing w:after="0" w:line="236" w:lineRule="auto"/>
        <w:tabs>
          <w:tab w:leader="none" w:pos="1878" w:val="left"/>
        </w:tabs>
        <w:numPr>
          <w:ilvl w:val="1"/>
          <w:numId w:val="391"/>
        </w:numPr>
        <w:rPr>
          <w:rFonts w:ascii="Arial" w:cs="Arial" w:eastAsia="Arial" w:hAnsi="Arial"/>
          <w:sz w:val="20"/>
          <w:szCs w:val="20"/>
          <w:color w:val="auto"/>
        </w:rPr>
      </w:pPr>
      <w:r>
        <w:rPr>
          <w:rFonts w:ascii="Arial" w:cs="Arial" w:eastAsia="Arial" w:hAnsi="Arial"/>
          <w:sz w:val="20"/>
          <w:szCs w:val="20"/>
          <w:color w:val="auto"/>
        </w:rPr>
        <w:t>employment and severance arrangements (including equity incentive plans and employee benefit plans and arrangements) with their respective officers and employees in the ordinary course of business;</w:t>
      </w:r>
    </w:p>
    <w:p>
      <w:pPr>
        <w:spacing w:after="0" w:line="195" w:lineRule="exact"/>
        <w:rPr>
          <w:rFonts w:ascii="Arial" w:cs="Arial" w:eastAsia="Arial" w:hAnsi="Arial"/>
          <w:sz w:val="20"/>
          <w:szCs w:val="20"/>
          <w:color w:val="auto"/>
        </w:rPr>
      </w:pPr>
    </w:p>
    <w:p>
      <w:pPr>
        <w:jc w:val="both"/>
        <w:ind w:left="700" w:right="20" w:firstLine="652"/>
        <w:spacing w:after="0" w:line="223" w:lineRule="auto"/>
        <w:tabs>
          <w:tab w:leader="none" w:pos="1883" w:val="left"/>
        </w:tabs>
        <w:numPr>
          <w:ilvl w:val="1"/>
          <w:numId w:val="391"/>
        </w:numPr>
        <w:rPr>
          <w:rFonts w:ascii="Arial" w:cs="Arial" w:eastAsia="Arial" w:hAnsi="Arial"/>
          <w:sz w:val="20"/>
          <w:szCs w:val="20"/>
          <w:color w:val="auto"/>
        </w:rPr>
      </w:pPr>
      <w:r>
        <w:rPr>
          <w:rFonts w:ascii="Arial" w:cs="Arial" w:eastAsia="Arial" w:hAnsi="Arial"/>
          <w:sz w:val="20"/>
          <w:szCs w:val="20"/>
          <w:color w:val="auto"/>
        </w:rPr>
        <w:t>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209" w:lineRule="exact"/>
        <w:rPr>
          <w:rFonts w:ascii="Arial" w:cs="Arial" w:eastAsia="Arial" w:hAnsi="Arial"/>
          <w:sz w:val="20"/>
          <w:szCs w:val="20"/>
          <w:color w:val="auto"/>
        </w:rPr>
      </w:pPr>
    </w:p>
    <w:p>
      <w:pPr>
        <w:jc w:val="both"/>
        <w:ind w:left="700" w:right="20" w:firstLine="652"/>
        <w:spacing w:after="0" w:line="223" w:lineRule="auto"/>
        <w:tabs>
          <w:tab w:leader="none" w:pos="1876" w:val="left"/>
        </w:tabs>
        <w:numPr>
          <w:ilvl w:val="1"/>
          <w:numId w:val="391"/>
        </w:numPr>
        <w:rPr>
          <w:rFonts w:ascii="Arial" w:cs="Arial" w:eastAsia="Arial" w:hAnsi="Arial"/>
          <w:sz w:val="20"/>
          <w:szCs w:val="20"/>
          <w:color w:val="auto"/>
        </w:rPr>
      </w:pPr>
      <w:r>
        <w:rPr>
          <w:rFonts w:ascii="Arial" w:cs="Arial" w:eastAsia="Arial" w:hAnsi="Arial"/>
          <w:sz w:val="20"/>
          <w:szCs w:val="20"/>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95" w:lineRule="exact"/>
        <w:rPr>
          <w:rFonts w:ascii="Arial" w:cs="Arial" w:eastAsia="Arial" w:hAnsi="Arial"/>
          <w:sz w:val="20"/>
          <w:szCs w:val="20"/>
          <w:color w:val="auto"/>
        </w:rPr>
      </w:pPr>
    </w:p>
    <w:p>
      <w:pPr>
        <w:ind w:left="700" w:firstLine="652"/>
        <w:spacing w:after="0" w:line="236" w:lineRule="auto"/>
        <w:tabs>
          <w:tab w:leader="none" w:pos="1876" w:val="left"/>
        </w:tabs>
        <w:numPr>
          <w:ilvl w:val="1"/>
          <w:numId w:val="391"/>
        </w:numPr>
        <w:rPr>
          <w:rFonts w:ascii="Arial" w:cs="Arial" w:eastAsia="Arial" w:hAnsi="Arial"/>
          <w:sz w:val="20"/>
          <w:szCs w:val="20"/>
          <w:color w:val="auto"/>
        </w:rPr>
      </w:pPr>
      <w:r>
        <w:rPr>
          <w:rFonts w:ascii="Arial" w:cs="Arial" w:eastAsia="Arial" w:hAnsi="Arial"/>
          <w:sz w:val="20"/>
          <w:szCs w:val="20"/>
          <w:color w:val="auto"/>
        </w:rPr>
        <w:t>customary overhead allocations and intercompany charges applied by Centuri on a consistent basis to its Subsidiaries generally.</w:t>
      </w:r>
    </w:p>
    <w:p>
      <w:pPr>
        <w:spacing w:after="0" w:line="196"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20"/>
          <w:szCs w:val="20"/>
          <w:color w:val="auto"/>
        </w:rPr>
        <w:t>SECTION 9.8</w:t>
      </w:r>
      <w:r>
        <w:rPr>
          <w:sz w:val="20"/>
          <w:szCs w:val="20"/>
          <w:color w:val="auto"/>
        </w:rPr>
        <w:tab/>
      </w:r>
      <w:r>
        <w:rPr>
          <w:rFonts w:ascii="Arial" w:cs="Arial" w:eastAsia="Arial" w:hAnsi="Arial"/>
          <w:sz w:val="18"/>
          <w:szCs w:val="18"/>
          <w:color w:val="auto"/>
        </w:rPr>
        <w:t>Accounting Changes; Organizational Documents.</w:t>
      </w:r>
    </w:p>
    <w:p>
      <w:pPr>
        <w:spacing w:after="0" w:line="283" w:lineRule="exact"/>
        <w:rPr>
          <w:sz w:val="20"/>
          <w:szCs w:val="20"/>
          <w:color w:val="auto"/>
        </w:rPr>
      </w:pPr>
    </w:p>
    <w:p>
      <w:pPr>
        <w:ind w:left="60" w:right="20" w:firstLine="644"/>
        <w:spacing w:after="0" w:line="236" w:lineRule="auto"/>
        <w:tabs>
          <w:tab w:leader="none" w:pos="1236" w:val="left"/>
        </w:tabs>
        <w:numPr>
          <w:ilvl w:val="0"/>
          <w:numId w:val="392"/>
        </w:numPr>
        <w:rPr>
          <w:rFonts w:ascii="Arial" w:cs="Arial" w:eastAsia="Arial" w:hAnsi="Arial"/>
          <w:sz w:val="20"/>
          <w:szCs w:val="20"/>
          <w:color w:val="auto"/>
        </w:rPr>
      </w:pPr>
      <w:r>
        <w:rPr>
          <w:rFonts w:ascii="Arial" w:cs="Arial" w:eastAsia="Arial" w:hAnsi="Arial"/>
          <w:sz w:val="20"/>
          <w:szCs w:val="20"/>
          <w:color w:val="auto"/>
        </w:rPr>
        <w:t>Change its Fiscal Year end, or make (without the consent of the Administrative Agent) any material change in its accounting treatment and reporting practices except as required by GAAP.</w:t>
      </w:r>
    </w:p>
    <w:p>
      <w:pPr>
        <w:spacing w:after="0" w:line="195" w:lineRule="exact"/>
        <w:rPr>
          <w:rFonts w:ascii="Arial" w:cs="Arial" w:eastAsia="Arial" w:hAnsi="Arial"/>
          <w:sz w:val="20"/>
          <w:szCs w:val="20"/>
          <w:color w:val="auto"/>
        </w:rPr>
      </w:pPr>
    </w:p>
    <w:p>
      <w:pPr>
        <w:jc w:val="both"/>
        <w:ind w:left="60" w:firstLine="644"/>
        <w:spacing w:after="0" w:line="223" w:lineRule="auto"/>
        <w:tabs>
          <w:tab w:leader="none" w:pos="1236" w:val="left"/>
        </w:tabs>
        <w:numPr>
          <w:ilvl w:val="0"/>
          <w:numId w:val="392"/>
        </w:numPr>
        <w:rPr>
          <w:rFonts w:ascii="Arial" w:cs="Arial" w:eastAsia="Arial" w:hAnsi="Arial"/>
          <w:sz w:val="20"/>
          <w:szCs w:val="20"/>
          <w:color w:val="auto"/>
        </w:rPr>
      </w:pPr>
      <w:r>
        <w:rPr>
          <w:rFonts w:ascii="Arial" w:cs="Arial" w:eastAsia="Arial" w:hAnsi="Arial"/>
          <w:sz w:val="20"/>
          <w:szCs w:val="20"/>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209"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20"/>
          <w:szCs w:val="20"/>
          <w:color w:val="auto"/>
        </w:rPr>
        <w:t>SECTION 9.9</w:t>
      </w:r>
      <w:r>
        <w:rPr>
          <w:sz w:val="20"/>
          <w:szCs w:val="20"/>
          <w:color w:val="auto"/>
        </w:rPr>
        <w:tab/>
      </w:r>
      <w:r>
        <w:rPr>
          <w:rFonts w:ascii="Arial" w:cs="Arial" w:eastAsia="Arial" w:hAnsi="Arial"/>
          <w:sz w:val="16"/>
          <w:szCs w:val="16"/>
          <w:color w:val="auto"/>
        </w:rPr>
        <w:t>Payments and Modifications of Junior Indebtedness.</w:t>
      </w:r>
    </w:p>
    <w:p>
      <w:pPr>
        <w:spacing w:after="0" w:line="270" w:lineRule="exact"/>
        <w:rPr>
          <w:sz w:val="20"/>
          <w:szCs w:val="20"/>
          <w:color w:val="auto"/>
        </w:rPr>
      </w:pPr>
    </w:p>
    <w:p>
      <w:pPr>
        <w:jc w:val="both"/>
        <w:ind w:left="60" w:firstLine="644"/>
        <w:spacing w:after="0" w:line="227" w:lineRule="auto"/>
        <w:tabs>
          <w:tab w:leader="none" w:pos="1236" w:val="left"/>
        </w:tabs>
        <w:numPr>
          <w:ilvl w:val="0"/>
          <w:numId w:val="393"/>
        </w:numPr>
        <w:rPr>
          <w:rFonts w:ascii="Arial" w:cs="Arial" w:eastAsia="Arial" w:hAnsi="Arial"/>
          <w:sz w:val="20"/>
          <w:szCs w:val="20"/>
          <w:color w:val="auto"/>
        </w:rPr>
      </w:pPr>
      <w:r>
        <w:rPr>
          <w:rFonts w:ascii="Arial" w:cs="Arial" w:eastAsia="Arial" w:hAnsi="Arial"/>
          <w:sz w:val="20"/>
          <w:szCs w:val="20"/>
          <w:color w:val="auto"/>
        </w:rPr>
        <w:t>Amend, modify, waive or supplement (or permit the modification, amendment, waiver or supplement of) any of the terms or provisions of any Junior Indebtedness in any respect which would materially and adversely affect the rights or interests of the Administrative Agent and Lenders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2" w:name="page223"/>
    <w:bookmarkEnd w:id="222"/>
    <w:p>
      <w:pPr>
        <w:spacing w:after="0" w:line="209" w:lineRule="exact"/>
        <w:rPr>
          <w:sz w:val="20"/>
          <w:szCs w:val="20"/>
          <w:color w:val="auto"/>
        </w:rPr>
      </w:pPr>
    </w:p>
    <w:p>
      <w:pPr>
        <w:jc w:val="both"/>
        <w:ind w:left="60" w:firstLine="644"/>
        <w:spacing w:after="0" w:line="223" w:lineRule="auto"/>
        <w:tabs>
          <w:tab w:leader="none" w:pos="1236" w:val="left"/>
        </w:tabs>
        <w:numPr>
          <w:ilvl w:val="0"/>
          <w:numId w:val="394"/>
        </w:numPr>
        <w:rPr>
          <w:rFonts w:ascii="Arial" w:cs="Arial" w:eastAsia="Arial" w:hAnsi="Arial"/>
          <w:sz w:val="20"/>
          <w:szCs w:val="20"/>
          <w:color w:val="auto"/>
        </w:rPr>
      </w:pPr>
      <w:r>
        <w:rPr>
          <w:rFonts w:ascii="Arial" w:cs="Arial" w:eastAsia="Arial" w:hAnsi="Arial"/>
          <w:sz w:val="20"/>
          <w:szCs w:val="20"/>
          <w:color w:val="auto"/>
        </w:rPr>
        <w:t>Cancel, forgive, make any payment or prepayment on, or redeem or acquire for value (including, without limitation, (i) by way of depositing with any trustee with respect thereto money or securities before due for the purpose of paying when due and (ii) at the maturity thereof) any Junior Indebtedness, except:</w:t>
      </w:r>
    </w:p>
    <w:p>
      <w:pPr>
        <w:spacing w:after="0" w:line="209" w:lineRule="exact"/>
        <w:rPr>
          <w:rFonts w:ascii="Arial" w:cs="Arial" w:eastAsia="Arial" w:hAnsi="Arial"/>
          <w:sz w:val="20"/>
          <w:szCs w:val="20"/>
          <w:color w:val="auto"/>
        </w:rPr>
      </w:pPr>
    </w:p>
    <w:p>
      <w:pPr>
        <w:ind w:left="700" w:right="20" w:firstLine="652"/>
        <w:spacing w:after="0" w:line="229" w:lineRule="auto"/>
        <w:tabs>
          <w:tab w:leader="none" w:pos="1878" w:val="left"/>
        </w:tabs>
        <w:numPr>
          <w:ilvl w:val="1"/>
          <w:numId w:val="394"/>
        </w:numPr>
        <w:rPr>
          <w:rFonts w:ascii="Arial" w:cs="Arial" w:eastAsia="Arial" w:hAnsi="Arial"/>
          <w:sz w:val="20"/>
          <w:szCs w:val="20"/>
          <w:color w:val="auto"/>
        </w:rPr>
      </w:pPr>
      <w:r>
        <w:rPr>
          <w:rFonts w:ascii="Arial" w:cs="Arial" w:eastAsia="Arial" w:hAnsi="Arial"/>
          <w:sz w:val="20"/>
          <w:szCs w:val="20"/>
          <w:color w:val="auto"/>
        </w:rPr>
        <w:t>refinancings, refundings, renewals, extensions or exchange of any Junior Indebtedness permitted pursuant to Section 9.1 and by any subordination agreement applicable thereto; and</w:t>
      </w:r>
    </w:p>
    <w:p>
      <w:pPr>
        <w:spacing w:after="0" w:line="209" w:lineRule="exact"/>
        <w:rPr>
          <w:rFonts w:ascii="Arial" w:cs="Arial" w:eastAsia="Arial" w:hAnsi="Arial"/>
          <w:sz w:val="20"/>
          <w:szCs w:val="20"/>
          <w:color w:val="auto"/>
        </w:rPr>
      </w:pPr>
    </w:p>
    <w:p>
      <w:pPr>
        <w:ind w:left="700" w:right="20" w:firstLine="652"/>
        <w:spacing w:after="0" w:line="229" w:lineRule="auto"/>
        <w:tabs>
          <w:tab w:leader="none" w:pos="1876" w:val="left"/>
        </w:tabs>
        <w:numPr>
          <w:ilvl w:val="1"/>
          <w:numId w:val="394"/>
        </w:numPr>
        <w:rPr>
          <w:rFonts w:ascii="Arial" w:cs="Arial" w:eastAsia="Arial" w:hAnsi="Arial"/>
          <w:sz w:val="20"/>
          <w:szCs w:val="20"/>
          <w:color w:val="auto"/>
        </w:rPr>
      </w:pPr>
      <w:r>
        <w:rPr>
          <w:rFonts w:ascii="Arial" w:cs="Arial" w:eastAsia="Arial" w:hAnsi="Arial"/>
          <w:sz w:val="20"/>
          <w:szCs w:val="20"/>
          <w:color w:val="auto"/>
        </w:rPr>
        <w:t>the payment of interest, expenses and indemnities in respect of Junior Indebtedness (other than any such payments prohibited by the subordination provisions thereof);</w:t>
      </w:r>
    </w:p>
    <w:p>
      <w:pPr>
        <w:spacing w:after="0" w:line="209" w:lineRule="exact"/>
        <w:rPr>
          <w:rFonts w:ascii="Arial" w:cs="Arial" w:eastAsia="Arial" w:hAnsi="Arial"/>
          <w:sz w:val="20"/>
          <w:szCs w:val="20"/>
          <w:color w:val="auto"/>
        </w:rPr>
      </w:pPr>
    </w:p>
    <w:p>
      <w:pPr>
        <w:jc w:val="both"/>
        <w:ind w:left="60" w:firstLine="643"/>
        <w:spacing w:after="0" w:line="235" w:lineRule="auto"/>
        <w:tabs>
          <w:tab w:leader="none" w:pos="123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payments and prepayments of any Junior Indebtedness in an amount not to exceed the Available Amount; provided that (i) no Default or Event of Default has occurred and is continuing or would result therefrom and (ii) after giving pro forma effect to such usage and any Indebtedness incurred in connection therewith, Centuri is in compliance with </w:t>
      </w:r>
      <w:r>
        <w:rPr>
          <w:rFonts w:ascii="Arial" w:cs="Arial" w:eastAsia="Arial" w:hAnsi="Arial"/>
          <w:sz w:val="18"/>
          <w:szCs w:val="18"/>
          <w:color w:val="FF0000"/>
          <w:strike w:val="1"/>
        </w:rPr>
        <w:t>the financial covenants set forth in Section 9.13</w:t>
      </w:r>
      <w:r>
        <w:rPr>
          <w:rFonts w:ascii="Arial" w:cs="Arial" w:eastAsia="Arial" w:hAnsi="Arial"/>
          <w:sz w:val="18"/>
          <w:szCs w:val="18"/>
          <w:color w:val="0000FF"/>
        </w:rPr>
        <w:t>(A) a</w:t>
      </w:r>
      <w:r>
        <w:rPr>
          <w:rFonts w:ascii="Arial" w:cs="Arial" w:eastAsia="Arial" w:hAnsi="Arial"/>
          <w:sz w:val="18"/>
          <w:szCs w:val="18"/>
          <w:color w:val="auto"/>
        </w:rPr>
        <w:t xml:space="preserve"> </w:t>
      </w:r>
      <w:r>
        <w:rPr>
          <w:rFonts w:ascii="Arial" w:cs="Arial" w:eastAsia="Arial" w:hAnsi="Arial"/>
          <w:sz w:val="18"/>
          <w:szCs w:val="18"/>
          <w:color w:val="0000FF"/>
        </w:rPr>
        <w:t xml:space="preserve">Consolidated Interest Coverage Ratio of 2.50 to 1.00 and (B) a Consolidated Net Leverage Ratio of (1) 5.50 to 1.00 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 </w:t>
      </w:r>
      <w:r>
        <w:rPr>
          <w:rFonts w:ascii="Arial" w:cs="Arial" w:eastAsia="Arial" w:hAnsi="Arial"/>
          <w:sz w:val="18"/>
          <w:szCs w:val="18"/>
          <w:color w:val="000000"/>
        </w:rPr>
        <w:t>as of the most recently ended four consecutive fiscal quarter period for which financial statements and the related</w:t>
      </w:r>
      <w:r>
        <w:rPr>
          <w:rFonts w:ascii="Arial" w:cs="Arial" w:eastAsia="Arial" w:hAnsi="Arial"/>
          <w:sz w:val="18"/>
          <w:szCs w:val="18"/>
          <w:color w:val="0000FF"/>
        </w:rPr>
        <w:t xml:space="preserve"> </w:t>
      </w:r>
      <w:r>
        <w:rPr>
          <w:rFonts w:ascii="Arial" w:cs="Arial" w:eastAsia="Arial" w:hAnsi="Arial"/>
          <w:sz w:val="18"/>
          <w:szCs w:val="18"/>
          <w:color w:val="000000"/>
        </w:rPr>
        <w:t>Officer’s Compliance Certificate have been delivered pursuant to Sections 8.1(a) or (b) and 8.2(a); and</w:t>
      </w:r>
    </w:p>
    <w:p>
      <w:pPr>
        <w:spacing w:after="0" w:line="268" w:lineRule="exact"/>
        <w:rPr>
          <w:rFonts w:ascii="Arial" w:cs="Arial" w:eastAsia="Arial" w:hAnsi="Arial"/>
          <w:sz w:val="18"/>
          <w:szCs w:val="18"/>
          <w:color w:val="auto"/>
        </w:rPr>
      </w:pPr>
    </w:p>
    <w:p>
      <w:pPr>
        <w:jc w:val="both"/>
        <w:ind w:left="60" w:firstLine="644"/>
        <w:spacing w:after="0" w:line="243" w:lineRule="auto"/>
        <w:tabs>
          <w:tab w:leader="none" w:pos="123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payments and prepayments of any Junior Indebtedness not otherwise permitted pursuant to this Section 9.9; provided that, immediately before and immediately after giving pro forma effect to the making of any such payment and any Indebtedness incurred in connection therewith, (A) no Default or Event of Default shall have occurred and be continuing and (B) the Consolidated Net Leverage Ratio is less than or equal to 3.50 to 1.00 as of the most recently ended four consecutive fiscal quarter period for which financial statements and the related Officer’s Compliance Certificate have been delivered pursuant to Sections 8.1(a) or (b) and 8.2(a).</w:t>
      </w:r>
    </w:p>
    <w:p>
      <w:pPr>
        <w:spacing w:after="0" w:line="262"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9.10</w:t>
      </w:r>
      <w:r>
        <w:rPr>
          <w:sz w:val="20"/>
          <w:szCs w:val="20"/>
          <w:color w:val="auto"/>
        </w:rPr>
        <w:tab/>
      </w:r>
      <w:r>
        <w:rPr>
          <w:rFonts w:ascii="Arial" w:cs="Arial" w:eastAsia="Arial" w:hAnsi="Arial"/>
          <w:sz w:val="16"/>
          <w:szCs w:val="16"/>
          <w:color w:val="auto"/>
        </w:rPr>
        <w:t>No Further Negative Pledges; Restrictive Agreements.</w:t>
      </w:r>
    </w:p>
    <w:p>
      <w:pPr>
        <w:spacing w:after="0" w:line="283" w:lineRule="exact"/>
        <w:rPr>
          <w:sz w:val="20"/>
          <w:szCs w:val="20"/>
          <w:color w:val="auto"/>
        </w:rPr>
      </w:pPr>
    </w:p>
    <w:p>
      <w:pPr>
        <w:jc w:val="both"/>
        <w:ind w:left="60" w:firstLine="644"/>
        <w:spacing w:after="0" w:line="234" w:lineRule="auto"/>
        <w:tabs>
          <w:tab w:leader="none" w:pos="123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Section 9.1(c), (d) or (i) (provided that any such restriction contained therein relates only to the asset or assets acquired in connection therewith and proceeds thereof), (iii) restrictions contained in the organizational documents of any Subsidiary that is not a Subsidiary Guarantor as of the Closing Date, (iv) customary restrictions in connection with any Permitted Lien or any document or instrument governing any Permitted Lien (provided that any such restriction contained therein relates only to the asset or assets subject to such Permitted Lien and proceeds thereof) and (v) restrictions contained in Permitted Receivables Transaction Documents (provided that such restrictions and conditions apply solely to (A) Receivables Assets involved in such Permitted Receivables Transaction and (B) any applicable Receivables Subsidiary).</w:t>
      </w:r>
    </w:p>
    <w:p>
      <w:pPr>
        <w:spacing w:after="0" w:line="209" w:lineRule="exact"/>
        <w:rPr>
          <w:rFonts w:ascii="Arial" w:cs="Arial" w:eastAsia="Arial" w:hAnsi="Arial"/>
          <w:sz w:val="18"/>
          <w:szCs w:val="18"/>
          <w:color w:val="auto"/>
        </w:rPr>
      </w:pPr>
    </w:p>
    <w:p>
      <w:pPr>
        <w:jc w:val="both"/>
        <w:ind w:left="60" w:firstLine="644"/>
        <w:spacing w:after="0" w:line="223" w:lineRule="auto"/>
        <w:tabs>
          <w:tab w:leader="none" w:pos="1236" w:val="left"/>
        </w:tabs>
        <w:numPr>
          <w:ilvl w:val="0"/>
          <w:numId w:val="395"/>
        </w:numPr>
        <w:rPr>
          <w:rFonts w:ascii="Arial" w:cs="Arial" w:eastAsia="Arial" w:hAnsi="Arial"/>
          <w:sz w:val="20"/>
          <w:szCs w:val="20"/>
          <w:color w:val="auto"/>
        </w:rPr>
      </w:pPr>
      <w:r>
        <w:rPr>
          <w:rFonts w:ascii="Arial" w:cs="Arial" w:eastAsia="Arial" w:hAnsi="Arial"/>
          <w:sz w:val="20"/>
          <w:szCs w:val="20"/>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3" w:name="page224"/>
    <w:bookmarkEnd w:id="223"/>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any other interest or participation in, or measured by, its profits, (ii) pay any Indebtedness or other obligation owed to any Credit Party,</w:t>
      </w:r>
    </w:p>
    <w:p>
      <w:pPr>
        <w:spacing w:after="0" w:line="12" w:lineRule="exact"/>
        <w:rPr>
          <w:sz w:val="20"/>
          <w:szCs w:val="20"/>
          <w:color w:val="auto"/>
        </w:rPr>
      </w:pPr>
    </w:p>
    <w:p>
      <w:pPr>
        <w:jc w:val="both"/>
        <w:ind w:left="60" w:hanging="5"/>
        <w:spacing w:after="0" w:line="229" w:lineRule="auto"/>
        <w:tabs>
          <w:tab w:leader="none" w:pos="41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 (B) Applicable Law, (C) any document or instrument governing Indebtedness incurred pursuant to Section 9.1(c), (d) or (i) (provided, that any such restriction contained therein relates only to the asset or assets acquired in connection therewith and proceeds thereof), (D) any Permitted Lien or any document or instrument governing any Permitted Lien (provided, that any such restriction contained therein relates only to the asset or assets subject to such Permitted Lien), (E) obligations that are binding on a Subsidiary 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Section 9.5) that limit the transfer of such Property or Equity Interests of such Subsidiary pending the consummation of such sale,</w:t>
      </w:r>
    </w:p>
    <w:p>
      <w:pPr>
        <w:spacing w:after="0" w:line="1" w:lineRule="exact"/>
        <w:rPr>
          <w:sz w:val="20"/>
          <w:szCs w:val="20"/>
          <w:color w:val="auto"/>
        </w:rPr>
      </w:pPr>
    </w:p>
    <w:p>
      <w:pPr>
        <w:jc w:val="both"/>
        <w:ind w:left="60" w:hanging="4"/>
        <w:spacing w:after="0" w:line="215" w:lineRule="auto"/>
        <w:tabs>
          <w:tab w:leader="none" w:pos="588" w:val="left"/>
        </w:tabs>
        <w:numPr>
          <w:ilvl w:val="0"/>
          <w:numId w:val="397"/>
        </w:numPr>
        <w:rPr>
          <w:rFonts w:ascii="Arial" w:cs="Arial" w:eastAsia="Arial" w:hAnsi="Arial"/>
          <w:sz w:val="20"/>
          <w:szCs w:val="20"/>
          <w:color w:val="auto"/>
        </w:rPr>
      </w:pPr>
      <w:r>
        <w:rPr>
          <w:rFonts w:ascii="Arial" w:cs="Arial" w:eastAsia="Arial" w:hAnsi="Arial"/>
          <w:sz w:val="20"/>
          <w:szCs w:val="20"/>
          <w:color w:val="auto"/>
        </w:rPr>
        <w:t>customary restrictions in leases, subleases, licenses and sublicenses or asset sale agreements otherwise permitted by this Agreement so long as such restrictions relate only to the assets subject thereto, (H) customary provisions restricting assignment of any agreement entered into in the ordinary course of business and (I) restrictions contained in Permitted Receivables Transaction Documents (provided that such restrictions and conditions apply solely to (x) Receivables Assets involved in such Permitted Receivables Transaction and (y) any applicable Receivables Subsidiary).</w:t>
      </w:r>
    </w:p>
    <w:p>
      <w:pPr>
        <w:spacing w:after="0" w:line="196"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9.11</w:t>
      </w:r>
      <w:r>
        <w:rPr>
          <w:sz w:val="20"/>
          <w:szCs w:val="20"/>
          <w:color w:val="auto"/>
        </w:rPr>
        <w:tab/>
      </w:r>
      <w:r>
        <w:rPr>
          <w:rFonts w:ascii="Arial" w:cs="Arial" w:eastAsia="Arial" w:hAnsi="Arial"/>
          <w:sz w:val="16"/>
          <w:szCs w:val="16"/>
          <w:color w:val="auto"/>
        </w:rPr>
        <w:t>Nature of Business</w:t>
      </w:r>
    </w:p>
    <w:p>
      <w:pPr>
        <w:spacing w:after="0" w:line="283" w:lineRule="exact"/>
        <w:rPr>
          <w:sz w:val="20"/>
          <w:szCs w:val="20"/>
          <w:color w:val="auto"/>
        </w:rPr>
      </w:pPr>
    </w:p>
    <w:p>
      <w:pPr>
        <w:ind w:left="60" w:right="160" w:hanging="4"/>
        <w:spacing w:after="0" w:line="236" w:lineRule="auto"/>
        <w:tabs>
          <w:tab w:leader="none" w:pos="159" w:val="left"/>
        </w:tabs>
        <w:numPr>
          <w:ilvl w:val="0"/>
          <w:numId w:val="398"/>
        </w:numPr>
        <w:rPr>
          <w:rFonts w:ascii="Arial" w:cs="Arial" w:eastAsia="Arial" w:hAnsi="Arial"/>
          <w:sz w:val="20"/>
          <w:szCs w:val="20"/>
          <w:color w:val="auto"/>
        </w:rPr>
      </w:pPr>
      <w:r>
        <w:rPr>
          <w:rFonts w:ascii="Arial" w:cs="Arial" w:eastAsia="Arial" w:hAnsi="Arial"/>
          <w:sz w:val="20"/>
          <w:szCs w:val="20"/>
          <w:color w:val="auto"/>
        </w:rPr>
        <w:t>Engage in any business other than the business conducted by the Consolidated Companies as of the Closing Date and business activities reasonably related or ancillary thereto.</w:t>
      </w:r>
    </w:p>
    <w:p>
      <w:pPr>
        <w:spacing w:after="0" w:line="19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9.12</w:t>
      </w:r>
      <w:r>
        <w:rPr>
          <w:sz w:val="20"/>
          <w:szCs w:val="20"/>
          <w:color w:val="auto"/>
        </w:rPr>
        <w:tab/>
      </w:r>
      <w:r>
        <w:rPr>
          <w:rFonts w:ascii="Arial" w:cs="Arial" w:eastAsia="Arial" w:hAnsi="Arial"/>
          <w:sz w:val="16"/>
          <w:szCs w:val="16"/>
          <w:color w:val="auto"/>
        </w:rPr>
        <w:t>Sale Leasebacks</w:t>
      </w:r>
    </w:p>
    <w:p>
      <w:pPr>
        <w:spacing w:after="0" w:line="283" w:lineRule="exact"/>
        <w:rPr>
          <w:sz w:val="20"/>
          <w:szCs w:val="20"/>
          <w:color w:val="auto"/>
        </w:rPr>
      </w:pPr>
    </w:p>
    <w:p>
      <w:pPr>
        <w:jc w:val="both"/>
        <w:ind w:left="60" w:hanging="4"/>
        <w:spacing w:after="0" w:line="223" w:lineRule="auto"/>
        <w:tabs>
          <w:tab w:leader="none" w:pos="174" w:val="left"/>
        </w:tabs>
        <w:numPr>
          <w:ilvl w:val="0"/>
          <w:numId w:val="399"/>
        </w:numPr>
        <w:rPr>
          <w:rFonts w:ascii="Arial" w:cs="Arial" w:eastAsia="Arial" w:hAnsi="Arial"/>
          <w:sz w:val="19"/>
          <w:szCs w:val="19"/>
          <w:color w:val="auto"/>
        </w:rPr>
      </w:pPr>
      <w:r>
        <w:rPr>
          <w:rFonts w:ascii="Arial" w:cs="Arial" w:eastAsia="Arial" w:hAnsi="Arial"/>
          <w:sz w:val="19"/>
          <w:szCs w:val="19"/>
          <w:color w:val="auto"/>
        </w:rPr>
        <w:t>Directly or indirectly become or remain liable as lessee or as guarantor or other surety with respect to any lease, whether an operating lease or a Capital Lease Obligation,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 (i) any transaction with respect to Property that is not Collateral, and (ii) any transaction pursuant to which any Indebtedness incurred in connection therewith, the Liens securing such Indebtedness and the Asset Disposition related thereto are otherwise expressly permitted pursuant to Sections 9.1, 9.2 and 9.5, respectively.</w:t>
      </w:r>
    </w:p>
    <w:p>
      <w:pPr>
        <w:spacing w:after="0" w:line="265"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9.13</w:t>
      </w:r>
      <w:r>
        <w:rPr>
          <w:sz w:val="20"/>
          <w:szCs w:val="20"/>
          <w:color w:val="auto"/>
        </w:rPr>
        <w:tab/>
      </w:r>
      <w:r>
        <w:rPr>
          <w:rFonts w:ascii="Arial" w:cs="Arial" w:eastAsia="Arial" w:hAnsi="Arial"/>
          <w:sz w:val="16"/>
          <w:szCs w:val="16"/>
          <w:color w:val="auto"/>
        </w:rPr>
        <w:t>Financial Covenants.</w:t>
      </w:r>
    </w:p>
    <w:p>
      <w:pPr>
        <w:spacing w:after="0" w:line="283" w:lineRule="exact"/>
        <w:rPr>
          <w:sz w:val="20"/>
          <w:szCs w:val="20"/>
          <w:color w:val="auto"/>
        </w:rPr>
      </w:pPr>
    </w:p>
    <w:p>
      <w:pPr>
        <w:ind w:left="60" w:right="20" w:firstLine="644"/>
        <w:spacing w:after="0" w:line="229" w:lineRule="auto"/>
        <w:tabs>
          <w:tab w:leader="none" w:pos="1238" w:val="left"/>
        </w:tabs>
        <w:numPr>
          <w:ilvl w:val="0"/>
          <w:numId w:val="400"/>
        </w:numPr>
        <w:rPr>
          <w:rFonts w:ascii="Arial" w:cs="Arial" w:eastAsia="Arial" w:hAnsi="Arial"/>
          <w:sz w:val="20"/>
          <w:szCs w:val="20"/>
          <w:color w:val="auto"/>
        </w:rPr>
      </w:pPr>
      <w:r>
        <w:rPr>
          <w:rFonts w:ascii="Arial" w:cs="Arial" w:eastAsia="Arial" w:hAnsi="Arial"/>
          <w:sz w:val="20"/>
          <w:szCs w:val="20"/>
          <w:color w:val="auto"/>
        </w:rPr>
        <w:t>Consolidated Interest Coverage Ratio. As of the last day of any fiscal quarter, permit the Consolidated Interest Coverage Ratio to be less than 2.50 to 1.00.</w:t>
      </w:r>
    </w:p>
    <w:p>
      <w:pPr>
        <w:spacing w:after="0" w:line="209" w:lineRule="exact"/>
        <w:rPr>
          <w:rFonts w:ascii="Arial" w:cs="Arial" w:eastAsia="Arial" w:hAnsi="Arial"/>
          <w:sz w:val="20"/>
          <w:szCs w:val="20"/>
          <w:color w:val="auto"/>
        </w:rPr>
      </w:pPr>
    </w:p>
    <w:p>
      <w:pPr>
        <w:ind w:left="60" w:firstLine="644"/>
        <w:spacing w:after="0" w:line="229" w:lineRule="auto"/>
        <w:tabs>
          <w:tab w:leader="none" w:pos="1236" w:val="left"/>
        </w:tabs>
        <w:numPr>
          <w:ilvl w:val="0"/>
          <w:numId w:val="400"/>
        </w:numPr>
        <w:rPr>
          <w:rFonts w:ascii="Arial" w:cs="Arial" w:eastAsia="Arial" w:hAnsi="Arial"/>
          <w:sz w:val="20"/>
          <w:szCs w:val="20"/>
          <w:color w:val="auto"/>
        </w:rPr>
      </w:pPr>
      <w:r>
        <w:rPr>
          <w:rFonts w:ascii="Arial" w:cs="Arial" w:eastAsia="Arial" w:hAnsi="Arial"/>
          <w:sz w:val="20"/>
          <w:szCs w:val="20"/>
          <w:color w:val="auto"/>
        </w:rPr>
        <w:t>Consolidated Net Leverage Ratio. As of the last day of any fiscal quarter during the periods set forth below, permit the Consolidated Net Leverage Ratio to be greater than the corresponding ratio set forth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4" w:name="page225"/>
    <w:bookmarkEnd w:id="224"/>
    <w:p>
      <w:pPr>
        <w:spacing w:after="0" w:line="25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6240" w:type="dxa"/>
            <w:vAlign w:val="bottom"/>
          </w:tcPr>
          <w:p>
            <w:pPr>
              <w:ind w:left="3020"/>
              <w:spacing w:after="0"/>
              <w:rPr>
                <w:sz w:val="20"/>
                <w:szCs w:val="20"/>
                <w:color w:val="auto"/>
              </w:rPr>
            </w:pPr>
            <w:r>
              <w:rPr>
                <w:rFonts w:ascii="Arial" w:cs="Arial" w:eastAsia="Arial" w:hAnsi="Arial"/>
                <w:sz w:val="20"/>
                <w:szCs w:val="20"/>
                <w:b w:val="1"/>
                <w:bCs w:val="1"/>
                <w:color w:val="auto"/>
                <w:w w:val="89"/>
              </w:rPr>
              <w:t>Maximum Consolidated Net Leverage</w:t>
            </w:r>
          </w:p>
        </w:tc>
      </w:tr>
      <w:tr>
        <w:trPr>
          <w:trHeight w:val="297"/>
        </w:trPr>
        <w:tc>
          <w:tcPr>
            <w:tcW w:w="3460" w:type="dxa"/>
            <w:vAlign w:val="bottom"/>
          </w:tcPr>
          <w:p>
            <w:pPr>
              <w:ind w:left="1940"/>
              <w:spacing w:after="0"/>
              <w:rPr>
                <w:sz w:val="20"/>
                <w:szCs w:val="20"/>
                <w:color w:val="auto"/>
              </w:rPr>
            </w:pPr>
            <w:r>
              <w:rPr>
                <w:rFonts w:ascii="Arial" w:cs="Arial" w:eastAsia="Arial" w:hAnsi="Arial"/>
                <w:sz w:val="20"/>
                <w:szCs w:val="20"/>
                <w:b w:val="1"/>
                <w:bCs w:val="1"/>
                <w:color w:val="auto"/>
              </w:rPr>
              <w:t>Period</w:t>
            </w:r>
          </w:p>
        </w:tc>
        <w:tc>
          <w:tcPr>
            <w:tcW w:w="6240" w:type="dxa"/>
            <w:vAlign w:val="bottom"/>
          </w:tcPr>
          <w:p>
            <w:pPr>
              <w:ind w:left="3020"/>
              <w:spacing w:after="0"/>
              <w:rPr>
                <w:sz w:val="20"/>
                <w:szCs w:val="20"/>
                <w:color w:val="auto"/>
              </w:rPr>
            </w:pPr>
            <w:r>
              <w:rPr>
                <w:rFonts w:ascii="Arial" w:cs="Arial" w:eastAsia="Arial" w:hAnsi="Arial"/>
                <w:sz w:val="20"/>
                <w:szCs w:val="20"/>
                <w:b w:val="1"/>
                <w:bCs w:val="1"/>
                <w:color w:val="auto"/>
              </w:rPr>
              <w:t>Ratio</w:t>
            </w:r>
          </w:p>
        </w:tc>
      </w:tr>
      <w:tr>
        <w:trPr>
          <w:trHeight w:val="560"/>
        </w:trPr>
        <w:tc>
          <w:tcPr>
            <w:tcW w:w="3460" w:type="dxa"/>
            <w:vAlign w:val="bottom"/>
          </w:tcPr>
          <w:p>
            <w:pPr>
              <w:spacing w:after="0"/>
              <w:rPr>
                <w:sz w:val="20"/>
                <w:szCs w:val="20"/>
                <w:color w:val="auto"/>
              </w:rPr>
            </w:pPr>
            <w:r>
              <w:rPr>
                <w:rFonts w:ascii="Arial" w:cs="Arial" w:eastAsia="Arial" w:hAnsi="Arial"/>
                <w:sz w:val="20"/>
                <w:szCs w:val="20"/>
                <w:color w:val="auto"/>
                <w:w w:val="91"/>
              </w:rPr>
              <w:t>Closing Date through September 30, 2022</w:t>
            </w:r>
          </w:p>
        </w:tc>
        <w:tc>
          <w:tcPr>
            <w:tcW w:w="6240" w:type="dxa"/>
            <w:vAlign w:val="bottom"/>
          </w:tcPr>
          <w:p>
            <w:pPr>
              <w:ind w:left="80"/>
              <w:spacing w:after="0"/>
              <w:rPr>
                <w:sz w:val="20"/>
                <w:szCs w:val="20"/>
                <w:color w:val="auto"/>
              </w:rPr>
            </w:pPr>
            <w:r>
              <w:rPr>
                <w:rFonts w:ascii="Arial" w:cs="Arial" w:eastAsia="Arial" w:hAnsi="Arial"/>
                <w:sz w:val="20"/>
                <w:szCs w:val="20"/>
                <w:color w:val="auto"/>
              </w:rPr>
              <w:t>5.50 to 1.00</w:t>
            </w: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w w:val="90"/>
              </w:rPr>
              <w:t xml:space="preserve">December 31, 2022 through </w:t>
            </w:r>
            <w:r>
              <w:rPr>
                <w:rFonts w:ascii="Arial" w:cs="Arial" w:eastAsia="Arial" w:hAnsi="Arial"/>
                <w:sz w:val="20"/>
                <w:szCs w:val="20"/>
                <w:color w:val="0000FF"/>
                <w:w w:val="90"/>
              </w:rPr>
              <w:t>June 30, 2023</w:t>
            </w:r>
          </w:p>
        </w:tc>
        <w:tc>
          <w:tcPr>
            <w:tcW w:w="6240" w:type="dxa"/>
            <w:vAlign w:val="bottom"/>
          </w:tcPr>
          <w:p>
            <w:pPr>
              <w:ind w:left="4600"/>
              <w:spacing w:after="0"/>
              <w:rPr>
                <w:sz w:val="20"/>
                <w:szCs w:val="20"/>
                <w:color w:val="auto"/>
              </w:rPr>
            </w:pPr>
            <w:r>
              <w:rPr>
                <w:rFonts w:ascii="Arial" w:cs="Arial" w:eastAsia="Arial" w:hAnsi="Arial"/>
                <w:sz w:val="20"/>
                <w:szCs w:val="20"/>
                <w:color w:val="FF0000"/>
                <w:strike w:val="1"/>
              </w:rPr>
              <w:t>4.75</w:t>
            </w:r>
          </w:p>
        </w:tc>
      </w:tr>
      <w:tr>
        <w:trPr>
          <w:trHeight w:val="216"/>
        </w:trPr>
        <w:tc>
          <w:tcPr>
            <w:tcW w:w="3460" w:type="dxa"/>
            <w:vAlign w:val="bottom"/>
          </w:tcPr>
          <w:p>
            <w:pPr>
              <w:spacing w:after="0" w:line="216" w:lineRule="exact"/>
              <w:rPr>
                <w:sz w:val="20"/>
                <w:szCs w:val="20"/>
                <w:color w:val="auto"/>
              </w:rPr>
            </w:pPr>
            <w:r>
              <w:rPr>
                <w:rFonts w:ascii="Arial" w:cs="Arial" w:eastAsia="Arial" w:hAnsi="Arial"/>
                <w:sz w:val="20"/>
                <w:szCs w:val="20"/>
                <w:color w:val="auto"/>
              </w:rPr>
              <w:t>September 30, 2023</w:t>
            </w:r>
          </w:p>
        </w:tc>
        <w:tc>
          <w:tcPr>
            <w:tcW w:w="6240" w:type="dxa"/>
            <w:vAlign w:val="bottom"/>
          </w:tcPr>
          <w:p>
            <w:pPr>
              <w:ind w:left="3040"/>
              <w:spacing w:after="0" w:line="216" w:lineRule="exact"/>
              <w:rPr>
                <w:sz w:val="20"/>
                <w:szCs w:val="20"/>
                <w:color w:val="auto"/>
              </w:rPr>
            </w:pPr>
            <w:r>
              <w:rPr>
                <w:rFonts w:ascii="Arial" w:cs="Arial" w:eastAsia="Arial" w:hAnsi="Arial"/>
                <w:sz w:val="20"/>
                <w:szCs w:val="20"/>
                <w:color w:val="0000FF"/>
              </w:rPr>
              <w:t>6.00 to 1.00</w:t>
            </w:r>
          </w:p>
        </w:tc>
      </w:tr>
      <w:tr>
        <w:trPr>
          <w:trHeight w:val="203"/>
        </w:trPr>
        <w:tc>
          <w:tcPr>
            <w:tcW w:w="3460" w:type="dxa"/>
            <w:vAlign w:val="bottom"/>
          </w:tcPr>
          <w:p>
            <w:pPr>
              <w:spacing w:after="0"/>
              <w:rPr>
                <w:sz w:val="17"/>
                <w:szCs w:val="17"/>
                <w:color w:val="auto"/>
              </w:rPr>
            </w:pPr>
          </w:p>
        </w:tc>
        <w:tc>
          <w:tcPr>
            <w:tcW w:w="6240" w:type="dxa"/>
            <w:vAlign w:val="bottom"/>
          </w:tcPr>
          <w:p>
            <w:pPr>
              <w:ind w:left="3040"/>
              <w:spacing w:after="0" w:line="203" w:lineRule="exact"/>
              <w:rPr>
                <w:sz w:val="20"/>
                <w:szCs w:val="20"/>
                <w:color w:val="auto"/>
              </w:rPr>
            </w:pPr>
            <w:r>
              <w:rPr>
                <w:rFonts w:ascii="Arial" w:cs="Arial" w:eastAsia="Arial" w:hAnsi="Arial"/>
                <w:sz w:val="20"/>
                <w:szCs w:val="20"/>
                <w:color w:val="0000FF"/>
              </w:rPr>
              <w:t xml:space="preserve">5.50 </w:t>
            </w:r>
            <w:r>
              <w:rPr>
                <w:rFonts w:ascii="Arial" w:cs="Arial" w:eastAsia="Arial" w:hAnsi="Arial"/>
                <w:sz w:val="20"/>
                <w:szCs w:val="20"/>
                <w:color w:val="000000"/>
              </w:rPr>
              <w:t>to 1.00</w:t>
            </w:r>
            <w:r>
              <w:rPr>
                <w:rFonts w:ascii="Arial" w:cs="Arial" w:eastAsia="Arial" w:hAnsi="Arial"/>
                <w:sz w:val="20"/>
                <w:szCs w:val="20"/>
                <w:color w:val="0000FF"/>
              </w:rPr>
              <w:t xml:space="preserve"> 4.50 to 1.00</w:t>
            </w:r>
          </w:p>
        </w:tc>
      </w:tr>
      <w:tr>
        <w:trPr>
          <w:trHeight w:val="243"/>
        </w:trPr>
        <w:tc>
          <w:tcPr>
            <w:tcW w:w="3460" w:type="dxa"/>
            <w:vAlign w:val="bottom"/>
          </w:tcPr>
          <w:p>
            <w:pPr>
              <w:spacing w:after="0"/>
              <w:rPr>
                <w:sz w:val="20"/>
                <w:szCs w:val="20"/>
                <w:color w:val="auto"/>
              </w:rPr>
            </w:pPr>
            <w:r>
              <w:rPr>
                <w:rFonts w:ascii="Arial" w:cs="Arial" w:eastAsia="Arial" w:hAnsi="Arial"/>
                <w:sz w:val="20"/>
                <w:szCs w:val="20"/>
                <w:color w:val="auto"/>
              </w:rPr>
              <w:t>December 31, 2023</w:t>
            </w:r>
          </w:p>
        </w:tc>
        <w:tc>
          <w:tcPr>
            <w:tcW w:w="6240" w:type="dxa"/>
            <w:vAlign w:val="bottom"/>
          </w:tcPr>
          <w:p>
            <w:pPr>
              <w:ind w:left="3040"/>
              <w:spacing w:after="0"/>
              <w:rPr>
                <w:sz w:val="20"/>
                <w:szCs w:val="20"/>
                <w:color w:val="auto"/>
              </w:rPr>
            </w:pPr>
            <w:r>
              <w:rPr>
                <w:rFonts w:ascii="Arial" w:cs="Arial" w:eastAsia="Arial" w:hAnsi="Arial"/>
                <w:sz w:val="20"/>
                <w:szCs w:val="20"/>
                <w:color w:val="auto"/>
              </w:rPr>
              <w:t>4.00 to 1.00</w:t>
            </w:r>
          </w:p>
        </w:tc>
      </w:tr>
      <w:tr>
        <w:trPr>
          <w:trHeight w:val="250"/>
        </w:trPr>
        <w:tc>
          <w:tcPr>
            <w:tcW w:w="3460" w:type="dxa"/>
            <w:vAlign w:val="bottom"/>
          </w:tcPr>
          <w:p>
            <w:pPr>
              <w:spacing w:after="0"/>
              <w:rPr>
                <w:sz w:val="20"/>
                <w:szCs w:val="20"/>
                <w:color w:val="auto"/>
              </w:rPr>
            </w:pPr>
            <w:r>
              <w:rPr>
                <w:rFonts w:ascii="Arial" w:cs="Arial" w:eastAsia="Arial" w:hAnsi="Arial"/>
                <w:sz w:val="20"/>
                <w:szCs w:val="20"/>
                <w:color w:val="0000FF"/>
              </w:rPr>
              <w:t xml:space="preserve">March 31, 2024 </w:t>
            </w:r>
            <w:r>
              <w:rPr>
                <w:rFonts w:ascii="Arial" w:cs="Arial" w:eastAsia="Arial" w:hAnsi="Arial"/>
                <w:sz w:val="20"/>
                <w:szCs w:val="20"/>
                <w:color w:val="000000"/>
              </w:rPr>
              <w:t>and thereafter</w:t>
            </w:r>
          </w:p>
        </w:tc>
        <w:tc>
          <w:tcPr>
            <w:tcW w:w="6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-902335</wp:posOffset>
            </wp:positionV>
            <wp:extent cx="4886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8">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left="60" w:firstLine="648"/>
        <w:spacing w:after="0" w:line="236" w:lineRule="auto"/>
        <w:rPr>
          <w:sz w:val="20"/>
          <w:szCs w:val="20"/>
          <w:color w:val="auto"/>
        </w:rPr>
      </w:pPr>
      <w:r>
        <w:rPr>
          <w:rFonts w:ascii="Arial" w:cs="Arial" w:eastAsia="Arial" w:hAnsi="Arial"/>
          <w:sz w:val="18"/>
          <w:szCs w:val="18"/>
          <w:color w:val="auto"/>
        </w:rPr>
        <w:t xml:space="preserve">Notwithstanding the foregoing, for any measurement period ending on or after </w:t>
      </w:r>
      <w:r>
        <w:rPr>
          <w:rFonts w:ascii="Arial" w:cs="Arial" w:eastAsia="Arial" w:hAnsi="Arial"/>
          <w:sz w:val="18"/>
          <w:szCs w:val="18"/>
          <w:color w:val="FF0000"/>
          <w:strike w:val="1"/>
        </w:rPr>
        <w:t>December</w:t>
      </w:r>
      <w:r>
        <w:rPr>
          <w:rFonts w:ascii="Arial" w:cs="Arial" w:eastAsia="Arial" w:hAnsi="Arial"/>
          <w:sz w:val="18"/>
          <w:szCs w:val="18"/>
          <w:color w:val="0000FF"/>
        </w:rPr>
        <w:t>March</w:t>
      </w:r>
      <w:r>
        <w:rPr>
          <w:rFonts w:ascii="Arial" w:cs="Arial" w:eastAsia="Arial" w:hAnsi="Arial"/>
          <w:sz w:val="18"/>
          <w:szCs w:val="18"/>
          <w:color w:val="auto"/>
        </w:rPr>
        <w:t xml:space="preserve"> 31, </w:t>
      </w:r>
      <w:r>
        <w:rPr>
          <w:rFonts w:ascii="Arial" w:cs="Arial" w:eastAsia="Arial" w:hAnsi="Arial"/>
          <w:sz w:val="18"/>
          <w:szCs w:val="18"/>
          <w:color w:val="FF0000"/>
          <w:strike w:val="1"/>
        </w:rPr>
        <w:t>2023</w:t>
      </w:r>
      <w:r>
        <w:rPr>
          <w:rFonts w:ascii="Arial" w:cs="Arial" w:eastAsia="Arial" w:hAnsi="Arial"/>
          <w:sz w:val="18"/>
          <w:szCs w:val="18"/>
          <w:color w:val="0000FF"/>
        </w:rPr>
        <w:t>2024</w:t>
      </w:r>
      <w:r>
        <w:rPr>
          <w:rFonts w:ascii="Arial" w:cs="Arial" w:eastAsia="Arial" w:hAnsi="Arial"/>
          <w:sz w:val="18"/>
          <w:szCs w:val="18"/>
          <w:color w:val="auto"/>
        </w:rPr>
        <w:t>, in connection with any Permitted Acquisition having aggregate cash consideration (including cash, Cash Equivalents and other deferred payment obligations)</w:t>
      </w:r>
    </w:p>
    <w:p>
      <w:pPr>
        <w:ind w:left="60"/>
        <w:spacing w:after="0" w:line="235" w:lineRule="auto"/>
        <w:rPr>
          <w:sz w:val="20"/>
          <w:szCs w:val="20"/>
          <w:color w:val="auto"/>
        </w:rPr>
      </w:pPr>
      <w:r>
        <w:rPr>
          <w:rFonts w:ascii="Arial" w:cs="Arial" w:eastAsia="Arial" w:hAnsi="Arial"/>
          <w:sz w:val="18"/>
          <w:szCs w:val="18"/>
          <w:color w:val="auto"/>
        </w:rPr>
        <w:t>in excess of $150,000,000, Centuri may, at its election, in connection with such Permitted Acquisition and upon prior written notice to the</w:t>
      </w:r>
    </w:p>
    <w:p>
      <w:pPr>
        <w:ind w:left="60"/>
        <w:spacing w:after="0" w:line="226" w:lineRule="auto"/>
        <w:rPr>
          <w:sz w:val="20"/>
          <w:szCs w:val="20"/>
          <w:color w:val="auto"/>
        </w:rPr>
      </w:pPr>
      <w:r>
        <w:rPr>
          <w:rFonts w:ascii="Arial" w:cs="Arial" w:eastAsia="Arial" w:hAnsi="Arial"/>
          <w:sz w:val="18"/>
          <w:szCs w:val="18"/>
          <w:color w:val="auto"/>
        </w:rPr>
        <w:t>Administrative Agent, increase the required Consolidated Net Leverage Ratio pursuant to this Section 9.13(b) to up to 4.50 to 1.00 (at Centuri’s option), which such increase shall be applicable (i) with respect to a Permitted Acquisition that is not a Limited Condition</w:t>
      </w:r>
    </w:p>
    <w:p>
      <w:pPr>
        <w:ind w:left="60"/>
        <w:spacing w:after="0" w:line="236" w:lineRule="auto"/>
        <w:rPr>
          <w:sz w:val="20"/>
          <w:szCs w:val="20"/>
          <w:color w:val="auto"/>
        </w:rPr>
      </w:pPr>
      <w:r>
        <w:rPr>
          <w:rFonts w:ascii="Arial" w:cs="Arial" w:eastAsia="Arial" w:hAnsi="Arial"/>
          <w:sz w:val="18"/>
          <w:szCs w:val="18"/>
          <w:color w:val="auto"/>
        </w:rPr>
        <w:t>Acquisition, for the fiscal quarter in which such Permitted Acquisition is consummated and the three (3) consecutive quarterly test periods</w:t>
      </w:r>
    </w:p>
    <w:p>
      <w:pPr>
        <w:spacing w:after="0" w:line="1"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thereafter or (ii) with respect to a Permitted Acquisition that is a Limited Condition Acquisition, for purposes of determining compliance on a Pro Forma Basis with this Section 9.13(b) on the LCA Test Date, for the fiscal quarter in which such Permitted Acquisition is</w:t>
      </w:r>
    </w:p>
    <w:p>
      <w:pPr>
        <w:spacing w:after="0" w:line="2" w:lineRule="exact"/>
        <w:rPr>
          <w:sz w:val="20"/>
          <w:szCs w:val="20"/>
          <w:color w:val="auto"/>
        </w:rPr>
      </w:pPr>
    </w:p>
    <w:p>
      <w:pPr>
        <w:ind w:left="60" w:right="20"/>
        <w:spacing w:after="0" w:line="204" w:lineRule="auto"/>
        <w:rPr>
          <w:sz w:val="20"/>
          <w:szCs w:val="20"/>
          <w:color w:val="auto"/>
        </w:rPr>
      </w:pPr>
      <w:r>
        <w:rPr>
          <w:rFonts w:ascii="Arial" w:cs="Arial" w:eastAsia="Arial" w:hAnsi="Arial"/>
          <w:sz w:val="20"/>
          <w:szCs w:val="20"/>
          <w:color w:val="auto"/>
        </w:rPr>
        <w:t>consummated and for the three (3) consecutive quarterly test periods after which such Permitted Acquisition is consummated (each, a “Leverage Ratio Increase”); provided that</w:t>
      </w:r>
    </w:p>
    <w:p>
      <w:pPr>
        <w:spacing w:after="0" w:line="1" w:lineRule="exact"/>
        <w:rPr>
          <w:sz w:val="20"/>
          <w:szCs w:val="20"/>
          <w:color w:val="auto"/>
        </w:rPr>
      </w:pPr>
    </w:p>
    <w:p>
      <w:pPr>
        <w:jc w:val="both"/>
        <w:ind w:left="60" w:hanging="4"/>
        <w:spacing w:after="0" w:line="215" w:lineRule="auto"/>
        <w:tabs>
          <w:tab w:leader="none" w:pos="592" w:val="left"/>
        </w:tabs>
        <w:numPr>
          <w:ilvl w:val="0"/>
          <w:numId w:val="401"/>
        </w:numPr>
        <w:rPr>
          <w:rFonts w:ascii="Arial" w:cs="Arial" w:eastAsia="Arial" w:hAnsi="Arial"/>
          <w:sz w:val="20"/>
          <w:szCs w:val="20"/>
          <w:color w:val="auto"/>
        </w:rPr>
      </w:pPr>
      <w:r>
        <w:rPr>
          <w:rFonts w:ascii="Arial" w:cs="Arial" w:eastAsia="Arial" w:hAnsi="Arial"/>
          <w:sz w:val="20"/>
          <w:szCs w:val="20"/>
          <w:color w:val="auto"/>
        </w:rPr>
        <w:t>such increase shall apply solely with respect to compliance with this Section 9.13(b) and any determination of the Consolidated Net Leverage Ratio for purposes of the definition of Permitted Acquisition and any incurrence test with respect to any Indebtedness used to finance a Permitted Acquisition and shall not apply to any other incurrence test set forth in this Agreement and (y) there shall be at least two full fiscal quarters following the cessation of each such Leverage Ratio Increase during which no Leverage Ratio Increase shall then be in effect.</w:t>
      </w:r>
    </w:p>
    <w:p>
      <w:pPr>
        <w:spacing w:after="0" w:line="182" w:lineRule="exact"/>
        <w:rPr>
          <w:sz w:val="20"/>
          <w:szCs w:val="20"/>
          <w:color w:val="auto"/>
        </w:rPr>
      </w:pPr>
    </w:p>
    <w:p>
      <w:pPr>
        <w:jc w:val="both"/>
        <w:ind w:left="60" w:right="20" w:firstLine="648"/>
        <w:spacing w:after="0" w:line="259" w:lineRule="auto"/>
        <w:rPr>
          <w:sz w:val="20"/>
          <w:szCs w:val="20"/>
          <w:color w:val="auto"/>
        </w:rPr>
      </w:pPr>
      <w:r>
        <w:rPr>
          <w:rFonts w:ascii="Arial" w:cs="Arial" w:eastAsia="Arial" w:hAnsi="Arial"/>
          <w:sz w:val="18"/>
          <w:szCs w:val="18"/>
          <w:color w:val="auto"/>
        </w:rPr>
        <w:t>The provisions of this Section 9.13 are for the benefit of the Revolving Credit Lenders only and the Required Revolving Credit Lenders may amend, waive or otherwise modify this Section 9.13 or the defined terms used for purposes of this Section 9.13 or waive any Default or Event of Default resulting from a breach of this Section 9.13 in accordance with the provisions of Section 12.2.</w:t>
      </w:r>
    </w:p>
    <w:p>
      <w:pPr>
        <w:spacing w:after="0" w:line="248"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9.14</w:t>
      </w:r>
      <w:r>
        <w:rPr>
          <w:sz w:val="20"/>
          <w:szCs w:val="20"/>
          <w:color w:val="auto"/>
        </w:rPr>
        <w:tab/>
      </w:r>
      <w:r>
        <w:rPr>
          <w:rFonts w:ascii="Arial" w:cs="Arial" w:eastAsia="Arial" w:hAnsi="Arial"/>
          <w:sz w:val="16"/>
          <w:szCs w:val="16"/>
          <w:color w:val="auto"/>
        </w:rPr>
        <w:t>Disposal of Subsidiary Interests</w:t>
      </w:r>
    </w:p>
    <w:p>
      <w:pPr>
        <w:spacing w:after="0" w:line="283" w:lineRule="exact"/>
        <w:rPr>
          <w:sz w:val="20"/>
          <w:szCs w:val="20"/>
          <w:color w:val="auto"/>
        </w:rPr>
      </w:pPr>
    </w:p>
    <w:p>
      <w:pPr>
        <w:jc w:val="both"/>
        <w:ind w:left="60" w:hanging="4"/>
        <w:spacing w:after="0" w:line="223" w:lineRule="auto"/>
        <w:tabs>
          <w:tab w:leader="none" w:pos="161" w:val="left"/>
        </w:tabs>
        <w:numPr>
          <w:ilvl w:val="0"/>
          <w:numId w:val="402"/>
        </w:numPr>
        <w:rPr>
          <w:rFonts w:ascii="Arial" w:cs="Arial" w:eastAsia="Arial" w:hAnsi="Arial"/>
          <w:sz w:val="20"/>
          <w:szCs w:val="20"/>
          <w:color w:val="auto"/>
        </w:rPr>
      </w:pPr>
      <w:r>
        <w:rPr>
          <w:rFonts w:ascii="Arial" w:cs="Arial" w:eastAsia="Arial" w:hAnsi="Arial"/>
          <w:sz w:val="20"/>
          <w:szCs w:val="20"/>
          <w:color w:val="auto"/>
        </w:rPr>
        <w:t>Permit any US Subsidiary existing as of the date hereof to be a non-Wholly-Owned Subsidiary except as a result of or in connection with a dissolution, merger, amalgamation, consolidation or disposition permitted by Section 9.4 or 9.5, except in connection with the grant of the Permitted Drum Equity to officers, directors or employees.</w:t>
      </w: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ARTICLE X DEFAULT AND REMEDIES</w:t>
      </w:r>
    </w:p>
    <w:p>
      <w:pPr>
        <w:spacing w:after="0" w:line="108"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color w:val="auto"/>
        </w:rPr>
        <w:t>Events of Default</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20"/>
          <w:szCs w:val="20"/>
          <w:color w:val="auto"/>
        </w:rPr>
        <w:t>. Each of the following shall constitute an Event of Default:</w:t>
      </w: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5" w:name="page226"/>
    <w:bookmarkEnd w:id="225"/>
    <w:p>
      <w:pPr>
        <w:ind w:left="60" w:right="20" w:firstLine="644"/>
        <w:spacing w:after="0" w:line="285" w:lineRule="auto"/>
        <w:tabs>
          <w:tab w:leader="none" w:pos="123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Default in Payment of Principal of Loans and Reimbursement Obligations. Any Borrower shall default in any payment of principal of any Loan or Reimbursement Obligation when and as due (whether at maturity, by reason of acceleration or otherwise).</w:t>
      </w:r>
    </w:p>
    <w:p>
      <w:pPr>
        <w:spacing w:after="0" w:line="156" w:lineRule="exact"/>
        <w:rPr>
          <w:rFonts w:ascii="Arial" w:cs="Arial" w:eastAsia="Arial" w:hAnsi="Arial"/>
          <w:sz w:val="18"/>
          <w:szCs w:val="18"/>
          <w:color w:val="auto"/>
        </w:rPr>
      </w:pPr>
    </w:p>
    <w:p>
      <w:pPr>
        <w:jc w:val="both"/>
        <w:ind w:left="60" w:firstLine="644"/>
        <w:spacing w:after="0" w:line="223" w:lineRule="auto"/>
        <w:tabs>
          <w:tab w:leader="none" w:pos="1236" w:val="left"/>
        </w:tabs>
        <w:numPr>
          <w:ilvl w:val="0"/>
          <w:numId w:val="403"/>
        </w:numPr>
        <w:rPr>
          <w:rFonts w:ascii="Arial" w:cs="Arial" w:eastAsia="Arial" w:hAnsi="Arial"/>
          <w:sz w:val="20"/>
          <w:szCs w:val="20"/>
          <w:color w:val="auto"/>
        </w:rPr>
      </w:pPr>
      <w:r>
        <w:rPr>
          <w:rFonts w:ascii="Arial" w:cs="Arial" w:eastAsia="Arial" w:hAnsi="Arial"/>
          <w:sz w:val="20"/>
          <w:szCs w:val="20"/>
          <w:color w:val="auto"/>
        </w:rPr>
        <w:t>Other Payment Default.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209" w:lineRule="exact"/>
        <w:rPr>
          <w:rFonts w:ascii="Arial" w:cs="Arial" w:eastAsia="Arial" w:hAnsi="Arial"/>
          <w:sz w:val="20"/>
          <w:szCs w:val="20"/>
          <w:color w:val="auto"/>
        </w:rPr>
      </w:pPr>
    </w:p>
    <w:p>
      <w:pPr>
        <w:jc w:val="both"/>
        <w:ind w:left="60" w:firstLine="644"/>
        <w:spacing w:after="0" w:line="214" w:lineRule="auto"/>
        <w:tabs>
          <w:tab w:leader="none" w:pos="1238" w:val="left"/>
        </w:tabs>
        <w:numPr>
          <w:ilvl w:val="0"/>
          <w:numId w:val="403"/>
        </w:numPr>
        <w:rPr>
          <w:rFonts w:ascii="Arial" w:cs="Arial" w:eastAsia="Arial" w:hAnsi="Arial"/>
          <w:sz w:val="20"/>
          <w:szCs w:val="20"/>
          <w:color w:val="auto"/>
        </w:rPr>
      </w:pPr>
      <w:r>
        <w:rPr>
          <w:rFonts w:ascii="Arial" w:cs="Arial" w:eastAsia="Arial" w:hAnsi="Arial"/>
          <w:sz w:val="20"/>
          <w:szCs w:val="20"/>
          <w:color w:val="auto"/>
        </w:rPr>
        <w:t>Misrepresentation.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98" w:lineRule="exact"/>
        <w:rPr>
          <w:rFonts w:ascii="Arial" w:cs="Arial" w:eastAsia="Arial" w:hAnsi="Arial"/>
          <w:sz w:val="20"/>
          <w:szCs w:val="20"/>
          <w:color w:val="auto"/>
        </w:rPr>
      </w:pPr>
    </w:p>
    <w:p>
      <w:pPr>
        <w:jc w:val="both"/>
        <w:ind w:left="60" w:firstLine="644"/>
        <w:spacing w:after="0" w:line="238" w:lineRule="auto"/>
        <w:tabs>
          <w:tab w:leader="none" w:pos="123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Default in Performance of Certain Covenants. Any Credit Party or any Subsidiary thereof shall default in the performance or observance of any covenant or agreement contained in Sections 8.1(a), (b) or (d), 8.2(a) or (b), 8.3(a), 8.4, 8.13, 8.15, 8.16, 8.17, 8.18 or 8.19 or Article IX; provided that a breach of the financial covenants set forth in Section 9.13 shall not constitute an Event of Default with respect to any Term Loans, and the Term Loan Lenders shall not be permitted to exercise any remedies with respect to a breach of the financial covenants set forth in Section 9.13, unless and until the Required Revolving Credit Lenders have declared all amounts outstanding under the Revolving Credit Facility to be due and payable and all outstanding Revolving Credit Commitments to be terminated, in each case in accordance with this Agreement and such declaration has not been rescinded.</w:t>
      </w:r>
    </w:p>
    <w:p>
      <w:pPr>
        <w:spacing w:after="0" w:line="196" w:lineRule="exact"/>
        <w:rPr>
          <w:rFonts w:ascii="Arial" w:cs="Arial" w:eastAsia="Arial" w:hAnsi="Arial"/>
          <w:sz w:val="18"/>
          <w:szCs w:val="18"/>
          <w:color w:val="auto"/>
        </w:rPr>
      </w:pPr>
    </w:p>
    <w:p>
      <w:pPr>
        <w:jc w:val="both"/>
        <w:ind w:left="60" w:firstLine="644"/>
        <w:spacing w:after="0" w:line="218" w:lineRule="auto"/>
        <w:tabs>
          <w:tab w:leader="none" w:pos="1238" w:val="left"/>
        </w:tabs>
        <w:numPr>
          <w:ilvl w:val="0"/>
          <w:numId w:val="403"/>
        </w:numPr>
        <w:rPr>
          <w:rFonts w:ascii="Arial" w:cs="Arial" w:eastAsia="Arial" w:hAnsi="Arial"/>
          <w:sz w:val="20"/>
          <w:szCs w:val="20"/>
          <w:color w:val="auto"/>
        </w:rPr>
      </w:pPr>
      <w:r>
        <w:rPr>
          <w:rFonts w:ascii="Arial" w:cs="Arial" w:eastAsia="Arial" w:hAnsi="Arial"/>
          <w:sz w:val="20"/>
          <w:szCs w:val="20"/>
          <w:color w:val="auto"/>
        </w:rPr>
        <w:t>Default in Performance of Other Covenants and Conditions. Any Credit Party or any Subsidiary thereof shall default in the performance or observance of any term, covenant, condition or agreement contained in this Agreement (other than as specifically provided for in Section 10.1(a), (b), (c) or (d)) or any other Loan Document and such default shall continue for a period of thirty (30) days after the earlier of (i) the Administrative Agent’s delivery of written notice thereof to Centuri and (ii) a Responsible Officer of any Credit Party having obtained knowledge thereof.</w:t>
      </w:r>
    </w:p>
    <w:p>
      <w:pPr>
        <w:spacing w:after="0" w:line="197" w:lineRule="exact"/>
        <w:rPr>
          <w:rFonts w:ascii="Arial" w:cs="Arial" w:eastAsia="Arial" w:hAnsi="Arial"/>
          <w:sz w:val="20"/>
          <w:szCs w:val="20"/>
          <w:color w:val="auto"/>
        </w:rPr>
      </w:pPr>
    </w:p>
    <w:p>
      <w:pPr>
        <w:jc w:val="both"/>
        <w:ind w:left="60" w:firstLine="644"/>
        <w:spacing w:after="0" w:line="235" w:lineRule="auto"/>
        <w:tabs>
          <w:tab w:leader="none" w:pos="124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Indebtedness Cross-Default.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26" w:name="page227"/>
    <w:bookmarkEnd w:id="226"/>
    <w:p>
      <w:pPr>
        <w:spacing w:after="0" w:line="209" w:lineRule="exact"/>
        <w:rPr>
          <w:sz w:val="20"/>
          <w:szCs w:val="20"/>
          <w:color w:val="auto"/>
        </w:rPr>
      </w:pPr>
    </w:p>
    <w:p>
      <w:pPr>
        <w:ind w:left="1340" w:hanging="636"/>
        <w:spacing w:after="0"/>
        <w:tabs>
          <w:tab w:leader="none" w:pos="134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83" w:lineRule="exact"/>
        <w:rPr>
          <w:rFonts w:ascii="Arial" w:cs="Arial" w:eastAsia="Arial" w:hAnsi="Arial"/>
          <w:sz w:val="20"/>
          <w:szCs w:val="20"/>
          <w:color w:val="auto"/>
        </w:rPr>
      </w:pPr>
    </w:p>
    <w:p>
      <w:pPr>
        <w:ind w:left="1340" w:hanging="636"/>
        <w:spacing w:after="0"/>
        <w:tabs>
          <w:tab w:leader="none" w:pos="134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Change in Control. Any Change in Control shall occur.</w:t>
      </w:r>
    </w:p>
    <w:p>
      <w:pPr>
        <w:spacing w:after="0" w:line="283" w:lineRule="exact"/>
        <w:rPr>
          <w:rFonts w:ascii="Arial" w:cs="Arial" w:eastAsia="Arial" w:hAnsi="Arial"/>
          <w:sz w:val="20"/>
          <w:szCs w:val="20"/>
          <w:color w:val="auto"/>
        </w:rPr>
      </w:pPr>
    </w:p>
    <w:p>
      <w:pPr>
        <w:jc w:val="both"/>
        <w:ind w:left="60" w:firstLine="644"/>
        <w:spacing w:after="0" w:line="214" w:lineRule="auto"/>
        <w:tabs>
          <w:tab w:leader="none" w:pos="1246" w:val="left"/>
        </w:tabs>
        <w:numPr>
          <w:ilvl w:val="0"/>
          <w:numId w:val="404"/>
        </w:numPr>
        <w:rPr>
          <w:rFonts w:ascii="Arial" w:cs="Arial" w:eastAsia="Arial" w:hAnsi="Arial"/>
          <w:sz w:val="20"/>
          <w:szCs w:val="20"/>
          <w:color w:val="auto"/>
        </w:rPr>
      </w:pPr>
      <w:r>
        <w:rPr>
          <w:rFonts w:ascii="Arial" w:cs="Arial" w:eastAsia="Arial" w:hAnsi="Arial"/>
          <w:sz w:val="20"/>
          <w:szCs w:val="20"/>
          <w:color w:val="auto"/>
        </w:rPr>
        <w:t>Voluntary Bankruptcy Proceeding. Any Credit Party or any Subsidiary thereof or Southwest Gas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98" w:lineRule="exact"/>
        <w:rPr>
          <w:rFonts w:ascii="Arial" w:cs="Arial" w:eastAsia="Arial" w:hAnsi="Arial"/>
          <w:sz w:val="20"/>
          <w:szCs w:val="20"/>
          <w:color w:val="auto"/>
        </w:rPr>
      </w:pPr>
    </w:p>
    <w:p>
      <w:pPr>
        <w:jc w:val="both"/>
        <w:ind w:left="60" w:firstLine="644"/>
        <w:spacing w:after="0" w:line="226" w:lineRule="auto"/>
        <w:tabs>
          <w:tab w:leader="none" w:pos="1246" w:val="left"/>
        </w:tabs>
        <w:numPr>
          <w:ilvl w:val="0"/>
          <w:numId w:val="404"/>
        </w:numPr>
        <w:rPr>
          <w:rFonts w:ascii="Arial" w:cs="Arial" w:eastAsia="Arial" w:hAnsi="Arial"/>
          <w:sz w:val="19"/>
          <w:szCs w:val="19"/>
          <w:color w:val="auto"/>
        </w:rPr>
      </w:pPr>
      <w:r>
        <w:rPr>
          <w:rFonts w:ascii="Arial" w:cs="Arial" w:eastAsia="Arial" w:hAnsi="Arial"/>
          <w:sz w:val="19"/>
          <w:szCs w:val="19"/>
          <w:color w:val="auto"/>
        </w:rPr>
        <w:t>Involuntary Bankruptcy Proceeding. A case or other proceeding shall be commenced against any Credit Party or any Subsidiary thereof or Southwest Gas in any court of competent jurisdiction seeking (i) relief under any Debtor Relief Laws, or (ii) the appointment of a trustee, receiver, custodian, liquidator or the like for any Credit Party or any Subsidiary thereof or Southwest Gas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210" w:lineRule="exact"/>
        <w:rPr>
          <w:rFonts w:ascii="Arial" w:cs="Arial" w:eastAsia="Arial" w:hAnsi="Arial"/>
          <w:sz w:val="19"/>
          <w:szCs w:val="19"/>
          <w:color w:val="auto"/>
        </w:rPr>
      </w:pPr>
    </w:p>
    <w:p>
      <w:pPr>
        <w:jc w:val="both"/>
        <w:ind w:left="60" w:firstLine="644"/>
        <w:spacing w:after="0" w:line="215" w:lineRule="auto"/>
        <w:tabs>
          <w:tab w:leader="none" w:pos="1236" w:val="left"/>
        </w:tabs>
        <w:numPr>
          <w:ilvl w:val="0"/>
          <w:numId w:val="404"/>
        </w:numPr>
        <w:rPr>
          <w:rFonts w:ascii="Arial" w:cs="Arial" w:eastAsia="Arial" w:hAnsi="Arial"/>
          <w:sz w:val="20"/>
          <w:szCs w:val="20"/>
          <w:color w:val="auto"/>
        </w:rPr>
      </w:pPr>
      <w:r>
        <w:rPr>
          <w:rFonts w:ascii="Arial" w:cs="Arial" w:eastAsia="Arial" w:hAnsi="Arial"/>
          <w:sz w:val="20"/>
          <w:szCs w:val="20"/>
          <w:color w:val="auto"/>
        </w:rPr>
        <w:t>Failure of Agreements.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211" w:lineRule="exact"/>
        <w:rPr>
          <w:rFonts w:ascii="Arial" w:cs="Arial" w:eastAsia="Arial" w:hAnsi="Arial"/>
          <w:sz w:val="20"/>
          <w:szCs w:val="20"/>
          <w:color w:val="auto"/>
        </w:rPr>
      </w:pPr>
    </w:p>
    <w:p>
      <w:pPr>
        <w:jc w:val="both"/>
        <w:ind w:left="60" w:firstLine="644"/>
        <w:spacing w:after="0" w:line="235" w:lineRule="auto"/>
        <w:tabs>
          <w:tab w:leader="none" w:pos="124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Employee Benefit Plan Events.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w:t>
      </w:r>
    </w:p>
    <w:p>
      <w:pPr>
        <w:ind w:left="60"/>
        <w:spacing w:after="0" w:line="199" w:lineRule="auto"/>
        <w:rPr>
          <w:sz w:val="20"/>
          <w:szCs w:val="20"/>
          <w:color w:val="auto"/>
        </w:rPr>
      </w:pPr>
      <w:r>
        <w:rPr>
          <w:rFonts w:ascii="Arial" w:cs="Arial" w:eastAsia="Arial" w:hAnsi="Arial"/>
          <w:sz w:val="20"/>
          <w:szCs w:val="20"/>
          <w:color w:val="auto"/>
        </w:rPr>
        <w:t>Amount,</w:t>
      </w:r>
    </w:p>
    <w:p>
      <w:pPr>
        <w:jc w:val="both"/>
        <w:ind w:left="60" w:hanging="5"/>
        <w:spacing w:after="0" w:line="223" w:lineRule="auto"/>
        <w:tabs>
          <w:tab w:leader="none" w:pos="362" w:val="left"/>
        </w:tabs>
        <w:numPr>
          <w:ilvl w:val="0"/>
          <w:numId w:val="405"/>
        </w:numPr>
        <w:rPr>
          <w:rFonts w:ascii="Arial" w:cs="Arial" w:eastAsia="Arial" w:hAnsi="Arial"/>
          <w:sz w:val="19"/>
          <w:szCs w:val="19"/>
          <w:color w:val="auto"/>
        </w:rPr>
      </w:pPr>
      <w:r>
        <w:rPr>
          <w:rFonts w:ascii="Arial" w:cs="Arial" w:eastAsia="Arial" w:hAnsi="Arial"/>
          <w:sz w:val="19"/>
          <w:szCs w:val="19"/>
          <w:color w:val="auto"/>
        </w:rPr>
        <w:t>any Credit Party fails to make full payment when due of all amounts which, under the provisions of any Canadian Employee Benefit Plan or under Canadian Pension Laws, any Credit Party is required to pay as contributions thereto and such unpaid amounts are in excess of the Threshold Amount, (iii) a Termination Event or Canadian Termination Event or (iv)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210" w:lineRule="exact"/>
        <w:rPr>
          <w:rFonts w:ascii="Arial" w:cs="Arial" w:eastAsia="Arial" w:hAnsi="Arial"/>
          <w:sz w:val="19"/>
          <w:szCs w:val="19"/>
          <w:color w:val="auto"/>
        </w:rPr>
      </w:pPr>
    </w:p>
    <w:p>
      <w:pPr>
        <w:jc w:val="both"/>
        <w:ind w:left="60" w:firstLine="644"/>
        <w:spacing w:after="0" w:line="215" w:lineRule="auto"/>
        <w:tabs>
          <w:tab w:leader="none" w:pos="1237" w:val="left"/>
        </w:tabs>
        <w:numPr>
          <w:ilvl w:val="1"/>
          <w:numId w:val="405"/>
        </w:numPr>
        <w:rPr>
          <w:rFonts w:ascii="Arial" w:cs="Arial" w:eastAsia="Arial" w:hAnsi="Arial"/>
          <w:sz w:val="20"/>
          <w:szCs w:val="20"/>
          <w:color w:val="auto"/>
        </w:rPr>
      </w:pPr>
      <w:r>
        <w:rPr>
          <w:rFonts w:ascii="Arial" w:cs="Arial" w:eastAsia="Arial" w:hAnsi="Arial"/>
          <w:sz w:val="20"/>
          <w:szCs w:val="20"/>
          <w:color w:val="auto"/>
        </w:rPr>
        <w:t>Judgment.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7" w:name="page228"/>
    <w:bookmarkEnd w:id="227"/>
    <w:p>
      <w:pPr>
        <w:spacing w:after="0" w:line="209"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6"/>
          <w:szCs w:val="16"/>
          <w:color w:val="auto"/>
        </w:rPr>
        <w:t>Remedies</w:t>
      </w:r>
    </w:p>
    <w:p>
      <w:pPr>
        <w:spacing w:after="0" w:line="283" w:lineRule="exact"/>
        <w:rPr>
          <w:sz w:val="20"/>
          <w:szCs w:val="20"/>
          <w:color w:val="auto"/>
        </w:rPr>
      </w:pPr>
    </w:p>
    <w:p>
      <w:pPr>
        <w:ind w:left="60" w:right="20" w:hanging="4"/>
        <w:spacing w:after="0" w:line="236" w:lineRule="auto"/>
        <w:tabs>
          <w:tab w:leader="none" w:pos="174" w:val="left"/>
        </w:tabs>
        <w:numPr>
          <w:ilvl w:val="0"/>
          <w:numId w:val="406"/>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 Event of Default, with the consent of the Required Lenders, the Administrative Agent may, or upon the request of the Required Lenders, the Administrative Agent shall, by notice to Centuri:</w:t>
      </w:r>
    </w:p>
    <w:p>
      <w:pPr>
        <w:spacing w:after="0" w:line="195" w:lineRule="exact"/>
        <w:rPr>
          <w:rFonts w:ascii="Arial" w:cs="Arial" w:eastAsia="Arial" w:hAnsi="Arial"/>
          <w:sz w:val="20"/>
          <w:szCs w:val="20"/>
          <w:color w:val="auto"/>
        </w:rPr>
      </w:pPr>
    </w:p>
    <w:p>
      <w:pPr>
        <w:jc w:val="both"/>
        <w:ind w:left="60" w:firstLine="644"/>
        <w:spacing w:after="0" w:line="233" w:lineRule="auto"/>
        <w:tabs>
          <w:tab w:leader="none" w:pos="123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Acceleration; Termination of Credit Facility.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Section 10.1(i) or (j),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 provided that upon the occurrence and during the continuance of any Event of Default attributable to a failure to comply with the financial covenants set forth in Section 9.13 (which has not become an Event of Default with respect to the Term Loans pursuant to Section 10.1(d)), actions pursuant to this clause (a) may be taken by the Required Revolving Credit Lenders with respect to the Revolving Credit Loans and the Revolving Credit Commitments only (without the requirement for Required Lender action) or by the Administrative Agent at the direction of the Required Revolving Credit Lenders.</w:t>
      </w:r>
    </w:p>
    <w:p>
      <w:pPr>
        <w:spacing w:after="0" w:line="198" w:lineRule="exact"/>
        <w:rPr>
          <w:rFonts w:ascii="Arial" w:cs="Arial" w:eastAsia="Arial" w:hAnsi="Arial"/>
          <w:sz w:val="18"/>
          <w:szCs w:val="18"/>
          <w:color w:val="auto"/>
        </w:rPr>
      </w:pPr>
    </w:p>
    <w:p>
      <w:pPr>
        <w:jc w:val="both"/>
        <w:ind w:left="60" w:firstLine="644"/>
        <w:spacing w:after="0" w:line="237" w:lineRule="auto"/>
        <w:tabs>
          <w:tab w:leader="none" w:pos="123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Letters of Credit.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pro rata basis and in accordance with Section 10.4.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200" w:lineRule="exact"/>
        <w:rPr>
          <w:rFonts w:ascii="Arial" w:cs="Arial" w:eastAsia="Arial" w:hAnsi="Arial"/>
          <w:sz w:val="18"/>
          <w:szCs w:val="18"/>
          <w:color w:val="auto"/>
        </w:rPr>
      </w:pPr>
    </w:p>
    <w:p>
      <w:pPr>
        <w:ind w:left="60" w:firstLine="644"/>
        <w:spacing w:after="0" w:line="236" w:lineRule="auto"/>
        <w:tabs>
          <w:tab w:leader="none" w:pos="1236" w:val="left"/>
        </w:tabs>
        <w:numPr>
          <w:ilvl w:val="1"/>
          <w:numId w:val="406"/>
        </w:numPr>
        <w:rPr>
          <w:rFonts w:ascii="Arial" w:cs="Arial" w:eastAsia="Arial" w:hAnsi="Arial"/>
          <w:sz w:val="20"/>
          <w:szCs w:val="20"/>
          <w:color w:val="auto"/>
        </w:rPr>
      </w:pPr>
      <w:r>
        <w:rPr>
          <w:rFonts w:ascii="Arial" w:cs="Arial" w:eastAsia="Arial" w:hAnsi="Arial"/>
          <w:sz w:val="20"/>
          <w:szCs w:val="20"/>
          <w:color w:val="auto"/>
        </w:rPr>
        <w:t>General Remedies. Exercise on behalf of the Secured Parties all of its other rights and remedies under this Agreement, the other Loan Documents and Applicable Law, in order to satisfy all of the Secured Obligations.</w:t>
      </w:r>
    </w:p>
    <w:p>
      <w:pPr>
        <w:spacing w:after="0" w:line="19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6"/>
          <w:szCs w:val="16"/>
          <w:color w:val="auto"/>
        </w:rPr>
        <w:t>Rights and Remedies Cumulative; Non-Waiver; etc.</w:t>
      </w:r>
    </w:p>
    <w:p>
      <w:pPr>
        <w:spacing w:after="0" w:line="283" w:lineRule="exact"/>
        <w:rPr>
          <w:sz w:val="20"/>
          <w:szCs w:val="20"/>
          <w:color w:val="auto"/>
        </w:rPr>
      </w:pPr>
    </w:p>
    <w:p>
      <w:pPr>
        <w:jc w:val="both"/>
        <w:ind w:left="60" w:firstLine="644"/>
        <w:spacing w:after="0" w:line="246" w:lineRule="auto"/>
        <w:tabs>
          <w:tab w:leader="none" w:pos="123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8" w:name="page229"/>
    <w:bookmarkEnd w:id="228"/>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delay or failure to take action on the part of the Administrative Agent or any Lender in exercising any right, power or privilege shall</w:t>
      </w:r>
    </w:p>
    <w:p>
      <w:pPr>
        <w:spacing w:after="0" w:line="1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operate as a waiver thereof, nor shall any single or partial exercise of any such right, power or privilege preclude any other or further exercise thereof or the exercise of any other right, power or privilege or shall be construed to be a waiver of any Event of Default. No</w:t>
      </w:r>
    </w:p>
    <w:p>
      <w:pPr>
        <w:ind w:left="60"/>
        <w:spacing w:after="0" w:line="236" w:lineRule="auto"/>
        <w:rPr>
          <w:sz w:val="20"/>
          <w:szCs w:val="20"/>
          <w:color w:val="auto"/>
        </w:rPr>
      </w:pPr>
      <w:r>
        <w:rPr>
          <w:rFonts w:ascii="Arial" w:cs="Arial" w:eastAsia="Arial" w:hAnsi="Arial"/>
          <w:sz w:val="18"/>
          <w:szCs w:val="18"/>
          <w:color w:val="auto"/>
        </w:rPr>
        <w:t>course of dealing between the Borrowers, the Administrative Agent and the Lenders or their respective agents or employees shall be</w:t>
      </w:r>
    </w:p>
    <w:p>
      <w:pPr>
        <w:spacing w:after="0" w:line="1" w:lineRule="exact"/>
        <w:rPr>
          <w:sz w:val="20"/>
          <w:szCs w:val="20"/>
          <w:color w:val="auto"/>
        </w:rPr>
      </w:pPr>
    </w:p>
    <w:p>
      <w:pPr>
        <w:ind w:left="60"/>
        <w:spacing w:after="0" w:line="220" w:lineRule="auto"/>
        <w:rPr>
          <w:sz w:val="20"/>
          <w:szCs w:val="20"/>
          <w:color w:val="auto"/>
        </w:rPr>
      </w:pPr>
      <w:r>
        <w:rPr>
          <w:rFonts w:ascii="Arial" w:cs="Arial" w:eastAsia="Arial" w:hAnsi="Arial"/>
          <w:sz w:val="20"/>
          <w:szCs w:val="20"/>
          <w:color w:val="auto"/>
        </w:rPr>
        <w:t>effective to change, modify or discharge any provision of this Agreement or any of the other Loan Documents or to constitute a waiver of any Event of Default.</w:t>
      </w:r>
    </w:p>
    <w:p>
      <w:pPr>
        <w:spacing w:after="0" w:line="210" w:lineRule="exact"/>
        <w:rPr>
          <w:sz w:val="20"/>
          <w:szCs w:val="20"/>
          <w:color w:val="auto"/>
        </w:rPr>
      </w:pPr>
    </w:p>
    <w:p>
      <w:pPr>
        <w:jc w:val="both"/>
        <w:ind w:left="60" w:firstLine="644"/>
        <w:spacing w:after="0" w:line="231" w:lineRule="auto"/>
        <w:tabs>
          <w:tab w:leader="none" w:pos="123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Section 10.2 for the benefit of all the Lenders and the Issuing Lenders; provided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Section 12.4 (subject to the terms of Section 5.6), or (d) any Lender from filing proofs of claim or appearing and filing pleadings on its own behalf during the pendency of a proceeding relative to any Credit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Section</w:t>
      </w:r>
    </w:p>
    <w:p>
      <w:pPr>
        <w:spacing w:after="0" w:line="1" w:lineRule="exact"/>
        <w:rPr>
          <w:rFonts w:ascii="Arial" w:cs="Arial" w:eastAsia="Arial" w:hAnsi="Arial"/>
          <w:sz w:val="18"/>
          <w:szCs w:val="18"/>
          <w:color w:val="auto"/>
        </w:rPr>
      </w:pPr>
    </w:p>
    <w:p>
      <w:pPr>
        <w:ind w:left="60" w:right="20"/>
        <w:spacing w:after="0" w:line="312" w:lineRule="auto"/>
        <w:rPr>
          <w:rFonts w:ascii="Arial" w:cs="Arial" w:eastAsia="Arial" w:hAnsi="Arial"/>
          <w:sz w:val="18"/>
          <w:szCs w:val="18"/>
          <w:color w:val="auto"/>
        </w:rPr>
      </w:pPr>
      <w:r>
        <w:rPr>
          <w:rFonts w:ascii="Arial" w:cs="Arial" w:eastAsia="Arial" w:hAnsi="Arial"/>
          <w:sz w:val="16"/>
          <w:szCs w:val="16"/>
          <w:u w:val="single" w:color="auto"/>
          <w:color w:val="auto"/>
        </w:rPr>
        <w:t>10.b</w:t>
      </w:r>
      <w:r>
        <w:rPr>
          <w:rFonts w:ascii="Arial" w:cs="Arial" w:eastAsia="Arial" w:hAnsi="Arial"/>
          <w:sz w:val="16"/>
          <w:szCs w:val="16"/>
          <w:color w:val="auto"/>
        </w:rPr>
        <w:t xml:space="preserve"> and (ii) in addition to the matters set forth in clauses (b), (c) and (d) of the preceding proviso and subject to Section 5.6, any Lender may, with the consent of the Required Lenders, enforce any rights and remedies available to it and as authorized by the Required Lenders.</w:t>
      </w:r>
    </w:p>
    <w:p>
      <w:pPr>
        <w:spacing w:after="0" w:line="154"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6"/>
          <w:szCs w:val="16"/>
          <w:color w:val="auto"/>
        </w:rPr>
        <w:t>Crediting of Payments and Proceeds</w:t>
      </w:r>
    </w:p>
    <w:p>
      <w:pPr>
        <w:spacing w:after="0" w:line="270" w:lineRule="exact"/>
        <w:rPr>
          <w:sz w:val="20"/>
          <w:szCs w:val="20"/>
          <w:color w:val="auto"/>
        </w:rPr>
      </w:pPr>
    </w:p>
    <w:p>
      <w:pPr>
        <w:jc w:val="both"/>
        <w:ind w:left="60" w:right="20" w:hanging="4"/>
        <w:spacing w:after="0" w:line="227" w:lineRule="auto"/>
        <w:tabs>
          <w:tab w:leader="none" w:pos="162" w:val="left"/>
        </w:tabs>
        <w:numPr>
          <w:ilvl w:val="0"/>
          <w:numId w:val="409"/>
        </w:numPr>
        <w:rPr>
          <w:rFonts w:ascii="Arial" w:cs="Arial" w:eastAsia="Arial" w:hAnsi="Arial"/>
          <w:sz w:val="20"/>
          <w:szCs w:val="20"/>
          <w:color w:val="auto"/>
        </w:rPr>
      </w:pPr>
      <w:r>
        <w:rPr>
          <w:rFonts w:ascii="Arial" w:cs="Arial" w:eastAsia="Arial" w:hAnsi="Arial"/>
          <w:sz w:val="20"/>
          <w:szCs w:val="20"/>
          <w:color w:val="auto"/>
        </w:rPr>
        <w:t>In the event that the Obligations have been accelerated pursuant to Section 10.2 or the Administrative Agent or any Lender has exercised any remedy set forth in this Agreement or any other Loan Document, all payments received on account of the Secured Obligations and all net proceeds from the enforcement of the Secured Obligations shall be applied:</w:t>
      </w:r>
    </w:p>
    <w:p>
      <w:pPr>
        <w:spacing w:after="0" w:line="197" w:lineRule="exact"/>
        <w:rPr>
          <w:rFonts w:ascii="Arial" w:cs="Arial" w:eastAsia="Arial" w:hAnsi="Arial"/>
          <w:sz w:val="20"/>
          <w:szCs w:val="20"/>
          <w:color w:val="auto"/>
        </w:rPr>
      </w:pPr>
    </w:p>
    <w:p>
      <w:pPr>
        <w:ind w:left="60" w:right="20" w:firstLine="540"/>
        <w:spacing w:after="0" w:line="257" w:lineRule="auto"/>
        <w:tabs>
          <w:tab w:leader="none" w:pos="1248" w:val="left"/>
        </w:tabs>
        <w:numPr>
          <w:ilvl w:val="1"/>
          <w:numId w:val="409"/>
        </w:numPr>
        <w:rPr>
          <w:rFonts w:ascii="Arial" w:cs="Arial" w:eastAsia="Arial" w:hAnsi="Arial"/>
          <w:sz w:val="19"/>
          <w:szCs w:val="19"/>
          <w:color w:val="auto"/>
        </w:rPr>
      </w:pPr>
      <w:r>
        <w:rPr>
          <w:rFonts w:ascii="Arial" w:cs="Arial" w:eastAsia="Arial" w:hAnsi="Arial"/>
          <w:sz w:val="19"/>
          <w:szCs w:val="19"/>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180" w:lineRule="exact"/>
        <w:rPr>
          <w:sz w:val="20"/>
          <w:szCs w:val="20"/>
          <w:color w:val="auto"/>
        </w:rPr>
      </w:pPr>
    </w:p>
    <w:p>
      <w:pPr>
        <w:ind w:left="700" w:right="20" w:firstLine="648"/>
        <w:spacing w:after="0" w:line="236" w:lineRule="auto"/>
        <w:rPr>
          <w:sz w:val="20"/>
          <w:szCs w:val="20"/>
          <w:color w:val="auto"/>
        </w:rPr>
      </w:pPr>
      <w:r>
        <w:rPr>
          <w:rFonts w:ascii="Arial" w:cs="Arial" w:eastAsia="Arial" w:hAnsi="Arial"/>
          <w:sz w:val="20"/>
          <w:szCs w:val="20"/>
          <w:color w:val="auto"/>
        </w:rPr>
        <w:t>First, to payment of that portion of the US Secured Obligations constituting fees, indemnities, expenses and other amounts, including attorney fees, payable to the Administrative Agent in its capacity as such;</w:t>
      </w:r>
    </w:p>
    <w:p>
      <w:pPr>
        <w:spacing w:after="0" w:line="1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Second, to payment of that portion of the US Secured Obligations constituting fees (other than Commitment Fees and</w:t>
      </w:r>
    </w:p>
    <w:p>
      <w:pPr>
        <w:spacing w:after="0" w:line="12" w:lineRule="exact"/>
        <w:rPr>
          <w:sz w:val="20"/>
          <w:szCs w:val="20"/>
          <w:color w:val="auto"/>
        </w:rPr>
      </w:pPr>
    </w:p>
    <w:p>
      <w:pPr>
        <w:ind w:left="700"/>
        <w:spacing w:after="0" w:line="255" w:lineRule="auto"/>
        <w:rPr>
          <w:sz w:val="20"/>
          <w:szCs w:val="20"/>
          <w:color w:val="auto"/>
        </w:rPr>
      </w:pPr>
      <w:r>
        <w:rPr>
          <w:rFonts w:ascii="Arial" w:cs="Arial" w:eastAsia="Arial" w:hAnsi="Arial"/>
          <w:sz w:val="16"/>
          <w:szCs w:val="16"/>
          <w:color w:val="auto"/>
        </w:rPr>
        <w:t>Letter of Credit fees payable to the Revolving Credit Lenders), indemnities and other amounts (other than principal and interest) payable to the Lenders, the Issuing Lenders and the Swingline Lenders under the Loan Documents, including attorney fees, ratably</w:t>
      </w:r>
    </w:p>
    <w:p>
      <w:pPr>
        <w:spacing w:after="0" w:line="1" w:lineRule="exact"/>
        <w:rPr>
          <w:sz w:val="20"/>
          <w:szCs w:val="20"/>
          <w:color w:val="auto"/>
        </w:rPr>
      </w:pPr>
    </w:p>
    <w:p>
      <w:pPr>
        <w:ind w:left="700"/>
        <w:spacing w:after="0" w:line="227" w:lineRule="auto"/>
        <w:rPr>
          <w:sz w:val="20"/>
          <w:szCs w:val="20"/>
          <w:color w:val="auto"/>
        </w:rPr>
      </w:pPr>
      <w:r>
        <w:rPr>
          <w:rFonts w:ascii="Arial" w:cs="Arial" w:eastAsia="Arial" w:hAnsi="Arial"/>
          <w:sz w:val="20"/>
          <w:szCs w:val="20"/>
          <w:color w:val="auto"/>
        </w:rPr>
        <w:t>among the Lenders, the Issuing Lenders and the Swingline Lenders in proportion to the respective amounts described in this clause Second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29" w:name="page230"/>
    <w:bookmarkEnd w:id="229"/>
    <w:p>
      <w:pPr>
        <w:spacing w:after="0" w:line="20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Third, to payment of that portion of the US Secured Obligations constituting accrued and unpaid Commitment Fees, Letter</w:t>
      </w:r>
    </w:p>
    <w:p>
      <w:pPr>
        <w:spacing w:after="0" w:line="12" w:lineRule="exact"/>
        <w:rPr>
          <w:sz w:val="20"/>
          <w:szCs w:val="20"/>
          <w:color w:val="auto"/>
        </w:rPr>
      </w:pPr>
    </w:p>
    <w:p>
      <w:pPr>
        <w:ind w:left="700"/>
        <w:spacing w:after="0" w:line="226" w:lineRule="auto"/>
        <w:rPr>
          <w:sz w:val="20"/>
          <w:szCs w:val="20"/>
          <w:color w:val="auto"/>
        </w:rPr>
      </w:pPr>
      <w:r>
        <w:rPr>
          <w:rFonts w:ascii="Arial" w:cs="Arial" w:eastAsia="Arial" w:hAnsi="Arial"/>
          <w:sz w:val="18"/>
          <w:szCs w:val="18"/>
          <w:color w:val="auto"/>
        </w:rPr>
        <w:t>of Credit fees payable to the Revolving Credit Lenders and interest on the Loans and Reimbursement Obligations, ratably among the Lenders, the Issuing Lenders and the Swingline Lenders in proportion to the respective amounts described in this clause Third</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payable to them;</w:t>
      </w:r>
    </w:p>
    <w:p>
      <w:pPr>
        <w:spacing w:after="0" w:line="25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Fourth, to payment of that portion of the US Secured Obligations constituting unpaid principal of the Loans,</w:t>
      </w:r>
    </w:p>
    <w:p>
      <w:pPr>
        <w:ind w:left="700"/>
        <w:spacing w:after="0" w:line="226" w:lineRule="auto"/>
        <w:rPr>
          <w:sz w:val="20"/>
          <w:szCs w:val="20"/>
          <w:color w:val="auto"/>
        </w:rPr>
      </w:pPr>
      <w:r>
        <w:rPr>
          <w:rFonts w:ascii="Arial" w:cs="Arial" w:eastAsia="Arial" w:hAnsi="Arial"/>
          <w:sz w:val="18"/>
          <w:szCs w:val="18"/>
          <w:color w:val="auto"/>
        </w:rPr>
        <w:t>Reimbursement Obligations and payment obligations then owing under Secured Hedge Agreements and Secured Cash Management Agreements and to Cash Collateralize any US L/C Obligations then outstanding, ratably among the Lenders, the</w:t>
      </w:r>
    </w:p>
    <w:p>
      <w:pPr>
        <w:spacing w:after="0" w:line="2" w:lineRule="exact"/>
        <w:rPr>
          <w:sz w:val="20"/>
          <w:szCs w:val="20"/>
          <w:color w:val="auto"/>
        </w:rPr>
      </w:pPr>
    </w:p>
    <w:p>
      <w:pPr>
        <w:ind w:left="700" w:right="20"/>
        <w:spacing w:after="0" w:line="227" w:lineRule="auto"/>
        <w:rPr>
          <w:sz w:val="20"/>
          <w:szCs w:val="20"/>
          <w:color w:val="auto"/>
        </w:rPr>
      </w:pPr>
      <w:r>
        <w:rPr>
          <w:rFonts w:ascii="Arial" w:cs="Arial" w:eastAsia="Arial" w:hAnsi="Arial"/>
          <w:sz w:val="20"/>
          <w:szCs w:val="20"/>
          <w:color w:val="auto"/>
        </w:rPr>
        <w:t>Issuing Lenders, Swingline Lenders, the Hedge Banks and the Cash Management Banks in proportion to the respective amounts described in this clause Fourth payable to them;</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Fifth, to the payment of the Canadian Secured Obligations in the order set forth in clause</w:t>
      </w:r>
    </w:p>
    <w:p>
      <w:pPr>
        <w:ind w:left="980" w:hanging="435"/>
        <w:spacing w:after="0"/>
        <w:tabs>
          <w:tab w:leader="none" w:pos="98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below; and</w:t>
      </w:r>
    </w:p>
    <w:p>
      <w:pPr>
        <w:spacing w:after="0" w:line="200" w:lineRule="exact"/>
        <w:rPr>
          <w:sz w:val="20"/>
          <w:szCs w:val="20"/>
          <w:color w:val="auto"/>
        </w:rPr>
      </w:pPr>
    </w:p>
    <w:p>
      <w:pPr>
        <w:ind w:left="700" w:right="20" w:firstLine="648"/>
        <w:spacing w:after="0" w:line="236" w:lineRule="auto"/>
        <w:rPr>
          <w:sz w:val="20"/>
          <w:szCs w:val="20"/>
          <w:color w:val="auto"/>
        </w:rPr>
      </w:pPr>
      <w:r>
        <w:rPr>
          <w:rFonts w:ascii="Arial" w:cs="Arial" w:eastAsia="Arial" w:hAnsi="Arial"/>
          <w:sz w:val="20"/>
          <w:szCs w:val="20"/>
          <w:color w:val="auto"/>
        </w:rPr>
        <w:t>Last, the balance, if any, after all of the US Secured Obligations and the Canadian Secured Obligations have been indefeasibly paid in full, to the Borrowers or as otherwise required by Applicable Law.</w:t>
      </w:r>
    </w:p>
    <w:p>
      <w:pPr>
        <w:spacing w:after="0" w:line="196" w:lineRule="exact"/>
        <w:rPr>
          <w:sz w:val="20"/>
          <w:szCs w:val="20"/>
          <w:color w:val="auto"/>
        </w:rPr>
      </w:pPr>
    </w:p>
    <w:p>
      <w:pPr>
        <w:jc w:val="both"/>
        <w:ind w:left="60" w:firstLine="643"/>
        <w:spacing w:after="0" w:line="227" w:lineRule="auto"/>
        <w:tabs>
          <w:tab w:leader="none" w:pos="1031" w:val="left"/>
        </w:tabs>
        <w:numPr>
          <w:ilvl w:val="0"/>
          <w:numId w:val="411"/>
        </w:numPr>
        <w:rPr>
          <w:rFonts w:ascii="Arial" w:cs="Arial" w:eastAsia="Arial" w:hAnsi="Arial"/>
          <w:sz w:val="20"/>
          <w:szCs w:val="20"/>
          <w:color w:val="auto"/>
        </w:rPr>
      </w:pPr>
      <w:r>
        <w:rPr>
          <w:rFonts w:ascii="Arial" w:cs="Arial" w:eastAsia="Arial" w:hAnsi="Arial"/>
          <w:sz w:val="20"/>
          <w:szCs w:val="20"/>
          <w:color w:val="auto"/>
        </w:rPr>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198" w:lineRule="exact"/>
        <w:rPr>
          <w:sz w:val="20"/>
          <w:szCs w:val="20"/>
          <w:color w:val="auto"/>
        </w:rPr>
      </w:pPr>
    </w:p>
    <w:p>
      <w:pPr>
        <w:ind w:left="740" w:right="20" w:firstLine="648"/>
        <w:spacing w:after="0" w:line="236" w:lineRule="auto"/>
        <w:rPr>
          <w:sz w:val="20"/>
          <w:szCs w:val="20"/>
          <w:color w:val="auto"/>
        </w:rPr>
      </w:pPr>
      <w:r>
        <w:rPr>
          <w:rFonts w:ascii="Arial" w:cs="Arial" w:eastAsia="Arial" w:hAnsi="Arial"/>
          <w:sz w:val="20"/>
          <w:szCs w:val="20"/>
          <w:color w:val="auto"/>
        </w:rPr>
        <w:t>First, to payment of that portion of the Canadian Secured Obligations constituting fees, indemnities, expenses and other amounts, including attorney fees, payable to the Administrative Agent in its capacity as such;</w:t>
      </w:r>
    </w:p>
    <w:p>
      <w:pPr>
        <w:spacing w:after="0" w:line="19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Second, to payment of that portion of the Canadian Secured Obligations constituting fees (other than Commitment Fees</w:t>
      </w:r>
    </w:p>
    <w:p>
      <w:pPr>
        <w:spacing w:after="0" w:line="12" w:lineRule="exact"/>
        <w:rPr>
          <w:sz w:val="20"/>
          <w:szCs w:val="20"/>
          <w:color w:val="auto"/>
        </w:rPr>
      </w:pPr>
    </w:p>
    <w:p>
      <w:pPr>
        <w:ind w:left="740"/>
        <w:spacing w:after="0" w:line="226" w:lineRule="auto"/>
        <w:rPr>
          <w:sz w:val="20"/>
          <w:szCs w:val="20"/>
          <w:color w:val="auto"/>
        </w:rPr>
      </w:pPr>
      <w:r>
        <w:rPr>
          <w:rFonts w:ascii="Arial" w:cs="Arial" w:eastAsia="Arial" w:hAnsi="Arial"/>
          <w:sz w:val="18"/>
          <w:szCs w:val="18"/>
          <w:color w:val="auto"/>
        </w:rPr>
        <w:t>and Letter of Credit fees payable to the Revolving Credit Lenders), indemnities and other amounts (other than principal and interest) payable to the Lenders, the Issuing Lenders and the Swingline Lenders under the Loan Documents, including attorney</w:t>
      </w:r>
    </w:p>
    <w:p>
      <w:pPr>
        <w:spacing w:after="0" w:line="2" w:lineRule="exact"/>
        <w:rPr>
          <w:sz w:val="20"/>
          <w:szCs w:val="20"/>
          <w:color w:val="auto"/>
        </w:rPr>
      </w:pPr>
    </w:p>
    <w:p>
      <w:pPr>
        <w:ind w:left="740"/>
        <w:spacing w:after="0" w:line="227" w:lineRule="auto"/>
        <w:rPr>
          <w:sz w:val="20"/>
          <w:szCs w:val="20"/>
          <w:color w:val="auto"/>
        </w:rPr>
      </w:pPr>
      <w:r>
        <w:rPr>
          <w:rFonts w:ascii="Arial" w:cs="Arial" w:eastAsia="Arial" w:hAnsi="Arial"/>
          <w:sz w:val="20"/>
          <w:szCs w:val="20"/>
          <w:color w:val="auto"/>
        </w:rPr>
        <w:t>fees, ratably among the Lenders, the Issuing Lenders and the Swingline Lenders in proportion to the respective amounts described in this clause Second payable to them;</w:t>
      </w:r>
    </w:p>
    <w:p>
      <w:pPr>
        <w:spacing w:after="0" w:line="264" w:lineRule="exact"/>
        <w:rPr>
          <w:sz w:val="20"/>
          <w:szCs w:val="20"/>
          <w:color w:val="auto"/>
        </w:rPr>
      </w:pPr>
    </w:p>
    <w:p>
      <w:pPr>
        <w:jc w:val="both"/>
        <w:ind w:left="740" w:firstLine="648"/>
        <w:spacing w:after="0" w:line="236" w:lineRule="auto"/>
        <w:rPr>
          <w:sz w:val="20"/>
          <w:szCs w:val="20"/>
          <w:color w:val="auto"/>
        </w:rPr>
      </w:pPr>
      <w:r>
        <w:rPr>
          <w:rFonts w:ascii="Arial" w:cs="Arial" w:eastAsia="Arial" w:hAnsi="Arial"/>
          <w:sz w:val="18"/>
          <w:szCs w:val="18"/>
          <w:color w:val="auto"/>
        </w:rPr>
        <w:t>Third, to payment of that portion of the Canadian Secured Obligations constituting accrued and unpaid Commitment Fees and Letter of Credit fees payable to the Revolving Credit Lenders and interest on the Loans and the Reimbursement Obligations,</w:t>
      </w:r>
    </w:p>
    <w:p>
      <w:pPr>
        <w:ind w:left="740"/>
        <w:spacing w:after="0" w:line="220" w:lineRule="auto"/>
        <w:rPr>
          <w:sz w:val="20"/>
          <w:szCs w:val="20"/>
          <w:color w:val="auto"/>
        </w:rPr>
      </w:pPr>
      <w:r>
        <w:rPr>
          <w:rFonts w:ascii="Arial" w:cs="Arial" w:eastAsia="Arial" w:hAnsi="Arial"/>
          <w:sz w:val="20"/>
          <w:szCs w:val="20"/>
          <w:color w:val="auto"/>
        </w:rPr>
        <w:t>ratably among the Lenders, the Issuing Lenders and the Swingline Lenders in proportion to the respective amounts described in this clause Third payable to them;</w:t>
      </w:r>
    </w:p>
    <w:p>
      <w:pPr>
        <w:spacing w:after="0" w:line="264" w:lineRule="exact"/>
        <w:rPr>
          <w:sz w:val="20"/>
          <w:szCs w:val="20"/>
          <w:color w:val="auto"/>
        </w:rPr>
      </w:pPr>
    </w:p>
    <w:p>
      <w:pPr>
        <w:ind w:left="740" w:firstLine="648"/>
        <w:spacing w:after="0" w:line="244" w:lineRule="auto"/>
        <w:rPr>
          <w:sz w:val="20"/>
          <w:szCs w:val="20"/>
          <w:color w:val="auto"/>
        </w:rPr>
      </w:pPr>
      <w:r>
        <w:rPr>
          <w:rFonts w:ascii="Arial" w:cs="Arial" w:eastAsia="Arial" w:hAnsi="Arial"/>
          <w:sz w:val="18"/>
          <w:szCs w:val="18"/>
          <w:color w:val="auto"/>
        </w:rPr>
        <w:t>Fourth, to payment of that portion of the Canadian Secured Obligations constituting unpaid principal of the Loans, Reimbursement Obligations and payment obligations then owing under Secured Hedge Agreements with Canadian Hedge Banks</w:t>
      </w:r>
    </w:p>
    <w:p>
      <w:pPr>
        <w:ind w:left="740"/>
        <w:spacing w:after="0" w:line="255" w:lineRule="auto"/>
        <w:rPr>
          <w:sz w:val="20"/>
          <w:szCs w:val="20"/>
          <w:color w:val="auto"/>
        </w:rPr>
      </w:pPr>
      <w:r>
        <w:rPr>
          <w:rFonts w:ascii="Arial" w:cs="Arial" w:eastAsia="Arial" w:hAnsi="Arial"/>
          <w:sz w:val="16"/>
          <w:szCs w:val="16"/>
          <w:color w:val="auto"/>
        </w:rPr>
        <w:t>and Secured Cash Management Agreements with Canadian Cash Management Banks and to Cash Collateralize any Canadian L/C Obligations then outstanding, ratably among the Lenders, the Issuing Lenders and the Swingline Lenders, the Canadian Hedge</w:t>
      </w:r>
    </w:p>
    <w:p>
      <w:pPr>
        <w:spacing w:after="0" w:line="1" w:lineRule="exact"/>
        <w:rPr>
          <w:sz w:val="20"/>
          <w:szCs w:val="20"/>
          <w:color w:val="auto"/>
        </w:rPr>
      </w:pPr>
    </w:p>
    <w:p>
      <w:pPr>
        <w:ind w:left="740" w:right="20"/>
        <w:spacing w:after="0" w:line="227" w:lineRule="auto"/>
        <w:rPr>
          <w:sz w:val="20"/>
          <w:szCs w:val="20"/>
          <w:color w:val="auto"/>
        </w:rPr>
      </w:pPr>
      <w:r>
        <w:rPr>
          <w:rFonts w:ascii="Arial" w:cs="Arial" w:eastAsia="Arial" w:hAnsi="Arial"/>
          <w:sz w:val="20"/>
          <w:szCs w:val="20"/>
          <w:color w:val="auto"/>
        </w:rPr>
        <w:t>Banks and the Canadian Cash Management Banks in proportion to the respective amounts described in this clause Fourth payable to them; and</w:t>
      </w:r>
    </w:p>
    <w:p>
      <w:pPr>
        <w:spacing w:after="0" w:line="251" w:lineRule="exact"/>
        <w:rPr>
          <w:sz w:val="20"/>
          <w:szCs w:val="20"/>
          <w:color w:val="auto"/>
        </w:rPr>
      </w:pPr>
    </w:p>
    <w:p>
      <w:pPr>
        <w:ind w:left="740" w:right="820" w:firstLine="648"/>
        <w:spacing w:after="0" w:line="236" w:lineRule="auto"/>
        <w:rPr>
          <w:sz w:val="20"/>
          <w:szCs w:val="20"/>
          <w:color w:val="auto"/>
        </w:rPr>
      </w:pPr>
      <w:r>
        <w:rPr>
          <w:rFonts w:ascii="Arial" w:cs="Arial" w:eastAsia="Arial" w:hAnsi="Arial"/>
          <w:sz w:val="20"/>
          <w:szCs w:val="20"/>
          <w:color w:val="auto"/>
        </w:rPr>
        <w:t>Last, the balance, if any, after all of the Canadian Secured Obligations have been indefeasibly paid in full, to the Canadian Borrowers or as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0" w:name="page231"/>
    <w:bookmarkEnd w:id="230"/>
    <w:p>
      <w:pPr>
        <w:ind w:left="700"/>
        <w:spacing w:after="0"/>
        <w:rPr>
          <w:sz w:val="20"/>
          <w:szCs w:val="20"/>
          <w:color w:val="auto"/>
        </w:rPr>
      </w:pPr>
      <w:r>
        <w:rPr>
          <w:rFonts w:ascii="Arial" w:cs="Arial" w:eastAsia="Arial" w:hAnsi="Arial"/>
          <w:sz w:val="18"/>
          <w:szCs w:val="18"/>
          <w:color w:val="auto"/>
        </w:rPr>
        <w:t>Notwithstanding the foregoing, Secured Obligations arising under Secured Cash Management Agreements and Secured Hedge</w:t>
      </w:r>
    </w:p>
    <w:p>
      <w:pPr>
        <w:spacing w:after="0" w:line="1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Agreements shall be excluded from the application described above if the Administrative Agent has not received written notice thereof, together with such supporting documentation as the Administrative Agent may request, from the applicable Cash Management Bank or</w:t>
      </w:r>
    </w:p>
    <w:p>
      <w:pPr>
        <w:ind w:left="60"/>
        <w:spacing w:after="0" w:line="236" w:lineRule="auto"/>
        <w:rPr>
          <w:sz w:val="20"/>
          <w:szCs w:val="20"/>
          <w:color w:val="auto"/>
        </w:rPr>
      </w:pPr>
      <w:r>
        <w:rPr>
          <w:rFonts w:ascii="Arial" w:cs="Arial" w:eastAsia="Arial" w:hAnsi="Arial"/>
          <w:sz w:val="18"/>
          <w:szCs w:val="18"/>
          <w:color w:val="auto"/>
        </w:rPr>
        <w:t>Hedge Bank, as the case may be, following such acceleration or exercise of remedies and at least three (3) Business Days prior to the</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application of the proceeds thereof. Each Cash Management Bank or Hedge Bank that is not a party to this Agreement that has given the notice contemplated by the preceding sentence shall, by such notice, be deemed to have acknowledged and accepted the appointment of</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Administrative Agent pursuant to the terms of Article XI for itself and its Affiliates as if a “Lender” party hereto.</w:t>
      </w:r>
    </w:p>
    <w:p>
      <w:pPr>
        <w:spacing w:after="0" w:line="267"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10.5</w:t>
      </w:r>
      <w:r>
        <w:rPr>
          <w:sz w:val="20"/>
          <w:szCs w:val="20"/>
          <w:color w:val="auto"/>
        </w:rPr>
        <w:tab/>
      </w:r>
      <w:r>
        <w:rPr>
          <w:rFonts w:ascii="Arial" w:cs="Arial" w:eastAsia="Arial" w:hAnsi="Arial"/>
          <w:sz w:val="18"/>
          <w:szCs w:val="18"/>
          <w:color w:val="auto"/>
        </w:rPr>
        <w:t>Administrative Agent May File Proofs of Claim</w:t>
      </w:r>
    </w:p>
    <w:p>
      <w:pPr>
        <w:spacing w:after="0" w:line="283" w:lineRule="exact"/>
        <w:rPr>
          <w:sz w:val="20"/>
          <w:szCs w:val="20"/>
          <w:color w:val="auto"/>
        </w:rPr>
      </w:pPr>
    </w:p>
    <w:p>
      <w:pPr>
        <w:jc w:val="both"/>
        <w:ind w:left="60" w:hanging="5"/>
        <w:spacing w:after="0" w:line="231" w:lineRule="auto"/>
        <w:tabs>
          <w:tab w:leader="none" w:pos="16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98" w:lineRule="exact"/>
        <w:rPr>
          <w:rFonts w:ascii="Arial" w:cs="Arial" w:eastAsia="Arial" w:hAnsi="Arial"/>
          <w:sz w:val="19"/>
          <w:szCs w:val="19"/>
          <w:color w:val="auto"/>
        </w:rPr>
      </w:pPr>
    </w:p>
    <w:p>
      <w:pPr>
        <w:jc w:val="both"/>
        <w:ind w:left="60" w:firstLine="644"/>
        <w:spacing w:after="0" w:line="214" w:lineRule="auto"/>
        <w:tabs>
          <w:tab w:leader="none" w:pos="1236" w:val="left"/>
        </w:tabs>
        <w:numPr>
          <w:ilvl w:val="1"/>
          <w:numId w:val="412"/>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Sections 3.3, 5.3 and 12.3) allowed in such judicial proceeding; and</w:t>
      </w:r>
    </w:p>
    <w:p>
      <w:pPr>
        <w:spacing w:after="0" w:line="268" w:lineRule="exact"/>
        <w:rPr>
          <w:rFonts w:ascii="Arial" w:cs="Arial" w:eastAsia="Arial" w:hAnsi="Arial"/>
          <w:sz w:val="20"/>
          <w:szCs w:val="20"/>
          <w:color w:val="auto"/>
        </w:rPr>
      </w:pPr>
    </w:p>
    <w:p>
      <w:pPr>
        <w:ind w:left="1240" w:hanging="536"/>
        <w:spacing w:after="0"/>
        <w:tabs>
          <w:tab w:leader="none" w:pos="12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52" w:lineRule="exact"/>
        <w:rPr>
          <w:sz w:val="20"/>
          <w:szCs w:val="20"/>
          <w:color w:val="auto"/>
        </w:rPr>
      </w:pPr>
    </w:p>
    <w:p>
      <w:pPr>
        <w:ind w:left="60" w:right="20"/>
        <w:spacing w:after="0" w:line="236"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Issuing Lender to make such payments to the Administrative Agent and, in the event that the</w:t>
      </w:r>
    </w:p>
    <w:p>
      <w:pPr>
        <w:ind w:left="60"/>
        <w:spacing w:after="0" w:line="222" w:lineRule="auto"/>
        <w:rPr>
          <w:sz w:val="20"/>
          <w:szCs w:val="20"/>
          <w:color w:val="auto"/>
        </w:rPr>
      </w:pPr>
      <w:r>
        <w:rPr>
          <w:rFonts w:ascii="Arial" w:cs="Arial" w:eastAsia="Arial" w:hAnsi="Arial"/>
          <w:sz w:val="19"/>
          <w:szCs w:val="19"/>
          <w:color w:val="auto"/>
        </w:rPr>
        <w:t>Administrative Agent shall consent to the making of such payments directly to the Lenders and the Issuing Lenders, to pay to the</w:t>
      </w:r>
    </w:p>
    <w:p>
      <w:pPr>
        <w:spacing w:after="0" w:line="1" w:lineRule="exact"/>
        <w:rPr>
          <w:sz w:val="20"/>
          <w:szCs w:val="20"/>
          <w:color w:val="auto"/>
        </w:rPr>
      </w:pPr>
    </w:p>
    <w:p>
      <w:pPr>
        <w:ind w:left="60"/>
        <w:spacing w:after="0" w:line="250" w:lineRule="auto"/>
        <w:rPr>
          <w:sz w:val="20"/>
          <w:szCs w:val="20"/>
          <w:color w:val="auto"/>
        </w:rPr>
      </w:pPr>
      <w:r>
        <w:rPr>
          <w:rFonts w:ascii="Arial" w:cs="Arial" w:eastAsia="Arial" w:hAnsi="Arial"/>
          <w:sz w:val="18"/>
          <w:szCs w:val="18"/>
          <w:color w:val="auto"/>
        </w:rPr>
        <w:t>Administrative Agent any amount due for the reasonable compensation, expenses, disbursements and advances of the Administrative Agent and its agents and counsel, and any other amounts due the Administrative Agent under Sections 3.3, 5.3 and 12.3.</w:t>
      </w: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behalf of any Lender or any Issuing Lender any plan of reorganization, arrangement, adjustment or composition affecting the Obligations or the rights of any Lender or any Issuing Lender to authorize the Administrative Agent to vote in respect of the claim of any Lender or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any Issuing Lender in any such proceeding.</w:t>
      </w:r>
    </w:p>
    <w:p>
      <w:pPr>
        <w:spacing w:after="0" w:line="200"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8"/>
          <w:szCs w:val="18"/>
          <w:color w:val="auto"/>
        </w:rPr>
        <w:t>Credit Bidding.</w:t>
      </w:r>
    </w:p>
    <w:p>
      <w:pPr>
        <w:spacing w:after="0" w:line="283" w:lineRule="exact"/>
        <w:rPr>
          <w:sz w:val="20"/>
          <w:szCs w:val="20"/>
          <w:color w:val="auto"/>
        </w:rPr>
      </w:pPr>
    </w:p>
    <w:p>
      <w:pPr>
        <w:jc w:val="both"/>
        <w:ind w:left="60" w:firstLine="644"/>
        <w:spacing w:after="0" w:line="229" w:lineRule="auto"/>
        <w:tabs>
          <w:tab w:leader="none" w:pos="1236" w:val="left"/>
        </w:tabs>
        <w:numPr>
          <w:ilvl w:val="0"/>
          <w:numId w:val="413"/>
        </w:numPr>
        <w:rPr>
          <w:rFonts w:ascii="Arial" w:cs="Arial" w:eastAsia="Arial" w:hAnsi="Arial"/>
          <w:sz w:val="19"/>
          <w:szCs w:val="19"/>
          <w:color w:val="auto"/>
        </w:rPr>
      </w:pPr>
      <w:r>
        <w:rPr>
          <w:rFonts w:ascii="Arial" w:cs="Arial" w:eastAsia="Arial" w:hAnsi="Arial"/>
          <w:sz w:val="19"/>
          <w:szCs w:val="19"/>
          <w:color w:val="auto"/>
        </w:rPr>
        <w:t>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31" w:name="page232"/>
    <w:bookmarkEnd w:id="231"/>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 a sale under a plan of reorganization, or at any other sale or foreclosure conducted by the Administrative Agent (whether by judicial</w:t>
      </w:r>
    </w:p>
    <w:p>
      <w:pPr>
        <w:spacing w:after="0" w:line="1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action or otherwise) in accordance with Applicable Law. Such credit bid or purchase may be completed through one or more acquisition vehicles formed by the Administrative Agent to make such credit bid or purchase and, in connection therewith, the Administrative Agent</w:t>
      </w:r>
    </w:p>
    <w:p>
      <w:pPr>
        <w:ind w:left="60"/>
        <w:spacing w:after="0" w:line="236" w:lineRule="auto"/>
        <w:rPr>
          <w:sz w:val="20"/>
          <w:szCs w:val="20"/>
          <w:color w:val="auto"/>
        </w:rPr>
      </w:pPr>
      <w:r>
        <w:rPr>
          <w:rFonts w:ascii="Arial" w:cs="Arial" w:eastAsia="Arial" w:hAnsi="Arial"/>
          <w:sz w:val="18"/>
          <w:szCs w:val="18"/>
          <w:color w:val="auto"/>
        </w:rPr>
        <w:t>is authorized, on behalf of itself and the other Secured Parties, to adopt documents providing for the governance of the acquisition vehicle</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or vehicles, and assign the applicable Secured Obligations to any such acquisition vehicle in exchange for Equity Interests and/or debt issued by the applicable acquisition vehicle (which shall be deemed to be held for the ratable account of the applicable Secured Parties on</w:t>
      </w:r>
    </w:p>
    <w:p>
      <w:pPr>
        <w:ind w:left="60"/>
        <w:spacing w:after="0" w:line="236" w:lineRule="auto"/>
        <w:rPr>
          <w:sz w:val="20"/>
          <w:szCs w:val="20"/>
          <w:color w:val="auto"/>
        </w:rPr>
      </w:pPr>
      <w:r>
        <w:rPr>
          <w:rFonts w:ascii="Arial" w:cs="Arial" w:eastAsia="Arial" w:hAnsi="Arial"/>
          <w:sz w:val="18"/>
          <w:szCs w:val="18"/>
          <w:color w:val="auto"/>
        </w:rPr>
        <w:t>the basis of the Secured Obligations so assigned by each Secured Party); provided that any actions by the Administrative Agent with</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respect to such acquisition vehicle or vehicles, including any disposition of the assets or Equity Interests thereof, shall be governed, directly or indirectly, by the vote of the Required Lenders, irrespective of the termination of this Agreement and without giving effect to</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limitations on actions by the Required Lenders contained in Section 12.2.</w:t>
      </w:r>
    </w:p>
    <w:p>
      <w:pPr>
        <w:spacing w:after="0" w:line="267" w:lineRule="exact"/>
        <w:rPr>
          <w:sz w:val="20"/>
          <w:szCs w:val="20"/>
          <w:color w:val="auto"/>
        </w:rPr>
      </w:pPr>
    </w:p>
    <w:p>
      <w:pPr>
        <w:jc w:val="both"/>
        <w:ind w:left="60" w:firstLine="644"/>
        <w:spacing w:after="0" w:line="246" w:lineRule="auto"/>
        <w:tabs>
          <w:tab w:leader="none" w:pos="123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91"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6"/>
          <w:szCs w:val="16"/>
          <w:color w:val="auto"/>
        </w:rPr>
        <w:t>Judgment Currency</w:t>
      </w:r>
    </w:p>
    <w:p>
      <w:pPr>
        <w:spacing w:after="0" w:line="283" w:lineRule="exact"/>
        <w:rPr>
          <w:sz w:val="20"/>
          <w:szCs w:val="20"/>
          <w:color w:val="auto"/>
        </w:rPr>
      </w:pPr>
    </w:p>
    <w:p>
      <w:pPr>
        <w:jc w:val="both"/>
        <w:ind w:left="60" w:hanging="5"/>
        <w:spacing w:after="0" w:line="234" w:lineRule="auto"/>
        <w:tabs>
          <w:tab w:leader="none" w:pos="17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If, for the purpose of obtaining judgment in any court or obtaining an order enforcing a judgment, it becomes necessary to convert any amount due under this Agreement in Dollars or in any other currency (hereinafter in this Section 10.7 called the “first currency”) into any other currency (hereinafter in this Section 10.7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 date of the receipt by it of such payment in any second currency, to purchase, in accordance with such Secured Party’s normal banking procedures, with the amount of such second currency so received. If the amount of the first currency falls 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Section 10.7 shall survive the termination of the Loan Documents and payment of the obligations hereunder.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THE ADMINISTRATIVE AGENT</w:t>
      </w:r>
    </w:p>
    <w:p>
      <w:pPr>
        <w:spacing w:after="0" w:line="229"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color w:val="auto"/>
        </w:rPr>
        <w:t>Appointment and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2" w:name="page233"/>
    <w:bookmarkEnd w:id="232"/>
    <w:p>
      <w:pPr>
        <w:spacing w:after="0" w:line="209" w:lineRule="exact"/>
        <w:rPr>
          <w:sz w:val="20"/>
          <w:szCs w:val="20"/>
          <w:color w:val="auto"/>
        </w:rPr>
      </w:pPr>
    </w:p>
    <w:p>
      <w:pPr>
        <w:jc w:val="both"/>
        <w:ind w:left="60" w:firstLine="644"/>
        <w:spacing w:after="0" w:line="223" w:lineRule="auto"/>
        <w:tabs>
          <w:tab w:leader="none" w:pos="1236" w:val="left"/>
        </w:tabs>
        <w:numPr>
          <w:ilvl w:val="0"/>
          <w:numId w:val="416"/>
        </w:numPr>
        <w:rPr>
          <w:rFonts w:ascii="Arial" w:cs="Arial" w:eastAsia="Arial" w:hAnsi="Arial"/>
          <w:sz w:val="19"/>
          <w:szCs w:val="19"/>
          <w:color w:val="auto"/>
        </w:rPr>
      </w:pPr>
      <w:r>
        <w:rPr>
          <w:rFonts w:ascii="Arial" w:cs="Arial" w:eastAsia="Arial" w:hAnsi="Arial"/>
          <w:sz w:val="19"/>
          <w:szCs w:val="19"/>
          <w:color w:val="auto"/>
        </w:rPr>
        <w:t>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Sections 11.6 and 11.9 the provisions of this Article are solely for the benefit of the Administrative Agent, the Arrangers, the Lenders, the Issuing Lenders and their respective Related Parties,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7" w:lineRule="exact"/>
        <w:rPr>
          <w:rFonts w:ascii="Arial" w:cs="Arial" w:eastAsia="Arial" w:hAnsi="Arial"/>
          <w:sz w:val="19"/>
          <w:szCs w:val="19"/>
          <w:color w:val="auto"/>
        </w:rPr>
      </w:pPr>
    </w:p>
    <w:p>
      <w:pPr>
        <w:jc w:val="both"/>
        <w:ind w:left="60" w:firstLine="644"/>
        <w:spacing w:after="0" w:line="235" w:lineRule="auto"/>
        <w:tabs>
          <w:tab w:leader="none" w:pos="123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Administrative Agent shall also act as the “collateral agent”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Article XI for purposes of holding or enforcing any Lien on the Collateral (or any portion thereof) granted under the Security Documents, or for exercising any rights and remedies thereunder at the direction of the Administrative Agent), shall be entitled to the benefits of all provisions of Articles XI and XII (including Section 12.3, as though such co-agents, sub-agents and attorneys-in-fact were the “collateral agent” under the Loan Documents) as if set forth in full herein with respect thereto.</w:t>
      </w:r>
    </w:p>
    <w:p>
      <w:pPr>
        <w:spacing w:after="0" w:line="201"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color w:val="auto"/>
        </w:rPr>
        <w:t>Rights as a Lender</w:t>
      </w:r>
    </w:p>
    <w:p>
      <w:pPr>
        <w:spacing w:after="0" w:line="283" w:lineRule="exact"/>
        <w:rPr>
          <w:sz w:val="20"/>
          <w:szCs w:val="20"/>
          <w:color w:val="auto"/>
        </w:rPr>
      </w:pPr>
    </w:p>
    <w:p>
      <w:pPr>
        <w:jc w:val="both"/>
        <w:ind w:left="60" w:hanging="4"/>
        <w:spacing w:after="0" w:line="238" w:lineRule="auto"/>
        <w:tabs>
          <w:tab w:leader="none" w:pos="16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Consolidated Companies or other Affiliates thereof as if such Person were not the Administrative Agent hereunder and without any duty to account therefor to the Lenders or to provide notice to or consent of the Lenders with respect thereto.</w:t>
      </w:r>
    </w:p>
    <w:p>
      <w:pPr>
        <w:spacing w:after="0" w:line="197"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color w:val="auto"/>
        </w:rPr>
        <w:t>Exculpatory Provisions.</w:t>
      </w:r>
    </w:p>
    <w:p>
      <w:pPr>
        <w:spacing w:after="0" w:line="283" w:lineRule="exact"/>
        <w:rPr>
          <w:sz w:val="20"/>
          <w:szCs w:val="20"/>
          <w:color w:val="auto"/>
        </w:rPr>
      </w:pPr>
    </w:p>
    <w:p>
      <w:pPr>
        <w:jc w:val="both"/>
        <w:ind w:left="60" w:firstLine="644"/>
        <w:spacing w:after="0" w:line="259" w:lineRule="auto"/>
        <w:tabs>
          <w:tab w:leader="none" w:pos="123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spacing w:after="0" w:line="180" w:lineRule="exact"/>
        <w:rPr>
          <w:rFonts w:ascii="Arial" w:cs="Arial" w:eastAsia="Arial" w:hAnsi="Arial"/>
          <w:sz w:val="18"/>
          <w:szCs w:val="18"/>
          <w:color w:val="auto"/>
        </w:rPr>
      </w:pPr>
    </w:p>
    <w:p>
      <w:pPr>
        <w:ind w:left="700" w:right="120" w:firstLine="652"/>
        <w:spacing w:after="0" w:line="229" w:lineRule="auto"/>
        <w:tabs>
          <w:tab w:leader="none" w:pos="1877" w:val="left"/>
        </w:tabs>
        <w:numPr>
          <w:ilvl w:val="1"/>
          <w:numId w:val="418"/>
        </w:numPr>
        <w:rPr>
          <w:rFonts w:ascii="Arial" w:cs="Arial" w:eastAsia="Arial" w:hAnsi="Arial"/>
          <w:sz w:val="20"/>
          <w:szCs w:val="20"/>
          <w:color w:val="auto"/>
        </w:rPr>
      </w:pPr>
      <w:r>
        <w:rPr>
          <w:rFonts w:ascii="Arial" w:cs="Arial" w:eastAsia="Arial" w:hAnsi="Arial"/>
          <w:sz w:val="20"/>
          <w:szCs w:val="20"/>
          <w:color w:val="auto"/>
        </w:rPr>
        <w:t>shall not be subject to any agency, trust, fiduciary or other implied duties, regardless of whether a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3" w:name="page234"/>
    <w:bookmarkEnd w:id="233"/>
    <w:p>
      <w:pPr>
        <w:spacing w:after="0" w:line="209" w:lineRule="exact"/>
        <w:rPr>
          <w:sz w:val="20"/>
          <w:szCs w:val="20"/>
          <w:color w:val="auto"/>
        </w:rPr>
      </w:pPr>
    </w:p>
    <w:p>
      <w:pPr>
        <w:jc w:val="both"/>
        <w:ind w:left="700" w:firstLine="652"/>
        <w:spacing w:after="0" w:line="225" w:lineRule="auto"/>
        <w:tabs>
          <w:tab w:leader="none" w:pos="1889" w:val="left"/>
        </w:tabs>
        <w:numPr>
          <w:ilvl w:val="2"/>
          <w:numId w:val="419"/>
        </w:numPr>
        <w:rPr>
          <w:rFonts w:ascii="Arial" w:cs="Arial" w:eastAsia="Arial" w:hAnsi="Arial"/>
          <w:sz w:val="19"/>
          <w:szCs w:val="19"/>
          <w:color w:val="auto"/>
        </w:rPr>
      </w:pPr>
      <w:r>
        <w:rPr>
          <w:rFonts w:ascii="Arial" w:cs="Arial" w:eastAsia="Arial" w:hAnsi="Arial"/>
          <w:sz w:val="19"/>
          <w:szCs w:val="19"/>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7" w:lineRule="exact"/>
        <w:rPr>
          <w:rFonts w:ascii="Arial" w:cs="Arial" w:eastAsia="Arial" w:hAnsi="Arial"/>
          <w:sz w:val="19"/>
          <w:szCs w:val="19"/>
          <w:color w:val="auto"/>
        </w:rPr>
      </w:pPr>
    </w:p>
    <w:p>
      <w:pPr>
        <w:jc w:val="both"/>
        <w:ind w:left="700" w:firstLine="652"/>
        <w:spacing w:after="0" w:line="238" w:lineRule="auto"/>
        <w:tabs>
          <w:tab w:leader="none" w:pos="1877" w:val="left"/>
        </w:tabs>
        <w:numPr>
          <w:ilvl w:val="2"/>
          <w:numId w:val="419"/>
        </w:numPr>
        <w:rPr>
          <w:rFonts w:ascii="Arial" w:cs="Arial" w:eastAsia="Arial" w:hAnsi="Arial"/>
          <w:sz w:val="18"/>
          <w:szCs w:val="18"/>
          <w:color w:val="auto"/>
        </w:rPr>
      </w:pPr>
      <w:r>
        <w:rPr>
          <w:rFonts w:ascii="Arial" w:cs="Arial" w:eastAsia="Arial" w:hAnsi="Arial"/>
          <w:sz w:val="18"/>
          <w:szCs w:val="18"/>
          <w:color w:val="auto"/>
        </w:rPr>
        <w:t>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Consolidated Companies or any of their respective Subsidiaries or Affiliates that is communicated to, obtained by or otherwise in the possession of the Person serving as the Administrative Agent, the Arrangers or their respective Related Parties in any capacity, except for notices, reports and other documents that are required to be furnished by the Administrative Agent to the Lenders pursuant to the express provisions of this Agreement; and</w:t>
      </w:r>
    </w:p>
    <w:p>
      <w:pPr>
        <w:spacing w:after="0" w:line="212" w:lineRule="exact"/>
        <w:rPr>
          <w:rFonts w:ascii="Arial" w:cs="Arial" w:eastAsia="Arial" w:hAnsi="Arial"/>
          <w:sz w:val="18"/>
          <w:szCs w:val="18"/>
          <w:color w:val="auto"/>
        </w:rPr>
      </w:pPr>
    </w:p>
    <w:p>
      <w:pPr>
        <w:ind w:left="700" w:right="20" w:firstLine="652"/>
        <w:spacing w:after="0" w:line="229" w:lineRule="auto"/>
        <w:tabs>
          <w:tab w:leader="none" w:pos="1888" w:val="left"/>
        </w:tabs>
        <w:numPr>
          <w:ilvl w:val="2"/>
          <w:numId w:val="419"/>
        </w:numPr>
        <w:rPr>
          <w:rFonts w:ascii="Arial" w:cs="Arial" w:eastAsia="Arial" w:hAnsi="Arial"/>
          <w:sz w:val="20"/>
          <w:szCs w:val="20"/>
          <w:color w:val="auto"/>
        </w:rPr>
      </w:pPr>
      <w:r>
        <w:rPr>
          <w:rFonts w:ascii="Arial" w:cs="Arial" w:eastAsia="Arial" w:hAnsi="Arial"/>
          <w:sz w:val="20"/>
          <w:szCs w:val="20"/>
          <w:color w:val="auto"/>
        </w:rPr>
        <w:t>shall not be required to account to any Lender or any Issuing Lender for any sum or profit received by the Administrative Agent for its own account.</w:t>
      </w:r>
    </w:p>
    <w:p>
      <w:pPr>
        <w:spacing w:after="0" w:line="209" w:lineRule="exact"/>
        <w:rPr>
          <w:rFonts w:ascii="Arial" w:cs="Arial" w:eastAsia="Arial" w:hAnsi="Arial"/>
          <w:sz w:val="20"/>
          <w:szCs w:val="20"/>
          <w:color w:val="auto"/>
        </w:rPr>
      </w:pPr>
    </w:p>
    <w:p>
      <w:pPr>
        <w:jc w:val="both"/>
        <w:ind w:left="60" w:firstLine="644"/>
        <w:spacing w:after="0" w:line="235" w:lineRule="auto"/>
        <w:tabs>
          <w:tab w:leader="none" w:pos="123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Administrative Agent, the Arrangers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 12.2 and Section 10.2) or (ii) in the absence of its own gross negligence, willful misconduct or breach in bad faith of obligations hereunder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201" w:lineRule="exact"/>
        <w:rPr>
          <w:rFonts w:ascii="Arial" w:cs="Arial" w:eastAsia="Arial" w:hAnsi="Arial"/>
          <w:sz w:val="18"/>
          <w:szCs w:val="18"/>
          <w:color w:val="auto"/>
        </w:rPr>
      </w:pPr>
    </w:p>
    <w:p>
      <w:pPr>
        <w:jc w:val="both"/>
        <w:ind w:left="60" w:firstLine="644"/>
        <w:spacing w:after="0" w:line="233" w:lineRule="auto"/>
        <w:tabs>
          <w:tab w:leader="none" w:pos="123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Administrative Agent, the Arrangers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Section 3.9),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w:t>
      </w:r>
    </w:p>
    <w:p>
      <w:pPr>
        <w:spacing w:after="0" w:line="1" w:lineRule="exact"/>
        <w:rPr>
          <w:rFonts w:ascii="Arial" w:cs="Arial" w:eastAsia="Arial" w:hAnsi="Arial"/>
          <w:sz w:val="18"/>
          <w:szCs w:val="18"/>
          <w:color w:val="auto"/>
        </w:rPr>
      </w:pPr>
    </w:p>
    <w:p>
      <w:pPr>
        <w:jc w:val="both"/>
        <w:ind w:left="60" w:hanging="5"/>
        <w:spacing w:after="0" w:line="216" w:lineRule="auto"/>
        <w:tabs>
          <w:tab w:leader="none" w:pos="591" w:val="left"/>
        </w:tabs>
        <w:numPr>
          <w:ilvl w:val="0"/>
          <w:numId w:val="421"/>
        </w:numPr>
        <w:rPr>
          <w:rFonts w:ascii="Arial" w:cs="Arial" w:eastAsia="Arial" w:hAnsi="Arial"/>
          <w:sz w:val="20"/>
          <w:szCs w:val="20"/>
          <w:color w:val="auto"/>
        </w:rPr>
      </w:pPr>
      <w:r>
        <w:rPr>
          <w:rFonts w:ascii="Arial" w:cs="Arial" w:eastAsia="Arial" w:hAnsi="Arial"/>
          <w:sz w:val="20"/>
          <w:szCs w:val="20"/>
          <w:color w:val="auto"/>
        </w:rPr>
        <w:t>the satisfaction of any condition set forth in Article VI or elsewhere herein, other than to confirm receipt of items expressly required to be delivered to the Administrative Agent or (vii) the utilization of any Issuing Lender’s L/C Commitment (it being understood and agreed that each Issuing Lender shall monitor compliance with its own L/C Commitment without any further action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4" w:name="page235"/>
    <w:bookmarkEnd w:id="234"/>
    <w:p>
      <w:pPr>
        <w:spacing w:after="0" w:line="209"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8"/>
          <w:szCs w:val="18"/>
          <w:color w:val="auto"/>
        </w:rPr>
        <w:t>Reliance by the Administrative Agent</w:t>
      </w:r>
    </w:p>
    <w:p>
      <w:pPr>
        <w:spacing w:after="0" w:line="283" w:lineRule="exact"/>
        <w:rPr>
          <w:sz w:val="20"/>
          <w:szCs w:val="20"/>
          <w:color w:val="auto"/>
        </w:rPr>
      </w:pPr>
    </w:p>
    <w:p>
      <w:pPr>
        <w:jc w:val="both"/>
        <w:ind w:left="60" w:hanging="5"/>
        <w:spacing w:after="0" w:line="233" w:lineRule="auto"/>
        <w:tabs>
          <w:tab w:leader="none" w:pos="16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spacing w:after="0" w:line="212"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8"/>
          <w:szCs w:val="18"/>
          <w:color w:val="auto"/>
        </w:rPr>
        <w:t>Delegation of Duties</w:t>
      </w:r>
    </w:p>
    <w:p>
      <w:pPr>
        <w:spacing w:after="0" w:line="270" w:lineRule="exact"/>
        <w:rPr>
          <w:sz w:val="20"/>
          <w:szCs w:val="20"/>
          <w:color w:val="auto"/>
        </w:rPr>
      </w:pPr>
    </w:p>
    <w:p>
      <w:pPr>
        <w:jc w:val="both"/>
        <w:ind w:left="60" w:hanging="4"/>
        <w:spacing w:after="0" w:line="225" w:lineRule="auto"/>
        <w:tabs>
          <w:tab w:leader="none" w:pos="174" w:val="left"/>
        </w:tabs>
        <w:numPr>
          <w:ilvl w:val="0"/>
          <w:numId w:val="423"/>
        </w:numPr>
        <w:rPr>
          <w:rFonts w:ascii="Arial" w:cs="Arial" w:eastAsia="Arial" w:hAnsi="Arial"/>
          <w:sz w:val="19"/>
          <w:szCs w:val="19"/>
          <w:color w:val="auto"/>
        </w:rPr>
      </w:pPr>
      <w:r>
        <w:rPr>
          <w:rFonts w:ascii="Arial" w:cs="Arial" w:eastAsia="Arial" w:hAnsi="Arial"/>
          <w:sz w:val="19"/>
          <w:szCs w:val="19"/>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7"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8"/>
          <w:szCs w:val="18"/>
          <w:color w:val="auto"/>
        </w:rPr>
        <w:t>Resignation of Administrative Agent.</w:t>
      </w:r>
    </w:p>
    <w:p>
      <w:pPr>
        <w:spacing w:after="0" w:line="283" w:lineRule="exact"/>
        <w:rPr>
          <w:sz w:val="20"/>
          <w:szCs w:val="20"/>
          <w:color w:val="auto"/>
        </w:rPr>
      </w:pPr>
    </w:p>
    <w:p>
      <w:pPr>
        <w:jc w:val="both"/>
        <w:ind w:left="60" w:firstLine="644"/>
        <w:spacing w:after="0" w:line="235" w:lineRule="auto"/>
        <w:tabs>
          <w:tab w:leader="none" w:pos="123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Issuing Lenders and the Borrowers. Upon receipt of any such notice of resignation, the Required Lenders shall have the right, in consultation with the Borrowers,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“Resignation Effective Date”),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5" w:name="page236"/>
    <w:bookmarkEnd w:id="235"/>
    <w:p>
      <w:pPr>
        <w:spacing w:after="0" w:line="209" w:lineRule="exact"/>
        <w:rPr>
          <w:sz w:val="20"/>
          <w:szCs w:val="20"/>
          <w:color w:val="auto"/>
        </w:rPr>
      </w:pPr>
    </w:p>
    <w:p>
      <w:pPr>
        <w:jc w:val="both"/>
        <w:ind w:left="60" w:firstLine="644"/>
        <w:spacing w:after="0" w:line="214" w:lineRule="auto"/>
        <w:tabs>
          <w:tab w:leader="none" w:pos="1236" w:val="left"/>
        </w:tabs>
        <w:numPr>
          <w:ilvl w:val="0"/>
          <w:numId w:val="425"/>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“Removal Effective Date”), then such removal shall nonetheless become effective in accordance with such notice on the Removal Effective Date.</w:t>
      </w:r>
    </w:p>
    <w:p>
      <w:pPr>
        <w:spacing w:after="0" w:line="214" w:lineRule="exact"/>
        <w:rPr>
          <w:rFonts w:ascii="Arial" w:cs="Arial" w:eastAsia="Arial" w:hAnsi="Arial"/>
          <w:sz w:val="20"/>
          <w:szCs w:val="20"/>
          <w:color w:val="auto"/>
        </w:rPr>
      </w:pPr>
    </w:p>
    <w:p>
      <w:pPr>
        <w:jc w:val="both"/>
        <w:ind w:left="60" w:firstLine="644"/>
        <w:spacing w:after="0" w:line="232" w:lineRule="auto"/>
        <w:tabs>
          <w:tab w:leader="none" w:pos="123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Section 12.3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spacing w:after="0" w:line="207" w:lineRule="exact"/>
        <w:rPr>
          <w:rFonts w:ascii="Arial" w:cs="Arial" w:eastAsia="Arial" w:hAnsi="Arial"/>
          <w:sz w:val="18"/>
          <w:szCs w:val="18"/>
          <w:color w:val="auto"/>
        </w:rPr>
      </w:pPr>
    </w:p>
    <w:p>
      <w:pPr>
        <w:jc w:val="both"/>
        <w:ind w:left="60" w:firstLine="644"/>
        <w:spacing w:after="0" w:line="223" w:lineRule="auto"/>
        <w:tabs>
          <w:tab w:leader="none" w:pos="1236" w:val="left"/>
        </w:tabs>
        <w:numPr>
          <w:ilvl w:val="0"/>
          <w:numId w:val="425"/>
        </w:numPr>
        <w:rPr>
          <w:rFonts w:ascii="Arial" w:cs="Arial" w:eastAsia="Arial" w:hAnsi="Arial"/>
          <w:sz w:val="19"/>
          <w:szCs w:val="19"/>
          <w:color w:val="auto"/>
        </w:rPr>
      </w:pPr>
      <w:r>
        <w:rPr>
          <w:rFonts w:ascii="Arial" w:cs="Arial" w:eastAsia="Arial" w:hAnsi="Arial"/>
          <w:sz w:val="19"/>
          <w:szCs w:val="19"/>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212"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8"/>
          <w:szCs w:val="18"/>
          <w:color w:val="auto"/>
        </w:rPr>
        <w:t>Non-Reliance on Administrative Agent and Other Lenders</w:t>
      </w:r>
    </w:p>
    <w:p>
      <w:pPr>
        <w:spacing w:after="0" w:line="283" w:lineRule="exact"/>
        <w:rPr>
          <w:sz w:val="20"/>
          <w:szCs w:val="20"/>
          <w:color w:val="auto"/>
        </w:rPr>
      </w:pPr>
    </w:p>
    <w:p>
      <w:pPr>
        <w:jc w:val="both"/>
        <w:ind w:left="60" w:right="20" w:hanging="4"/>
        <w:spacing w:after="0" w:line="223" w:lineRule="auto"/>
        <w:tabs>
          <w:tab w:leader="none" w:pos="188" w:val="left"/>
        </w:tabs>
        <w:numPr>
          <w:ilvl w:val="0"/>
          <w:numId w:val="426"/>
        </w:numPr>
        <w:rPr>
          <w:rFonts w:ascii="Arial" w:cs="Arial" w:eastAsia="Arial" w:hAnsi="Arial"/>
          <w:sz w:val="20"/>
          <w:szCs w:val="20"/>
          <w:color w:val="auto"/>
        </w:rPr>
      </w:pPr>
      <w:r>
        <w:rPr>
          <w:rFonts w:ascii="Arial" w:cs="Arial" w:eastAsia="Arial" w:hAnsi="Arial"/>
          <w:sz w:val="20"/>
          <w:szCs w:val="20"/>
          <w:color w:val="auto"/>
        </w:rPr>
        <w:t>Each Lender and each Issuing Lender expressly acknowledges that none of the Administrative Agent, any Arranger or any of their respective Related Parties has made any representations or warranties to it and that no act taken or failure to act by the Administrative Agent, any Arranger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6" w:name="page237"/>
    <w:bookmarkEnd w:id="236"/>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Parties, including any consent to, and acceptance of any assignment or review of the affairs of the Consolidated Companies and</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their Subsidiaries or Affiliates shall be deemed to constitute a representation or warranty of the Administrative Agent, any Arranger or any of their respective Related Parties to any Lender, any Issuing Lender or any other Secured Party as to any matter, including whether the</w:t>
      </w:r>
    </w:p>
    <w:p>
      <w:pPr>
        <w:ind w:left="60"/>
        <w:spacing w:after="0" w:line="224" w:lineRule="auto"/>
        <w:rPr>
          <w:sz w:val="20"/>
          <w:szCs w:val="20"/>
          <w:color w:val="auto"/>
        </w:rPr>
      </w:pPr>
      <w:r>
        <w:rPr>
          <w:rFonts w:ascii="Arial" w:cs="Arial" w:eastAsia="Arial" w:hAnsi="Arial"/>
          <w:sz w:val="19"/>
          <w:szCs w:val="19"/>
          <w:color w:val="auto"/>
        </w:rPr>
        <w:t>Administrative Agent, any Arranger or any of their respective Related Parties have disclosed material information in their (or their</w:t>
      </w:r>
    </w:p>
    <w:p>
      <w:pPr>
        <w:ind w:left="60"/>
        <w:spacing w:after="0" w:line="226" w:lineRule="auto"/>
        <w:rPr>
          <w:sz w:val="20"/>
          <w:szCs w:val="20"/>
          <w:color w:val="auto"/>
        </w:rPr>
      </w:pPr>
      <w:r>
        <w:rPr>
          <w:rFonts w:ascii="Arial" w:cs="Arial" w:eastAsia="Arial" w:hAnsi="Arial"/>
          <w:sz w:val="18"/>
          <w:szCs w:val="18"/>
          <w:color w:val="auto"/>
        </w:rPr>
        <w:t>respective Related Parties’) possession. Each Lender and each Issuing Lender expressly acknowledges, represents and warrants to the Administrative Agent and each Arranger that (a) the Loan Documents set forth the terms of a commercial lending facility, (b) it is engaged</w:t>
      </w:r>
    </w:p>
    <w:p>
      <w:pPr>
        <w:ind w:left="60"/>
        <w:spacing w:after="0" w:line="236" w:lineRule="auto"/>
        <w:rPr>
          <w:sz w:val="20"/>
          <w:szCs w:val="20"/>
          <w:color w:val="auto"/>
        </w:rPr>
      </w:pPr>
      <w:r>
        <w:rPr>
          <w:rFonts w:ascii="Arial" w:cs="Arial" w:eastAsia="Arial" w:hAnsi="Arial"/>
          <w:sz w:val="18"/>
          <w:szCs w:val="18"/>
          <w:color w:val="auto"/>
        </w:rPr>
        <w:t>in making, acquiring, purchasing or holding commercial loans in the ordinary course and is entering into this Agreement and the other</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Loan Documents to which it is a party as a Lender for the purpose of making, acquiring, purchasing and/or holding the commercial loans set forth herein as may be applicable to it, and not for the purpose of making, acquiring, purchasing or holding any other type of financial</w:t>
      </w:r>
    </w:p>
    <w:p>
      <w:pPr>
        <w:ind w:left="60"/>
        <w:spacing w:after="0" w:line="236" w:lineRule="auto"/>
        <w:rPr>
          <w:sz w:val="20"/>
          <w:szCs w:val="20"/>
          <w:color w:val="auto"/>
        </w:rPr>
      </w:pPr>
      <w:r>
        <w:rPr>
          <w:rFonts w:ascii="Arial" w:cs="Arial" w:eastAsia="Arial" w:hAnsi="Arial"/>
          <w:sz w:val="18"/>
          <w:szCs w:val="18"/>
          <w:color w:val="auto"/>
        </w:rPr>
        <w:t>instrument, (c) it is sophisticated with respect to decisions to make, acquire, purchase or hold the commercial loans applicable to it and</w:t>
      </w:r>
    </w:p>
    <w:p>
      <w:pPr>
        <w:spacing w:after="0" w:line="1" w:lineRule="exact"/>
        <w:rPr>
          <w:sz w:val="20"/>
          <w:szCs w:val="20"/>
          <w:color w:val="auto"/>
        </w:rPr>
      </w:pPr>
    </w:p>
    <w:p>
      <w:pPr>
        <w:ind w:left="60"/>
        <w:spacing w:after="0" w:line="215" w:lineRule="auto"/>
        <w:rPr>
          <w:sz w:val="20"/>
          <w:szCs w:val="20"/>
          <w:color w:val="auto"/>
        </w:rPr>
      </w:pPr>
      <w:r>
        <w:rPr>
          <w:rFonts w:ascii="Arial" w:cs="Arial" w:eastAsia="Arial" w:hAnsi="Arial"/>
          <w:sz w:val="19"/>
          <w:szCs w:val="19"/>
          <w:color w:val="auto"/>
        </w:rPr>
        <w:t>either it or the Person exercising discretion in making its decisions to make, acquire, purchase or hold such commercial loans is experienced in making, acquiring, purchasing or holding commercial loans, (d) it has, independently and without reliance upon the</w:t>
      </w:r>
    </w:p>
    <w:p>
      <w:pPr>
        <w:ind w:left="60"/>
        <w:spacing w:after="0" w:line="222" w:lineRule="auto"/>
        <w:rPr>
          <w:sz w:val="20"/>
          <w:szCs w:val="20"/>
          <w:color w:val="auto"/>
        </w:rPr>
      </w:pPr>
      <w:r>
        <w:rPr>
          <w:rFonts w:ascii="Arial" w:cs="Arial" w:eastAsia="Arial" w:hAnsi="Arial"/>
          <w:sz w:val="19"/>
          <w:szCs w:val="19"/>
          <w:color w:val="auto"/>
        </w:rPr>
        <w:t>Administrative Agent, any Arranger, any other Lender or any of their respective Related Parties and based on such documents and</w:t>
      </w:r>
    </w:p>
    <w:p>
      <w:pPr>
        <w:ind w:left="60"/>
        <w:spacing w:after="0" w:line="226" w:lineRule="auto"/>
        <w:rPr>
          <w:sz w:val="20"/>
          <w:szCs w:val="20"/>
          <w:color w:val="auto"/>
        </w:rPr>
      </w:pPr>
      <w:r>
        <w:rPr>
          <w:rFonts w:ascii="Arial" w:cs="Arial" w:eastAsia="Arial" w:hAnsi="Arial"/>
          <w:sz w:val="18"/>
          <w:szCs w:val="18"/>
          <w:color w:val="auto"/>
        </w:rPr>
        <w:t>information as it has deemed appropriate, made its own credit analysis and appraisal of, and investigations into, the business, prospects, operations, property, assets, liabilities, financial and other condition and creditworthiness of the Consolidated Companies and their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Subsidiaries, all applicable bank or other regulatory Applicable Laws relating to the Transactions and the transactions contemplated by this</w:t>
      </w:r>
    </w:p>
    <w:p>
      <w:pPr>
        <w:spacing w:after="0" w:line="19"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Agreement and the other Loan Documents and (e) it has made its own independent decision to enter into this Agreement and the other Loan Documents to which it is a party and to extend credit hereunder and thereunder. Each Lender and each Issuing Lender also</w:t>
      </w:r>
    </w:p>
    <w:p>
      <w:pPr>
        <w:ind w:left="60"/>
        <w:spacing w:after="0" w:line="236" w:lineRule="auto"/>
        <w:rPr>
          <w:sz w:val="20"/>
          <w:szCs w:val="20"/>
          <w:color w:val="auto"/>
        </w:rPr>
      </w:pPr>
      <w:r>
        <w:rPr>
          <w:rFonts w:ascii="Arial" w:cs="Arial" w:eastAsia="Arial" w:hAnsi="Arial"/>
          <w:sz w:val="18"/>
          <w:szCs w:val="18"/>
          <w:color w:val="auto"/>
        </w:rPr>
        <w:t>acknowledges that (i) it will, independently and without reliance upon the Administrative Agent, any Arranger or any other Lender or any</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of their respective Related Parties (A) continue to make its own credit analysis, appraisals and decisions in taking or not taking action under or based upon this Agreement, any other Loan Document or any related agreement or any document furnished hereunder or</w:t>
      </w:r>
    </w:p>
    <w:p>
      <w:pPr>
        <w:ind w:left="60"/>
        <w:spacing w:after="0" w:line="224" w:lineRule="auto"/>
        <w:rPr>
          <w:sz w:val="20"/>
          <w:szCs w:val="20"/>
          <w:color w:val="auto"/>
        </w:rPr>
      </w:pPr>
      <w:r>
        <w:rPr>
          <w:rFonts w:ascii="Arial" w:cs="Arial" w:eastAsia="Arial" w:hAnsi="Arial"/>
          <w:sz w:val="19"/>
          <w:szCs w:val="19"/>
          <w:color w:val="auto"/>
        </w:rPr>
        <w:t>thereunder based on such documents and information as it shall from time to time deem appropriate and its own independent</w:t>
      </w:r>
    </w:p>
    <w:p>
      <w:pPr>
        <w:ind w:left="60"/>
        <w:spacing w:after="0" w:line="220" w:lineRule="auto"/>
        <w:rPr>
          <w:sz w:val="20"/>
          <w:szCs w:val="20"/>
          <w:color w:val="auto"/>
        </w:rPr>
      </w:pPr>
      <w:r>
        <w:rPr>
          <w:rFonts w:ascii="Arial" w:cs="Arial" w:eastAsia="Arial" w:hAnsi="Arial"/>
          <w:sz w:val="20"/>
          <w:szCs w:val="20"/>
          <w:color w:val="auto"/>
        </w:rPr>
        <w:t>investigations and (B) continue to make such investigations and inquiries as it deems necessary to inform itself as to the Consolidated Companies and their Subsidiaries and (ii) it will not assert any claim in contravention of this Section 11.7.</w:t>
      </w:r>
    </w:p>
    <w:p>
      <w:pPr>
        <w:spacing w:after="0" w:line="264"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8"/>
          <w:szCs w:val="18"/>
          <w:color w:val="auto"/>
        </w:rPr>
        <w:t>No Other Duties, Etc</w:t>
      </w:r>
    </w:p>
    <w:p>
      <w:pPr>
        <w:spacing w:after="0" w:line="283" w:lineRule="exact"/>
        <w:rPr>
          <w:sz w:val="20"/>
          <w:szCs w:val="20"/>
          <w:color w:val="auto"/>
        </w:rPr>
      </w:pPr>
    </w:p>
    <w:p>
      <w:pPr>
        <w:jc w:val="both"/>
        <w:ind w:left="60" w:firstLine="36"/>
        <w:spacing w:after="0" w:line="231" w:lineRule="auto"/>
        <w:tabs>
          <w:tab w:leader="none" w:pos="25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-454025</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2"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16"/>
          <w:szCs w:val="16"/>
          <w:color w:val="auto"/>
        </w:rPr>
        <w:t>Collateral and Guaranty Matters.</w:t>
      </w:r>
    </w:p>
    <w:p>
      <w:pPr>
        <w:spacing w:after="0" w:line="283" w:lineRule="exact"/>
        <w:rPr>
          <w:sz w:val="20"/>
          <w:szCs w:val="20"/>
          <w:color w:val="auto"/>
        </w:rPr>
      </w:pPr>
    </w:p>
    <w:p>
      <w:pPr>
        <w:ind w:left="60" w:firstLine="644"/>
        <w:spacing w:after="0" w:line="229" w:lineRule="auto"/>
        <w:tabs>
          <w:tab w:leader="none" w:pos="1236" w:val="left"/>
        </w:tabs>
        <w:numPr>
          <w:ilvl w:val="0"/>
          <w:numId w:val="428"/>
        </w:numPr>
        <w:rPr>
          <w:rFonts w:ascii="Arial" w:cs="Arial" w:eastAsia="Arial" w:hAnsi="Arial"/>
          <w:sz w:val="20"/>
          <w:szCs w:val="20"/>
          <w:color w:val="auto"/>
        </w:rPr>
      </w:pPr>
      <w:r>
        <w:rPr>
          <w:rFonts w:ascii="Arial" w:cs="Arial" w:eastAsia="Arial" w:hAnsi="Arial"/>
          <w:sz w:val="20"/>
          <w:szCs w:val="20"/>
          <w:color w:val="auto"/>
        </w:rPr>
        <w:t>Each of the Lenders (including in its or any of its Affiliate’s capacities as a holder of Secured Hedge Obligations and Secured Cash Management Obligations) irrevocably authorize the Administrative Agent:</w:t>
      </w:r>
    </w:p>
    <w:p>
      <w:pPr>
        <w:spacing w:after="0" w:line="209" w:lineRule="exact"/>
        <w:rPr>
          <w:rFonts w:ascii="Arial" w:cs="Arial" w:eastAsia="Arial" w:hAnsi="Arial"/>
          <w:sz w:val="20"/>
          <w:szCs w:val="20"/>
          <w:color w:val="auto"/>
        </w:rPr>
      </w:pPr>
    </w:p>
    <w:p>
      <w:pPr>
        <w:jc w:val="both"/>
        <w:ind w:left="700" w:firstLine="652"/>
        <w:spacing w:after="0" w:line="235" w:lineRule="auto"/>
        <w:tabs>
          <w:tab w:leader="none" w:pos="1877" w:val="left"/>
        </w:tabs>
        <w:numPr>
          <w:ilvl w:val="1"/>
          <w:numId w:val="428"/>
        </w:numPr>
        <w:rPr>
          <w:rFonts w:ascii="Arial" w:cs="Arial" w:eastAsia="Arial" w:hAnsi="Arial"/>
          <w:sz w:val="19"/>
          <w:szCs w:val="19"/>
          <w:color w:val="auto"/>
        </w:rPr>
      </w:pPr>
      <w:r>
        <w:rPr>
          <w:rFonts w:ascii="Arial" w:cs="Arial" w:eastAsia="Arial" w:hAnsi="Arial"/>
          <w:sz w:val="19"/>
          <w:szCs w:val="19"/>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Secured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7" w:name="page238"/>
    <w:bookmarkEnd w:id="237"/>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Obligations or Secured Hedge Obligations) and the expiration or termination of all Letters of Credit (other than Letters of Credit</w:t>
      </w:r>
    </w:p>
    <w:p>
      <w:pPr>
        <w:spacing w:after="0" w:line="12" w:lineRule="exact"/>
        <w:rPr>
          <w:sz w:val="20"/>
          <w:szCs w:val="20"/>
          <w:color w:val="auto"/>
        </w:rPr>
      </w:pPr>
    </w:p>
    <w:p>
      <w:pPr>
        <w:ind w:left="700"/>
        <w:spacing w:after="0" w:line="204" w:lineRule="auto"/>
        <w:rPr>
          <w:sz w:val="20"/>
          <w:szCs w:val="20"/>
          <w:color w:val="auto"/>
        </w:rPr>
      </w:pPr>
      <w:r>
        <w:rPr>
          <w:rFonts w:ascii="Arial" w:cs="Arial" w:eastAsia="Arial" w:hAnsi="Arial"/>
          <w:sz w:val="20"/>
          <w:szCs w:val="20"/>
          <w:color w:val="auto"/>
        </w:rPr>
        <w:t>which have been Cash Collateralized or as to which other arrangements satisfactory to the Administrative Agent and the applicable Issuing Lender shall have been made),</w:t>
      </w:r>
    </w:p>
    <w:p>
      <w:pPr>
        <w:spacing w:after="0" w:line="1" w:lineRule="exact"/>
        <w:rPr>
          <w:sz w:val="20"/>
          <w:szCs w:val="20"/>
          <w:color w:val="auto"/>
        </w:rPr>
      </w:pPr>
    </w:p>
    <w:p>
      <w:pPr>
        <w:jc w:val="both"/>
        <w:ind w:left="700" w:firstLine="4"/>
        <w:spacing w:after="0" w:line="216" w:lineRule="auto"/>
        <w:tabs>
          <w:tab w:leader="none" w:pos="1025" w:val="left"/>
        </w:tabs>
        <w:numPr>
          <w:ilvl w:val="0"/>
          <w:numId w:val="429"/>
        </w:numPr>
        <w:rPr>
          <w:rFonts w:ascii="Arial" w:cs="Arial" w:eastAsia="Arial" w:hAnsi="Arial"/>
          <w:sz w:val="20"/>
          <w:szCs w:val="20"/>
          <w:color w:val="auto"/>
        </w:rPr>
      </w:pPr>
      <w:r>
        <w:rPr>
          <w:rFonts w:ascii="Arial" w:cs="Arial" w:eastAsia="Arial" w:hAnsi="Arial"/>
          <w:sz w:val="20"/>
          <w:szCs w:val="20"/>
          <w:color w:val="auto"/>
        </w:rPr>
        <w:t>that is sold or otherwise disposed of or to be sold or otherwise disposed of as part of or in connection with any sale or other disposition to a Person other than a Credit Party permitted under the Loan Documents, as certified by Centuri, or (C) if approved, authorized or ratified in writing by the Required Lenders in accordance with Section 12.2; provided that any release of all or substantially of the Collateral shall be subject to Section 12.2(j);</w:t>
      </w:r>
    </w:p>
    <w:p>
      <w:pPr>
        <w:spacing w:after="0" w:line="263" w:lineRule="exact"/>
        <w:rPr>
          <w:rFonts w:ascii="Arial" w:cs="Arial" w:eastAsia="Arial" w:hAnsi="Arial"/>
          <w:sz w:val="20"/>
          <w:szCs w:val="20"/>
          <w:color w:val="auto"/>
        </w:rPr>
      </w:pPr>
    </w:p>
    <w:p>
      <w:pPr>
        <w:jc w:val="both"/>
        <w:ind w:left="700" w:firstLine="652"/>
        <w:spacing w:after="0" w:line="223" w:lineRule="auto"/>
        <w:tabs>
          <w:tab w:leader="none" w:pos="1889" w:val="left"/>
        </w:tabs>
        <w:numPr>
          <w:ilvl w:val="1"/>
          <w:numId w:val="429"/>
        </w:numPr>
        <w:rPr>
          <w:rFonts w:ascii="Arial" w:cs="Arial" w:eastAsia="Arial" w:hAnsi="Arial"/>
          <w:sz w:val="20"/>
          <w:szCs w:val="20"/>
          <w:color w:val="auto"/>
        </w:rPr>
      </w:pPr>
      <w:r>
        <w:rPr>
          <w:rFonts w:ascii="Arial" w:cs="Arial" w:eastAsia="Arial" w:hAnsi="Arial"/>
          <w:sz w:val="20"/>
          <w:szCs w:val="20"/>
          <w:color w:val="auto"/>
        </w:rPr>
        <w:t>to subordinate any Lien on any Collateral granted to or held by the Administrative Agent under any Loan Document to the holder of any Lien permitted pursuant to Section 9.2(h); provided that the subordination of all or substantially all of the Collateral shall be subject to Section 12.2(j); and</w:t>
      </w:r>
    </w:p>
    <w:p>
      <w:pPr>
        <w:spacing w:after="0" w:line="263" w:lineRule="exact"/>
        <w:rPr>
          <w:rFonts w:ascii="Arial" w:cs="Arial" w:eastAsia="Arial" w:hAnsi="Arial"/>
          <w:sz w:val="20"/>
          <w:szCs w:val="20"/>
          <w:color w:val="auto"/>
        </w:rPr>
      </w:pPr>
    </w:p>
    <w:p>
      <w:pPr>
        <w:jc w:val="both"/>
        <w:ind w:left="700" w:firstLine="652"/>
        <w:spacing w:after="0" w:line="220" w:lineRule="auto"/>
        <w:tabs>
          <w:tab w:leader="none" w:pos="1877" w:val="left"/>
        </w:tabs>
        <w:numPr>
          <w:ilvl w:val="1"/>
          <w:numId w:val="429"/>
        </w:numPr>
        <w:rPr>
          <w:rFonts w:ascii="Arial" w:cs="Arial" w:eastAsia="Arial" w:hAnsi="Arial"/>
          <w:sz w:val="20"/>
          <w:szCs w:val="20"/>
          <w:color w:val="auto"/>
        </w:rPr>
      </w:pPr>
      <w:r>
        <w:rPr>
          <w:rFonts w:ascii="Arial" w:cs="Arial" w:eastAsia="Arial" w:hAnsi="Arial"/>
          <w:sz w:val="20"/>
          <w:szCs w:val="20"/>
          <w:color w:val="auto"/>
        </w:rPr>
        <w:t>to release any Subsidiary Guarantor from its obligations under any Loan Documents if such Person ceases to be a Subsidiary as a result of a transaction permitted under the Loan Documents, as certified by Centuri; provided that the release of Subsidiary Guarantors comprising substantially all of the credit support for the Secured Obligations shall be subject to Section 12.2(i).</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request by the Administrative Agent at any time, the Required Lenders will confirm in writing the Administrative Agent’s authority</w:t>
      </w:r>
    </w:p>
    <w:p>
      <w:pPr>
        <w:spacing w:after="0" w:line="12" w:lineRule="exact"/>
        <w:rPr>
          <w:sz w:val="20"/>
          <w:szCs w:val="20"/>
          <w:color w:val="auto"/>
        </w:rPr>
      </w:pPr>
    </w:p>
    <w:p>
      <w:pPr>
        <w:jc w:val="both"/>
        <w:ind w:left="60" w:right="20"/>
        <w:spacing w:after="0" w:line="226" w:lineRule="auto"/>
        <w:rPr>
          <w:sz w:val="20"/>
          <w:szCs w:val="20"/>
          <w:color w:val="auto"/>
        </w:rPr>
      </w:pPr>
      <w:r>
        <w:rPr>
          <w:rFonts w:ascii="Arial" w:cs="Arial" w:eastAsia="Arial" w:hAnsi="Arial"/>
          <w:sz w:val="18"/>
          <w:szCs w:val="18"/>
          <w:color w:val="auto"/>
        </w:rPr>
        <w:t>to release or subordinate its interest in particular types or items of property, or to release any Subsidiary Guarantor from its obligations under any Guaranty Agreement pursuant to this Section 11.9. In each case as specified in this Section 11.9, the Administrative Agent will,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at the Borrowers’ expense, execute and deliver to the applicable Credit Party such documents as such Credit Party may reasonably request</w:t>
      </w:r>
    </w:p>
    <w:p>
      <w:pPr>
        <w:spacing w:after="0" w:line="19"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to evidence the release of such item of Collateral from the assignment and security interest granted under the Security Documents or to subordinate its interest in such item, or to release such Subsidiary Guarantor from its obligations under such Guaranty Agreement, in each</w:t>
      </w:r>
    </w:p>
    <w:p>
      <w:pPr>
        <w:ind w:left="60"/>
        <w:spacing w:after="0" w:line="236" w:lineRule="auto"/>
        <w:rPr>
          <w:sz w:val="20"/>
          <w:szCs w:val="20"/>
          <w:color w:val="auto"/>
        </w:rPr>
      </w:pPr>
      <w:r>
        <w:rPr>
          <w:rFonts w:ascii="Arial" w:cs="Arial" w:eastAsia="Arial" w:hAnsi="Arial"/>
          <w:sz w:val="18"/>
          <w:szCs w:val="18"/>
          <w:color w:val="auto"/>
        </w:rPr>
        <w:t>case in accordance with the terms of the Loan Documents and this Section 11.9. In the case of any such sale, transfer or disposal of any</w:t>
      </w:r>
    </w:p>
    <w:p>
      <w:pPr>
        <w:spacing w:after="0" w:line="1" w:lineRule="exact"/>
        <w:rPr>
          <w:sz w:val="20"/>
          <w:szCs w:val="20"/>
          <w:color w:val="auto"/>
        </w:rPr>
      </w:pPr>
    </w:p>
    <w:p>
      <w:pPr>
        <w:ind w:left="60" w:right="20"/>
        <w:spacing w:after="0" w:line="255" w:lineRule="auto"/>
        <w:rPr>
          <w:sz w:val="20"/>
          <w:szCs w:val="20"/>
          <w:color w:val="auto"/>
        </w:rPr>
      </w:pPr>
      <w:r>
        <w:rPr>
          <w:rFonts w:ascii="Arial" w:cs="Arial" w:eastAsia="Arial" w:hAnsi="Arial"/>
          <w:sz w:val="16"/>
          <w:szCs w:val="16"/>
          <w:color w:val="auto"/>
        </w:rPr>
        <w:t>property constituting Collateral in a transaction constituting an Asset Disposition permitted pursuant to Section 9.5 to a Person other than a Credit Party, the Liens created by any of the Security Documents on such property shall be automatically released without need for further</w:t>
      </w:r>
    </w:p>
    <w:p>
      <w:pPr>
        <w:ind w:left="60"/>
        <w:spacing w:after="0" w:line="235" w:lineRule="auto"/>
        <w:rPr>
          <w:sz w:val="20"/>
          <w:szCs w:val="20"/>
          <w:color w:val="auto"/>
        </w:rPr>
      </w:pPr>
      <w:r>
        <w:rPr>
          <w:rFonts w:ascii="Arial" w:cs="Arial" w:eastAsia="Arial" w:hAnsi="Arial"/>
          <w:sz w:val="18"/>
          <w:szCs w:val="18"/>
          <w:color w:val="auto"/>
        </w:rPr>
        <w:t>action by any person. Notwithstanding anything to the contrary in this Agreement or in any other Loan Document, without the consent of</w:t>
      </w:r>
    </w:p>
    <w:p>
      <w:pPr>
        <w:ind w:left="60" w:right="20"/>
        <w:spacing w:after="0" w:line="255" w:lineRule="auto"/>
        <w:rPr>
          <w:sz w:val="20"/>
          <w:szCs w:val="20"/>
          <w:color w:val="auto"/>
        </w:rPr>
      </w:pPr>
      <w:r>
        <w:rPr>
          <w:rFonts w:ascii="Arial" w:cs="Arial" w:eastAsia="Arial" w:hAnsi="Arial"/>
          <w:sz w:val="16"/>
          <w:szCs w:val="16"/>
          <w:color w:val="auto"/>
        </w:rPr>
        <w:t>the Required Lenders, no Credit Party shall be released from its obligations under the Loan Documents if such Credit Party ceases to be a Wholly Owned Subsidiary solely by virtue of a disposition or issuance of Equity Interests, unless (x) such disposition or issuance is a good</w:t>
      </w:r>
    </w:p>
    <w:p>
      <w:pPr>
        <w:ind w:left="60"/>
        <w:spacing w:after="0" w:line="223" w:lineRule="auto"/>
        <w:rPr>
          <w:sz w:val="20"/>
          <w:szCs w:val="20"/>
          <w:color w:val="auto"/>
        </w:rPr>
      </w:pPr>
      <w:r>
        <w:rPr>
          <w:rFonts w:ascii="Arial" w:cs="Arial" w:eastAsia="Arial" w:hAnsi="Arial"/>
          <w:sz w:val="19"/>
          <w:szCs w:val="19"/>
          <w:color w:val="auto"/>
        </w:rPr>
        <w:t>faith disposition or issuance to a bona-fide unaffiliated third party whose primary purpose is not the release of the Guarantee and</w:t>
      </w:r>
    </w:p>
    <w:p>
      <w:pPr>
        <w:ind w:left="60"/>
        <w:spacing w:after="0" w:line="220" w:lineRule="auto"/>
        <w:rPr>
          <w:sz w:val="20"/>
          <w:szCs w:val="20"/>
          <w:color w:val="auto"/>
        </w:rPr>
      </w:pPr>
      <w:r>
        <w:rPr>
          <w:rFonts w:ascii="Arial" w:cs="Arial" w:eastAsia="Arial" w:hAnsi="Arial"/>
          <w:sz w:val="20"/>
          <w:szCs w:val="20"/>
          <w:color w:val="auto"/>
        </w:rPr>
        <w:t>obligations of such Credit Party under the Loan Documents and (y) the Investment of the Credit Parties in such Subsidiary shall be deemed a de novo Investment as at that time and such Investment shall be permitted under Section 9.3.</w:t>
      </w:r>
    </w:p>
    <w:p>
      <w:pPr>
        <w:spacing w:after="0" w:line="264" w:lineRule="exact"/>
        <w:rPr>
          <w:sz w:val="20"/>
          <w:szCs w:val="20"/>
          <w:color w:val="auto"/>
        </w:rPr>
      </w:pPr>
    </w:p>
    <w:p>
      <w:pPr>
        <w:jc w:val="both"/>
        <w:ind w:left="60" w:firstLine="644"/>
        <w:spacing w:after="0" w:line="231" w:lineRule="auto"/>
        <w:tabs>
          <w:tab w:leader="none" w:pos="1236" w:val="left"/>
        </w:tabs>
        <w:numPr>
          <w:ilvl w:val="0"/>
          <w:numId w:val="430"/>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98"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11.10</w:t>
      </w:r>
      <w:r>
        <w:rPr>
          <w:sz w:val="20"/>
          <w:szCs w:val="20"/>
          <w:color w:val="auto"/>
        </w:rPr>
        <w:tab/>
      </w:r>
      <w:r>
        <w:rPr>
          <w:rFonts w:ascii="Arial" w:cs="Arial" w:eastAsia="Arial" w:hAnsi="Arial"/>
          <w:sz w:val="16"/>
          <w:szCs w:val="16"/>
          <w:color w:val="auto"/>
        </w:rPr>
        <w:t>Secured Hedge Agreements and Secured Cash Management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8" w:name="page239"/>
    <w:bookmarkEnd w:id="238"/>
    <w:p>
      <w:pPr>
        <w:spacing w:after="0" w:line="209" w:lineRule="exact"/>
        <w:rPr>
          <w:sz w:val="20"/>
          <w:szCs w:val="20"/>
          <w:color w:val="auto"/>
        </w:rPr>
      </w:pPr>
    </w:p>
    <w:p>
      <w:pPr>
        <w:jc w:val="both"/>
        <w:ind w:left="60" w:hanging="5"/>
        <w:spacing w:after="0" w:line="238" w:lineRule="auto"/>
        <w:tabs>
          <w:tab w:leader="none" w:pos="16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 Cash Management Bank or Hedge Bank that obtains the benefits of Section 10.4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Except as expressly provided in Section 10.4, the Administrative Agent shall not be required to verify the payment of, or that other satisfactory arrangements have been made with respect to, Secured Cash Management Agreements and Secured Hedge Agreements.</w:t>
      </w:r>
    </w:p>
    <w:p>
      <w:pPr>
        <w:spacing w:after="0" w:line="197"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11.11</w:t>
      </w:r>
      <w:r>
        <w:rPr>
          <w:sz w:val="20"/>
          <w:szCs w:val="20"/>
          <w:color w:val="auto"/>
        </w:rPr>
        <w:tab/>
      </w:r>
      <w:r>
        <w:rPr>
          <w:rFonts w:ascii="Arial" w:cs="Arial" w:eastAsia="Arial" w:hAnsi="Arial"/>
          <w:sz w:val="16"/>
          <w:szCs w:val="16"/>
          <w:color w:val="auto"/>
        </w:rPr>
        <w:t>Erroneous Payments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ind w:left="60" w:firstLine="644"/>
        <w:spacing w:after="0" w:line="262" w:lineRule="auto"/>
        <w:tabs>
          <w:tab w:leader="none" w:pos="1236" w:val="left"/>
        </w:tabs>
        <w:numPr>
          <w:ilvl w:val="0"/>
          <w:numId w:val="432"/>
        </w:numPr>
        <w:rPr>
          <w:rFonts w:ascii="Arial" w:cs="Arial" w:eastAsia="Arial" w:hAnsi="Arial"/>
          <w:sz w:val="16"/>
          <w:szCs w:val="16"/>
          <w:color w:val="auto"/>
        </w:rPr>
      </w:pPr>
      <w:r>
        <w:rPr>
          <w:rFonts w:ascii="Arial" w:cs="Arial" w:eastAsia="Arial" w:hAnsi="Arial"/>
          <w:sz w:val="16"/>
          <w:szCs w:val="16"/>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“Payment Recipient”) that the Administrative Agent has determined in its reasonable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 an error in payment shall be presumed to have been made (any such amounts specified in clauses (i) or (ii) of this Section 11.11(a), whether received as a payment, prepayment or repayment of principal, interest, fees, distribution or otherwise; individually and collectively, an “Erroneous Payment”), and (B) such Payment Recipient is deemed to have 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rFonts w:ascii="Arial" w:cs="Arial" w:eastAsia="Arial" w:hAnsi="Arial"/>
          <w:sz w:val="16"/>
          <w:szCs w:val="16"/>
          <w:color w:val="auto"/>
        </w:rPr>
      </w:pPr>
    </w:p>
    <w:p>
      <w:pPr>
        <w:spacing w:after="0" w:line="395" w:lineRule="exact"/>
        <w:rPr>
          <w:rFonts w:ascii="Arial" w:cs="Arial" w:eastAsia="Arial" w:hAnsi="Arial"/>
          <w:sz w:val="16"/>
          <w:szCs w:val="16"/>
          <w:color w:val="auto"/>
        </w:rPr>
      </w:pPr>
    </w:p>
    <w:p>
      <w:pPr>
        <w:ind w:left="60" w:right="20" w:firstLine="644"/>
        <w:spacing w:after="0" w:line="229" w:lineRule="auto"/>
        <w:tabs>
          <w:tab w:leader="none" w:pos="1236" w:val="left"/>
        </w:tabs>
        <w:numPr>
          <w:ilvl w:val="0"/>
          <w:numId w:val="432"/>
        </w:numPr>
        <w:rPr>
          <w:rFonts w:ascii="Arial" w:cs="Arial" w:eastAsia="Arial" w:hAnsi="Arial"/>
          <w:sz w:val="20"/>
          <w:szCs w:val="20"/>
          <w:color w:val="auto"/>
        </w:rPr>
      </w:pPr>
      <w:r>
        <w:rPr>
          <w:rFonts w:ascii="Arial" w:cs="Arial" w:eastAsia="Arial" w:hAnsi="Arial"/>
          <w:sz w:val="20"/>
          <w:szCs w:val="20"/>
          <w:color w:val="auto"/>
        </w:rPr>
        <w:t>Without limiting the immediately preceding clause (a), each Payment Recipient agrees that, in the case of clause (a)(ii) above, it shall promptly notify the Administrative Agent in writing of such occurrence.</w:t>
      </w:r>
    </w:p>
    <w:p>
      <w:pPr>
        <w:spacing w:after="0" w:line="209" w:lineRule="exact"/>
        <w:rPr>
          <w:rFonts w:ascii="Arial" w:cs="Arial" w:eastAsia="Arial" w:hAnsi="Arial"/>
          <w:sz w:val="20"/>
          <w:szCs w:val="20"/>
          <w:color w:val="auto"/>
        </w:rPr>
      </w:pPr>
    </w:p>
    <w:p>
      <w:pPr>
        <w:jc w:val="both"/>
        <w:ind w:left="60" w:firstLine="644"/>
        <w:spacing w:after="0" w:line="227" w:lineRule="auto"/>
        <w:tabs>
          <w:tab w:leader="none" w:pos="1236" w:val="left"/>
        </w:tabs>
        <w:numPr>
          <w:ilvl w:val="0"/>
          <w:numId w:val="432"/>
        </w:numPr>
        <w:rPr>
          <w:rFonts w:ascii="Arial" w:cs="Arial" w:eastAsia="Arial" w:hAnsi="Arial"/>
          <w:sz w:val="19"/>
          <w:szCs w:val="19"/>
          <w:color w:val="auto"/>
        </w:rPr>
      </w:pPr>
      <w:r>
        <w:rPr>
          <w:rFonts w:ascii="Arial" w:cs="Arial" w:eastAsia="Arial" w:hAnsi="Arial"/>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such later date as the Administrative Agent may, in its sole discretion, specify in writing), return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39" w:name="page240"/>
    <w:bookmarkEnd w:id="239"/>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amount of any such Erroneous Payment (or portion thereof) as to which such a demand was made in Same Day Funds and in the</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currency so received, together with interest thereon (except to the extent waived in writing by the Administrative Agent) in respect of each day from and including the date such Erroneous Payment (or portion thereof) was received by such Payment Recipient to the date such</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amount is repaid to the Administrative Agent at the Overnight Rate.</w:t>
      </w:r>
    </w:p>
    <w:p>
      <w:pPr>
        <w:spacing w:after="0" w:line="200" w:lineRule="exact"/>
        <w:rPr>
          <w:sz w:val="20"/>
          <w:szCs w:val="20"/>
          <w:color w:val="auto"/>
        </w:rPr>
      </w:pPr>
    </w:p>
    <w:p>
      <w:pPr>
        <w:jc w:val="both"/>
        <w:ind w:left="60" w:firstLine="644"/>
        <w:spacing w:after="0" w:line="233" w:lineRule="auto"/>
        <w:tabs>
          <w:tab w:leader="none" w:pos="123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12.9 and (3) the Administrative Agent may reflect such assignments in the Register without further consent or action by any other Person.</w:t>
      </w:r>
    </w:p>
    <w:p>
      <w:pPr>
        <w:spacing w:after="0" w:line="203" w:lineRule="exact"/>
        <w:rPr>
          <w:rFonts w:ascii="Arial" w:cs="Arial" w:eastAsia="Arial" w:hAnsi="Arial"/>
          <w:sz w:val="18"/>
          <w:szCs w:val="18"/>
          <w:color w:val="auto"/>
        </w:rPr>
      </w:pPr>
    </w:p>
    <w:p>
      <w:pPr>
        <w:jc w:val="both"/>
        <w:ind w:left="60" w:firstLine="644"/>
        <w:spacing w:after="0" w:line="220" w:lineRule="auto"/>
        <w:tabs>
          <w:tab w:leader="none" w:pos="1236" w:val="left"/>
        </w:tabs>
        <w:numPr>
          <w:ilvl w:val="1"/>
          <w:numId w:val="433"/>
        </w:numPr>
        <w:rPr>
          <w:rFonts w:ascii="Arial" w:cs="Arial" w:eastAsia="Arial" w:hAnsi="Arial"/>
          <w:sz w:val="19"/>
          <w:szCs w:val="19"/>
          <w:color w:val="auto"/>
        </w:rPr>
      </w:pPr>
      <w:r>
        <w:rPr>
          <w:rFonts w:ascii="Arial" w:cs="Arial" w:eastAsia="Arial" w:hAnsi="Arial"/>
          <w:sz w:val="19"/>
          <w:szCs w:val="19"/>
          <w:color w:val="auto"/>
        </w:rPr>
        <w:t>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Section 11.11 or under the indemnification provisions of this Agreement,</w:t>
      </w:r>
    </w:p>
    <w:p>
      <w:pPr>
        <w:spacing w:after="0" w:line="2" w:lineRule="exact"/>
        <w:rPr>
          <w:rFonts w:ascii="Arial" w:cs="Arial" w:eastAsia="Arial" w:hAnsi="Arial"/>
          <w:sz w:val="19"/>
          <w:szCs w:val="19"/>
          <w:color w:val="auto"/>
        </w:rPr>
      </w:pPr>
    </w:p>
    <w:p>
      <w:pPr>
        <w:jc w:val="both"/>
        <w:ind w:left="60" w:hanging="4"/>
        <w:spacing w:after="0" w:line="235" w:lineRule="auto"/>
        <w:tabs>
          <w:tab w:leader="none" w:pos="58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Administrative Agent from the Borrowers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8" w:lineRule="exact"/>
        <w:rPr>
          <w:rFonts w:ascii="Arial" w:cs="Arial" w:eastAsia="Arial" w:hAnsi="Arial"/>
          <w:sz w:val="18"/>
          <w:szCs w:val="18"/>
          <w:color w:val="auto"/>
        </w:rPr>
      </w:pPr>
    </w:p>
    <w:p>
      <w:pPr>
        <w:ind w:left="60" w:firstLine="644"/>
        <w:spacing w:after="0" w:line="236" w:lineRule="auto"/>
        <w:tabs>
          <w:tab w:leader="none" w:pos="1236" w:val="left"/>
        </w:tabs>
        <w:numPr>
          <w:ilvl w:val="1"/>
          <w:numId w:val="434"/>
        </w:numPr>
        <w:rPr>
          <w:rFonts w:ascii="Arial" w:cs="Arial" w:eastAsia="Arial" w:hAnsi="Arial"/>
          <w:sz w:val="20"/>
          <w:szCs w:val="20"/>
          <w:color w:val="auto"/>
        </w:rPr>
      </w:pPr>
      <w:r>
        <w:rPr>
          <w:rFonts w:ascii="Arial" w:cs="Arial" w:eastAsia="Arial" w:hAnsi="Arial"/>
          <w:sz w:val="20"/>
          <w:szCs w:val="20"/>
          <w:color w:val="auto"/>
        </w:rPr>
        <w:t>Each party’s obligations under this Section 11.11 shall survive the resignation or replacement of the Administrative Agent or any transfer of right or obligations by, or the replacement of,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0" w:name="page241"/>
    <w:bookmarkEnd w:id="240"/>
    <w:p>
      <w:pPr>
        <w:ind w:left="40" w:right="240"/>
        <w:spacing w:after="0" w:line="236" w:lineRule="auto"/>
        <w:rPr>
          <w:sz w:val="20"/>
          <w:szCs w:val="20"/>
          <w:color w:val="auto"/>
        </w:rPr>
      </w:pPr>
      <w:r>
        <w:rPr>
          <w:rFonts w:ascii="Arial" w:cs="Arial" w:eastAsia="Arial" w:hAnsi="Arial"/>
          <w:sz w:val="20"/>
          <w:szCs w:val="20"/>
          <w:color w:val="auto"/>
        </w:rPr>
        <w:t>Lender, the termination of the Commitments or the repayment, satisfaction or discharge of all Obligations (or any portion thereof) under any Loan Document.</w:t>
      </w:r>
    </w:p>
    <w:p>
      <w:pPr>
        <w:spacing w:after="0" w:line="196" w:lineRule="exact"/>
        <w:rPr>
          <w:sz w:val="20"/>
          <w:szCs w:val="20"/>
          <w:color w:val="auto"/>
        </w:rPr>
      </w:pPr>
    </w:p>
    <w:p>
      <w:pPr>
        <w:ind w:left="40" w:right="560" w:firstLine="646"/>
        <w:spacing w:after="0" w:line="236" w:lineRule="auto"/>
        <w:tabs>
          <w:tab w:leader="none" w:pos="1243" w:val="left"/>
        </w:tabs>
        <w:numPr>
          <w:ilvl w:val="0"/>
          <w:numId w:val="435"/>
        </w:numPr>
        <w:rPr>
          <w:rFonts w:ascii="Arial" w:cs="Arial" w:eastAsia="Arial" w:hAnsi="Arial"/>
          <w:sz w:val="20"/>
          <w:szCs w:val="20"/>
          <w:color w:val="auto"/>
        </w:rPr>
      </w:pPr>
      <w:r>
        <w:rPr>
          <w:rFonts w:ascii="Arial" w:cs="Arial" w:eastAsia="Arial" w:hAnsi="Arial"/>
          <w:sz w:val="20"/>
          <w:szCs w:val="20"/>
          <w:color w:val="auto"/>
        </w:rPr>
        <w:t>Nothing in this Section 11.11 will constitute a waiver or release of any claim of any party hereunder arising from any Payment Recipient’s receipt of an Erroneous Payment.</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XII MISCELLANEOUS</w:t>
      </w:r>
    </w:p>
    <w:p>
      <w:pPr>
        <w:spacing w:after="0" w:line="108"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6"/>
          <w:szCs w:val="16"/>
          <w:color w:val="auto"/>
        </w:rPr>
        <w:t>Notices.</w:t>
      </w:r>
    </w:p>
    <w:p>
      <w:pPr>
        <w:spacing w:after="0" w:line="297" w:lineRule="exact"/>
        <w:rPr>
          <w:sz w:val="20"/>
          <w:szCs w:val="20"/>
          <w:color w:val="auto"/>
        </w:rPr>
      </w:pPr>
    </w:p>
    <w:p>
      <w:pPr>
        <w:jc w:val="both"/>
        <w:ind w:left="40" w:firstLine="646"/>
        <w:spacing w:after="0" w:line="252" w:lineRule="auto"/>
        <w:tabs>
          <w:tab w:leader="none" w:pos="124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Notices Generally.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9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If to the Borrowers: Centuri Group, Inc.</w:t>
      </w:r>
    </w:p>
    <w:p>
      <w:pPr>
        <w:spacing w:after="0" w:line="17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19820 North 7</w:t>
      </w:r>
      <w:r>
        <w:rPr>
          <w:rFonts w:ascii="Arial" w:cs="Arial" w:eastAsia="Arial" w:hAnsi="Arial"/>
          <w:sz w:val="12"/>
          <w:szCs w:val="12"/>
          <w:color w:val="auto"/>
        </w:rPr>
        <w:t>th</w:t>
      </w:r>
      <w:r>
        <w:rPr>
          <w:rFonts w:ascii="Arial" w:cs="Arial" w:eastAsia="Arial" w:hAnsi="Arial"/>
          <w:sz w:val="20"/>
          <w:szCs w:val="20"/>
          <w:color w:val="auto"/>
        </w:rPr>
        <w:t xml:space="preserve"> Avenue, #120</w:t>
      </w:r>
    </w:p>
    <w:p>
      <w:pPr>
        <w:ind w:left="2620"/>
        <w:spacing w:after="0" w:line="227" w:lineRule="auto"/>
        <w:rPr>
          <w:sz w:val="20"/>
          <w:szCs w:val="20"/>
          <w:color w:val="auto"/>
        </w:rPr>
      </w:pPr>
      <w:r>
        <w:rPr>
          <w:rFonts w:ascii="Arial" w:cs="Arial" w:eastAsia="Arial" w:hAnsi="Arial"/>
          <w:sz w:val="20"/>
          <w:szCs w:val="20"/>
          <w:color w:val="auto"/>
        </w:rPr>
        <w:t>Phoenix, Arizona 85027</w:t>
      </w:r>
    </w:p>
    <w:p>
      <w:pPr>
        <w:ind w:left="2620"/>
        <w:spacing w:after="0" w:line="237" w:lineRule="auto"/>
        <w:rPr>
          <w:sz w:val="20"/>
          <w:szCs w:val="20"/>
          <w:color w:val="auto"/>
        </w:rPr>
      </w:pPr>
      <w:r>
        <w:rPr>
          <w:rFonts w:ascii="Arial" w:cs="Arial" w:eastAsia="Arial" w:hAnsi="Arial"/>
          <w:sz w:val="19"/>
          <w:szCs w:val="19"/>
          <w:color w:val="auto"/>
        </w:rPr>
        <w:t>Attention of: Jason Wilcock, Executive Vice President/General Counsel and Corporate Secretary</w:t>
      </w:r>
    </w:p>
    <w:p>
      <w:pPr>
        <w:ind w:left="2620"/>
        <w:spacing w:after="0" w:line="226" w:lineRule="auto"/>
        <w:rPr>
          <w:sz w:val="20"/>
          <w:szCs w:val="20"/>
          <w:color w:val="auto"/>
        </w:rPr>
      </w:pPr>
      <w:r>
        <w:rPr>
          <w:rFonts w:ascii="Arial" w:cs="Arial" w:eastAsia="Arial" w:hAnsi="Arial"/>
          <w:sz w:val="20"/>
          <w:szCs w:val="20"/>
          <w:color w:val="auto"/>
        </w:rPr>
        <w:t>Telephone No.: (623) 582-1235</w:t>
      </w:r>
    </w:p>
    <w:p>
      <w:pPr>
        <w:ind w:left="2620"/>
        <w:spacing w:after="0"/>
        <w:rPr>
          <w:sz w:val="20"/>
          <w:szCs w:val="20"/>
          <w:color w:val="auto"/>
        </w:rPr>
      </w:pPr>
      <w:r>
        <w:rPr>
          <w:rFonts w:ascii="Arial" w:cs="Arial" w:eastAsia="Arial" w:hAnsi="Arial"/>
          <w:sz w:val="20"/>
          <w:szCs w:val="20"/>
          <w:color w:val="auto"/>
        </w:rPr>
        <w:t>Facsimile No.: (623) 582-6853</w:t>
      </w:r>
    </w:p>
    <w:p>
      <w:pPr>
        <w:spacing w:after="0" w:line="6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E-mail: jwilcock@NextCenturi.com With copies to:</w:t>
      </w:r>
    </w:p>
    <w:p>
      <w:pPr>
        <w:spacing w:after="0" w:line="96"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Southwest Gas Holdings, Inc. 5241 Spring Mountain Road Las</w:t>
      </w:r>
    </w:p>
    <w:p>
      <w:pPr>
        <w:ind w:left="2620"/>
        <w:spacing w:after="0" w:line="197" w:lineRule="auto"/>
        <w:rPr>
          <w:sz w:val="20"/>
          <w:szCs w:val="20"/>
          <w:color w:val="auto"/>
        </w:rPr>
      </w:pPr>
      <w:r>
        <w:rPr>
          <w:rFonts w:ascii="Arial" w:cs="Arial" w:eastAsia="Arial" w:hAnsi="Arial"/>
          <w:sz w:val="20"/>
          <w:szCs w:val="20"/>
          <w:color w:val="auto"/>
        </w:rPr>
        <w:t>Vegas, NV 89150</w:t>
      </w:r>
    </w:p>
    <w:p>
      <w:pPr>
        <w:ind w:left="2620"/>
        <w:spacing w:after="0" w:line="211" w:lineRule="auto"/>
        <w:rPr>
          <w:sz w:val="20"/>
          <w:szCs w:val="20"/>
          <w:color w:val="auto"/>
        </w:rPr>
      </w:pPr>
      <w:r>
        <w:rPr>
          <w:rFonts w:ascii="Arial" w:cs="Arial" w:eastAsia="Arial" w:hAnsi="Arial"/>
          <w:sz w:val="20"/>
          <w:szCs w:val="20"/>
          <w:color w:val="auto"/>
        </w:rPr>
        <w:t>Attention of: Karen S. Haller, General Counsel Telephone No.: (702) 364-3191</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Facsimile No.: (702) 364-3452</w:t>
      </w:r>
    </w:p>
    <w:p>
      <w:pPr>
        <w:spacing w:after="0" w:line="78"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E-mail: karen.haller@swgas.com</w:t>
      </w:r>
    </w:p>
    <w:p>
      <w:pPr>
        <w:spacing w:after="0" w:line="108"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and</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Foley &amp; Lardner LLP</w:t>
      </w:r>
    </w:p>
    <w:p>
      <w:pPr>
        <w:ind w:left="2620"/>
        <w:spacing w:after="0" w:line="211" w:lineRule="auto"/>
        <w:rPr>
          <w:sz w:val="20"/>
          <w:szCs w:val="20"/>
          <w:color w:val="auto"/>
        </w:rPr>
      </w:pPr>
      <w:r>
        <w:rPr>
          <w:rFonts w:ascii="Arial" w:cs="Arial" w:eastAsia="Arial" w:hAnsi="Arial"/>
          <w:sz w:val="20"/>
          <w:szCs w:val="20"/>
          <w:color w:val="auto"/>
        </w:rPr>
        <w:t>777 East Wisconsin Avenue Milwaukee, WI 53202-5306 Attention</w:t>
      </w:r>
    </w:p>
    <w:p>
      <w:pPr>
        <w:ind w:left="2620"/>
        <w:spacing w:after="0" w:line="225" w:lineRule="auto"/>
        <w:rPr>
          <w:sz w:val="20"/>
          <w:szCs w:val="20"/>
          <w:color w:val="auto"/>
        </w:rPr>
      </w:pPr>
      <w:r>
        <w:rPr>
          <w:rFonts w:ascii="Arial" w:cs="Arial" w:eastAsia="Arial" w:hAnsi="Arial"/>
          <w:sz w:val="20"/>
          <w:szCs w:val="20"/>
          <w:color w:val="auto"/>
        </w:rPr>
        <w:t>of: Heidi M. Furlong Telephone No.: (414) 297-5620</w:t>
      </w:r>
    </w:p>
    <w:p>
      <w:pPr>
        <w:ind w:left="2620"/>
        <w:spacing w:after="0" w:line="226" w:lineRule="auto"/>
        <w:rPr>
          <w:sz w:val="20"/>
          <w:szCs w:val="20"/>
          <w:color w:val="auto"/>
        </w:rPr>
      </w:pPr>
      <w:r>
        <w:rPr>
          <w:rFonts w:ascii="Arial" w:cs="Arial" w:eastAsia="Arial" w:hAnsi="Arial"/>
          <w:sz w:val="20"/>
          <w:szCs w:val="20"/>
          <w:color w:val="auto"/>
        </w:rPr>
        <w:t>Facsimile: (414) 297-4900</w:t>
      </w:r>
    </w:p>
    <w:p>
      <w:pPr>
        <w:ind w:left="2620"/>
        <w:spacing w:after="0"/>
        <w:rPr>
          <w:sz w:val="20"/>
          <w:szCs w:val="20"/>
          <w:color w:val="auto"/>
        </w:rPr>
      </w:pPr>
      <w:r>
        <w:rPr>
          <w:rFonts w:ascii="Arial" w:cs="Arial" w:eastAsia="Arial" w:hAnsi="Arial"/>
          <w:sz w:val="20"/>
          <w:szCs w:val="20"/>
          <w:color w:val="auto"/>
        </w:rPr>
        <w:t>E-mail: HFurlong@foley.com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60"/>
          </w:cols>
          <w:pgMar w:left="380" w:top="1405" w:right="459" w:bottom="1440" w:gutter="0" w:footer="0" w:header="0"/>
        </w:sectPr>
      </w:pPr>
    </w:p>
    <w:bookmarkStart w:id="241" w:name="page242"/>
    <w:bookmarkEnd w:id="241"/>
    <w:p>
      <w:pPr>
        <w:ind w:left="2640"/>
        <w:spacing w:after="0"/>
        <w:rPr>
          <w:sz w:val="20"/>
          <w:szCs w:val="20"/>
          <w:color w:val="auto"/>
        </w:rPr>
      </w:pPr>
      <w:r>
        <w:rPr>
          <w:rFonts w:ascii="Arial" w:cs="Arial" w:eastAsia="Arial" w:hAnsi="Arial"/>
          <w:sz w:val="20"/>
          <w:szCs w:val="20"/>
          <w:color w:val="auto"/>
        </w:rPr>
        <w:t>If to Wells Fargo as Administrative Agent:</w:t>
      </w:r>
    </w:p>
    <w:p>
      <w:pPr>
        <w:spacing w:after="0" w:line="204"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Wells Fargo Bank, National Association MAC D1109-019</w:t>
      </w:r>
    </w:p>
    <w:p>
      <w:pPr>
        <w:ind w:left="2640"/>
        <w:spacing w:after="0" w:line="211" w:lineRule="auto"/>
        <w:rPr>
          <w:sz w:val="20"/>
          <w:szCs w:val="20"/>
          <w:color w:val="auto"/>
        </w:rPr>
      </w:pPr>
      <w:r>
        <w:rPr>
          <w:rFonts w:ascii="Arial" w:cs="Arial" w:eastAsia="Arial" w:hAnsi="Arial"/>
          <w:sz w:val="20"/>
          <w:szCs w:val="20"/>
          <w:color w:val="auto"/>
        </w:rPr>
        <w:t>1525 West W.T. Harris Blvd. Charlotte, NC 28262</w:t>
      </w:r>
    </w:p>
    <w:p>
      <w:pPr>
        <w:ind w:left="2640"/>
        <w:spacing w:after="0"/>
        <w:rPr>
          <w:sz w:val="20"/>
          <w:szCs w:val="20"/>
          <w:color w:val="auto"/>
        </w:rPr>
      </w:pPr>
      <w:r>
        <w:rPr>
          <w:rFonts w:ascii="Arial" w:cs="Arial" w:eastAsia="Arial" w:hAnsi="Arial"/>
          <w:sz w:val="20"/>
          <w:szCs w:val="20"/>
          <w:color w:val="auto"/>
        </w:rPr>
        <w:t>Attention of: Syndication Agency Services Telephone No.: (704) 590-2703</w:t>
      </w:r>
    </w:p>
    <w:p>
      <w:pPr>
        <w:spacing w:after="0" w:line="6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Facsimile No.: (704) 715-0092 With copies to:</w:t>
      </w:r>
    </w:p>
    <w:p>
      <w:pPr>
        <w:spacing w:after="0" w:line="14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Wells Fargo Bank, National Association 100 W. Washington Street, 25</w:t>
      </w:r>
      <w:r>
        <w:rPr>
          <w:rFonts w:ascii="Arial" w:cs="Arial" w:eastAsia="Arial" w:hAnsi="Arial"/>
          <w:sz w:val="12"/>
          <w:szCs w:val="12"/>
          <w:color w:val="auto"/>
        </w:rPr>
        <w:t>th</w:t>
      </w:r>
    </w:p>
    <w:p>
      <w:pPr>
        <w:spacing w:after="0" w:line="54"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Floor Phoenix, AZ 85003</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MAC S4101-251</w:t>
      </w:r>
    </w:p>
    <w:p>
      <w:pPr>
        <w:ind w:left="2640"/>
        <w:spacing w:after="0" w:line="211" w:lineRule="auto"/>
        <w:rPr>
          <w:sz w:val="20"/>
          <w:szCs w:val="20"/>
          <w:color w:val="auto"/>
        </w:rPr>
      </w:pPr>
      <w:r>
        <w:rPr>
          <w:rFonts w:ascii="Arial" w:cs="Arial" w:eastAsia="Arial" w:hAnsi="Arial"/>
          <w:sz w:val="20"/>
          <w:szCs w:val="20"/>
          <w:color w:val="auto"/>
        </w:rPr>
        <w:t>Attention of: Aaron Lemke Telephone No.: (602) 378-6629</w:t>
      </w:r>
    </w:p>
    <w:p>
      <w:pPr>
        <w:ind w:left="2640"/>
        <w:spacing w:after="0"/>
        <w:rPr>
          <w:sz w:val="20"/>
          <w:szCs w:val="20"/>
          <w:color w:val="auto"/>
        </w:rPr>
      </w:pPr>
      <w:r>
        <w:rPr>
          <w:rFonts w:ascii="Arial" w:cs="Arial" w:eastAsia="Arial" w:hAnsi="Arial"/>
          <w:sz w:val="20"/>
          <w:szCs w:val="20"/>
          <w:color w:val="auto"/>
        </w:rPr>
        <w:t>Facsimile No.: (602) 378-1360</w:t>
      </w:r>
    </w:p>
    <w:p>
      <w:pPr>
        <w:spacing w:after="0" w:line="6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E-mail: aaron.k.lemke@wellsfargo.com If to any Lender:</w:t>
      </w:r>
    </w:p>
    <w:p>
      <w:pPr>
        <w:spacing w:after="0" w:line="108"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To the address of such Lender set forth on the Register</w:t>
      </w:r>
    </w:p>
    <w:p>
      <w:pPr>
        <w:spacing w:after="0" w:line="216" w:lineRule="exact"/>
        <w:rPr>
          <w:sz w:val="20"/>
          <w:szCs w:val="20"/>
          <w:color w:val="auto"/>
        </w:rPr>
      </w:pPr>
    </w:p>
    <w:p>
      <w:pPr>
        <w:ind w:left="60" w:right="20"/>
        <w:spacing w:after="0" w:line="244"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w:t>
      </w:r>
    </w:p>
    <w:p>
      <w:pPr>
        <w:ind w:left="60"/>
        <w:spacing w:after="0" w:line="226" w:lineRule="auto"/>
        <w:rPr>
          <w:sz w:val="20"/>
          <w:szCs w:val="20"/>
          <w:color w:val="auto"/>
        </w:rPr>
      </w:pPr>
      <w:r>
        <w:rPr>
          <w:rFonts w:ascii="Arial" w:cs="Arial" w:eastAsia="Arial" w:hAnsi="Arial"/>
          <w:sz w:val="18"/>
          <w:szCs w:val="18"/>
          <w:color w:val="auto"/>
        </w:rPr>
        <w:t>for the recipient, shall be deemed to have been given at the opening of business on the next business day for the recipient). Notices delivered through electronic communications to the extent provided in paragraph (b) below, shall be effective as provided in said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paragraph (b).</w:t>
      </w:r>
    </w:p>
    <w:p>
      <w:pPr>
        <w:spacing w:after="0" w:line="200" w:lineRule="exact"/>
        <w:rPr>
          <w:sz w:val="20"/>
          <w:szCs w:val="20"/>
          <w:color w:val="auto"/>
        </w:rPr>
      </w:pPr>
    </w:p>
    <w:p>
      <w:pPr>
        <w:jc w:val="both"/>
        <w:ind w:left="60" w:firstLine="644"/>
        <w:spacing w:after="0" w:line="235" w:lineRule="auto"/>
        <w:tabs>
          <w:tab w:leader="none" w:pos="1236" w:val="left"/>
        </w:tabs>
        <w:numPr>
          <w:ilvl w:val="1"/>
          <w:numId w:val="437"/>
        </w:numPr>
        <w:rPr>
          <w:rFonts w:ascii="Arial" w:cs="Arial" w:eastAsia="Arial" w:hAnsi="Arial"/>
          <w:sz w:val="18"/>
          <w:szCs w:val="18"/>
          <w:color w:val="auto"/>
        </w:rPr>
      </w:pPr>
      <w:r>
        <w:rPr>
          <w:rFonts w:ascii="Arial" w:cs="Arial" w:eastAsia="Arial" w:hAnsi="Arial"/>
          <w:sz w:val="18"/>
          <w:szCs w:val="18"/>
          <w:color w:val="auto"/>
        </w:rPr>
        <w:t>Electronic Communications. Notices and other communications to the Lenders and the Issuing Lenders hereunder may be delivered or furnished by electronic communication (including e-mail and Internet or intranet websites) pursuant to procedures approved by the Administrative Agent, provided that the foregoing shall not apply to notices to any Lender or any Issuing Lender pursuant to Article II or III if such Lender or such Issuing Lender, as applicable, has notified the Administrative Agent that is incapable of receiving notices</w:t>
      </w:r>
    </w:p>
    <w:p>
      <w:pPr>
        <w:ind w:left="60"/>
        <w:spacing w:after="0" w:line="236" w:lineRule="auto"/>
        <w:rPr>
          <w:sz w:val="20"/>
          <w:szCs w:val="20"/>
          <w:color w:val="auto"/>
        </w:rPr>
      </w:pPr>
      <w:r>
        <w:rPr>
          <w:rFonts w:ascii="Arial" w:cs="Arial" w:eastAsia="Arial" w:hAnsi="Arial"/>
          <w:sz w:val="18"/>
          <w:szCs w:val="18"/>
          <w:color w:val="auto"/>
        </w:rPr>
        <w:t>under such Article by electronic communication. The Administrative Agent or a Borrower may, in its discretion, agree to accept notices</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and other communications to it hereunder by electronic communications pursuant to procedures approved by it, provided that approval of such procedures may be limited to particular notices or communications. Unless the Administrative Agent otherwise prescribes, (i) notices</w:t>
      </w:r>
    </w:p>
    <w:p>
      <w:pPr>
        <w:spacing w:after="0" w:line="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and other communications sent to an e-mail address shall be deemed received upon the sender’s receipt of an acknowledgement from the intended recipient (such as by the “return receipt requested” function, as available, return e-mail or other written acknowledgement), and</w:t>
      </w:r>
    </w:p>
    <w:p>
      <w:pPr>
        <w:spacing w:after="0" w:line="2" w:lineRule="exact"/>
        <w:rPr>
          <w:sz w:val="20"/>
          <w:szCs w:val="20"/>
          <w:color w:val="auto"/>
        </w:rPr>
      </w:pPr>
    </w:p>
    <w:p>
      <w:pPr>
        <w:jc w:val="both"/>
        <w:ind w:left="60" w:hanging="5"/>
        <w:spacing w:after="0" w:line="216" w:lineRule="auto"/>
        <w:tabs>
          <w:tab w:leader="none" w:pos="356" w:val="left"/>
        </w:tabs>
        <w:numPr>
          <w:ilvl w:val="0"/>
          <w:numId w:val="438"/>
        </w:numPr>
        <w:rPr>
          <w:rFonts w:ascii="Arial" w:cs="Arial" w:eastAsia="Arial" w:hAnsi="Arial"/>
          <w:sz w:val="20"/>
          <w:szCs w:val="20"/>
          <w:color w:val="auto"/>
        </w:rPr>
      </w:pPr>
      <w:r>
        <w:rPr>
          <w:rFonts w:ascii="Arial" w:cs="Arial" w:eastAsia="Arial" w:hAnsi="Arial"/>
          <w:sz w:val="20"/>
          <w:szCs w:val="20"/>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42" w:name="page243"/>
    <w:bookmarkEnd w:id="242"/>
    <w:p>
      <w:pPr>
        <w:spacing w:after="0" w:line="209" w:lineRule="exact"/>
        <w:rPr>
          <w:sz w:val="20"/>
          <w:szCs w:val="20"/>
          <w:color w:val="auto"/>
        </w:rPr>
      </w:pPr>
    </w:p>
    <w:p>
      <w:pPr>
        <w:ind w:left="60" w:right="440"/>
        <w:spacing w:after="0" w:line="236" w:lineRule="auto"/>
        <w:rPr>
          <w:sz w:val="20"/>
          <w:szCs w:val="20"/>
          <w:color w:val="auto"/>
        </w:rPr>
      </w:pPr>
      <w:r>
        <w:rPr>
          <w:rFonts w:ascii="Arial" w:cs="Arial" w:eastAsia="Arial" w:hAnsi="Arial"/>
          <w:sz w:val="20"/>
          <w:szCs w:val="20"/>
          <w:color w:val="auto"/>
        </w:rPr>
        <w:t>during the normal business hours of the recipient, such notice, email or other communication shall be deemed to have been sent at the opening of business on the next business day for the recipient.</w:t>
      </w:r>
    </w:p>
    <w:p>
      <w:pPr>
        <w:spacing w:after="0" w:line="196" w:lineRule="exact"/>
        <w:rPr>
          <w:sz w:val="20"/>
          <w:szCs w:val="20"/>
          <w:color w:val="auto"/>
        </w:rPr>
      </w:pPr>
    </w:p>
    <w:p>
      <w:pPr>
        <w:jc w:val="both"/>
        <w:ind w:left="60" w:firstLine="644"/>
        <w:spacing w:after="0" w:line="220" w:lineRule="auto"/>
        <w:tabs>
          <w:tab w:leader="none" w:pos="1236" w:val="left"/>
        </w:tabs>
        <w:numPr>
          <w:ilvl w:val="0"/>
          <w:numId w:val="439"/>
        </w:numPr>
        <w:rPr>
          <w:rFonts w:ascii="Arial" w:cs="Arial" w:eastAsia="Arial" w:hAnsi="Arial"/>
          <w:sz w:val="20"/>
          <w:szCs w:val="20"/>
          <w:color w:val="auto"/>
        </w:rPr>
      </w:pPr>
      <w:r>
        <w:rPr>
          <w:rFonts w:ascii="Arial" w:cs="Arial" w:eastAsia="Arial" w:hAnsi="Arial"/>
          <w:sz w:val="20"/>
          <w:szCs w:val="20"/>
          <w:color w:val="auto"/>
        </w:rPr>
        <w:t>Administrative Agent’s Office.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96" w:lineRule="exact"/>
        <w:rPr>
          <w:rFonts w:ascii="Arial" w:cs="Arial" w:eastAsia="Arial" w:hAnsi="Arial"/>
          <w:sz w:val="20"/>
          <w:szCs w:val="20"/>
          <w:color w:val="auto"/>
        </w:rPr>
      </w:pPr>
    </w:p>
    <w:p>
      <w:pPr>
        <w:jc w:val="both"/>
        <w:ind w:left="60" w:right="20" w:firstLine="644"/>
        <w:spacing w:after="0" w:line="220" w:lineRule="auto"/>
        <w:tabs>
          <w:tab w:leader="none" w:pos="1236" w:val="left"/>
        </w:tabs>
        <w:numPr>
          <w:ilvl w:val="0"/>
          <w:numId w:val="439"/>
        </w:numPr>
        <w:rPr>
          <w:rFonts w:ascii="Arial" w:cs="Arial" w:eastAsia="Arial" w:hAnsi="Arial"/>
          <w:sz w:val="20"/>
          <w:szCs w:val="20"/>
          <w:color w:val="auto"/>
        </w:rPr>
      </w:pPr>
      <w:r>
        <w:rPr>
          <w:rFonts w:ascii="Arial" w:cs="Arial" w:eastAsia="Arial" w:hAnsi="Arial"/>
          <w:sz w:val="20"/>
          <w:szCs w:val="20"/>
          <w:color w:val="auto"/>
        </w:rPr>
        <w:t>Change of Address, Etc. Each of the Borrowers, the Administrative Agent, any Issuing Lender or any Swingline Lender may change its address or facsimile number for notices and other 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209" w:lineRule="exact"/>
        <w:rPr>
          <w:rFonts w:ascii="Arial" w:cs="Arial" w:eastAsia="Arial" w:hAnsi="Arial"/>
          <w:sz w:val="20"/>
          <w:szCs w:val="20"/>
          <w:color w:val="auto"/>
        </w:rPr>
      </w:pPr>
    </w:p>
    <w:p>
      <w:pPr>
        <w:ind w:left="1340" w:hanging="636"/>
        <w:spacing w:after="0"/>
        <w:tabs>
          <w:tab w:leader="none" w:pos="134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Platform.</w:t>
      </w:r>
    </w:p>
    <w:p>
      <w:pPr>
        <w:spacing w:after="0" w:line="283" w:lineRule="exact"/>
        <w:rPr>
          <w:rFonts w:ascii="Arial" w:cs="Arial" w:eastAsia="Arial" w:hAnsi="Arial"/>
          <w:sz w:val="20"/>
          <w:szCs w:val="20"/>
          <w:color w:val="auto"/>
        </w:rPr>
      </w:pPr>
    </w:p>
    <w:p>
      <w:pPr>
        <w:ind w:left="700" w:right="20" w:firstLine="652"/>
        <w:spacing w:after="0" w:line="242" w:lineRule="auto"/>
        <w:tabs>
          <w:tab w:leader="none" w:pos="1877" w:val="left"/>
        </w:tabs>
        <w:numPr>
          <w:ilvl w:val="1"/>
          <w:numId w:val="439"/>
        </w:numPr>
        <w:rPr>
          <w:rFonts w:ascii="Arial" w:cs="Arial" w:eastAsia="Arial" w:hAnsi="Arial"/>
          <w:sz w:val="19"/>
          <w:szCs w:val="19"/>
          <w:color w:val="auto"/>
        </w:rPr>
      </w:pPr>
      <w:r>
        <w:rPr>
          <w:rFonts w:ascii="Arial" w:cs="Arial" w:eastAsia="Arial" w:hAnsi="Arial"/>
          <w:sz w:val="19"/>
          <w:szCs w:val="19"/>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207" w:lineRule="exact"/>
        <w:rPr>
          <w:rFonts w:ascii="Arial" w:cs="Arial" w:eastAsia="Arial" w:hAnsi="Arial"/>
          <w:sz w:val="19"/>
          <w:szCs w:val="19"/>
          <w:color w:val="auto"/>
        </w:rPr>
      </w:pPr>
    </w:p>
    <w:p>
      <w:pPr>
        <w:jc w:val="both"/>
        <w:ind w:left="700" w:firstLine="652"/>
        <w:spacing w:after="0" w:line="233" w:lineRule="auto"/>
        <w:tabs>
          <w:tab w:leader="none" w:pos="1889"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“Agent Parties”)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provided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209" w:lineRule="exact"/>
        <w:rPr>
          <w:rFonts w:ascii="Arial" w:cs="Arial" w:eastAsia="Arial" w:hAnsi="Arial"/>
          <w:sz w:val="18"/>
          <w:szCs w:val="18"/>
          <w:color w:val="auto"/>
        </w:rPr>
      </w:pPr>
    </w:p>
    <w:p>
      <w:pPr>
        <w:jc w:val="both"/>
        <w:ind w:left="60" w:firstLine="644"/>
        <w:spacing w:after="0" w:line="238" w:lineRule="auto"/>
        <w:tabs>
          <w:tab w:leader="none" w:pos="123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Private Side Designation.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99"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12.2</w:t>
      </w:r>
      <w:r>
        <w:rPr>
          <w:sz w:val="20"/>
          <w:szCs w:val="20"/>
          <w:color w:val="auto"/>
        </w:rPr>
        <w:tab/>
      </w:r>
      <w:r>
        <w:rPr>
          <w:rFonts w:ascii="Arial" w:cs="Arial" w:eastAsia="Arial" w:hAnsi="Arial"/>
          <w:sz w:val="16"/>
          <w:szCs w:val="16"/>
          <w:color w:val="auto"/>
        </w:rPr>
        <w:t>Amendments, Waivers and Consents</w:t>
      </w:r>
    </w:p>
    <w:p>
      <w:pPr>
        <w:spacing w:after="0" w:line="283" w:lineRule="exact"/>
        <w:rPr>
          <w:sz w:val="20"/>
          <w:szCs w:val="20"/>
          <w:color w:val="auto"/>
        </w:rPr>
      </w:pPr>
    </w:p>
    <w:p>
      <w:pPr>
        <w:ind w:left="60" w:right="820" w:hanging="4"/>
        <w:spacing w:after="0" w:line="236" w:lineRule="auto"/>
        <w:tabs>
          <w:tab w:leader="none" w:pos="159" w:val="left"/>
        </w:tabs>
        <w:numPr>
          <w:ilvl w:val="0"/>
          <w:numId w:val="440"/>
        </w:numPr>
        <w:rPr>
          <w:rFonts w:ascii="Arial" w:cs="Arial" w:eastAsia="Arial" w:hAnsi="Arial"/>
          <w:sz w:val="20"/>
          <w:szCs w:val="20"/>
          <w:color w:val="auto"/>
        </w:rPr>
      </w:pPr>
      <w:r>
        <w:rPr>
          <w:rFonts w:ascii="Arial" w:cs="Arial" w:eastAsia="Arial" w:hAnsi="Arial"/>
          <w:sz w:val="20"/>
          <w:szCs w:val="20"/>
          <w:color w:val="auto"/>
        </w:rPr>
        <w:t>Except as set forth below or as specifically provided in any Loan Document, any term, covenant, agreement or condition of this Agreement or any of the other Loan Documents may be amended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3" w:name="page244"/>
    <w:bookmarkEnd w:id="243"/>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the Lenders, and any consent given by the Lenders, if, but only if, such amendment, waiver or consent is in writing signed by the</w:t>
      </w:r>
    </w:p>
    <w:p>
      <w:pPr>
        <w:spacing w:after="0" w:line="1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Required Lenders (or in the case of any amendment which directly affects only one Class under the Credit Facility, the Required Facility Lenders, and not the Required Lenders or the Required Facility Lenders, as applicable) (or by the Administrative Agent with the consent</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auto"/>
        </w:rPr>
        <w:t>of the Required Lenders) and delivered to the Administrative Agent and, in the case of an amendment, signed by the Borrowers; provided, that no amendment, waiver or consent shall:</w:t>
      </w:r>
    </w:p>
    <w:p>
      <w:pPr>
        <w:spacing w:after="0" w:line="264" w:lineRule="exact"/>
        <w:rPr>
          <w:sz w:val="20"/>
          <w:szCs w:val="20"/>
          <w:color w:val="auto"/>
        </w:rPr>
      </w:pPr>
    </w:p>
    <w:p>
      <w:pPr>
        <w:jc w:val="both"/>
        <w:ind w:left="60" w:firstLine="644"/>
        <w:spacing w:after="0" w:line="214" w:lineRule="auto"/>
        <w:tabs>
          <w:tab w:leader="none" w:pos="1236" w:val="left"/>
        </w:tabs>
        <w:numPr>
          <w:ilvl w:val="0"/>
          <w:numId w:val="441"/>
        </w:numPr>
        <w:rPr>
          <w:rFonts w:ascii="Arial" w:cs="Arial" w:eastAsia="Arial" w:hAnsi="Arial"/>
          <w:sz w:val="20"/>
          <w:szCs w:val="20"/>
          <w:color w:val="auto"/>
        </w:rPr>
      </w:pPr>
      <w:r>
        <w:rPr>
          <w:rFonts w:ascii="Arial" w:cs="Arial" w:eastAsia="Arial" w:hAnsi="Arial"/>
          <w:sz w:val="20"/>
          <w:szCs w:val="20"/>
          <w:color w:val="auto"/>
        </w:rPr>
        <w:t>without the prior written consent of the Required Revolving Credit Lenders, amend, modify or waive (i) Section 6.2 or any other provision of this Agreement if the effect of such amendment, modification or waiver is to require the Revolving Credit Lenders (pursuant to, in the case of any such amendment to a provision hereof other than Section 6.2, any substantially concurrent request by any 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200" w:lineRule="exact"/>
        <w:rPr>
          <w:rFonts w:ascii="Arial" w:cs="Arial" w:eastAsia="Arial" w:hAnsi="Arial"/>
          <w:sz w:val="20"/>
          <w:szCs w:val="20"/>
          <w:color w:val="auto"/>
        </w:rPr>
      </w:pPr>
    </w:p>
    <w:p>
      <w:pPr>
        <w:ind w:left="60" w:firstLine="644"/>
        <w:spacing w:after="0" w:line="236" w:lineRule="auto"/>
        <w:tabs>
          <w:tab w:leader="none" w:pos="1236" w:val="left"/>
        </w:tabs>
        <w:numPr>
          <w:ilvl w:val="0"/>
          <w:numId w:val="441"/>
        </w:numPr>
        <w:rPr>
          <w:rFonts w:ascii="Arial" w:cs="Arial" w:eastAsia="Arial" w:hAnsi="Arial"/>
          <w:sz w:val="20"/>
          <w:szCs w:val="20"/>
          <w:color w:val="auto"/>
        </w:rPr>
      </w:pPr>
      <w:r>
        <w:rPr>
          <w:rFonts w:ascii="Arial" w:cs="Arial" w:eastAsia="Arial" w:hAnsi="Arial"/>
          <w:sz w:val="20"/>
          <w:szCs w:val="20"/>
          <w:color w:val="auto"/>
        </w:rPr>
        <w:t>increase the Commitment of any Lender (or reinstate any Commitment terminated pursuant to Section 10.2) or the amount of Loans of any Lender, in any case, without the written consent of such Lender;</w:t>
      </w:r>
    </w:p>
    <w:p>
      <w:pPr>
        <w:spacing w:after="0" w:line="195" w:lineRule="exact"/>
        <w:rPr>
          <w:rFonts w:ascii="Arial" w:cs="Arial" w:eastAsia="Arial" w:hAnsi="Arial"/>
          <w:sz w:val="20"/>
          <w:szCs w:val="20"/>
          <w:color w:val="auto"/>
        </w:rPr>
      </w:pPr>
    </w:p>
    <w:p>
      <w:pPr>
        <w:jc w:val="both"/>
        <w:ind w:left="60" w:firstLine="644"/>
        <w:spacing w:after="0" w:line="229" w:lineRule="auto"/>
        <w:tabs>
          <w:tab w:leader="none" w:pos="1236" w:val="left"/>
        </w:tabs>
        <w:numPr>
          <w:ilvl w:val="0"/>
          <w:numId w:val="441"/>
        </w:numPr>
        <w:rPr>
          <w:rFonts w:ascii="Arial" w:cs="Arial" w:eastAsia="Arial" w:hAnsi="Arial"/>
          <w:sz w:val="19"/>
          <w:szCs w:val="19"/>
          <w:color w:val="auto"/>
        </w:rPr>
      </w:pPr>
      <w:r>
        <w:rPr>
          <w:rFonts w:ascii="Arial" w:cs="Arial" w:eastAsia="Arial" w:hAnsi="Arial"/>
          <w:sz w:val="19"/>
          <w:szCs w:val="19"/>
          <w:color w:val="auto"/>
        </w:rPr>
        <w:t>waive, extend or postpone any date fixed by this Agreement or any other Loan Document for any payment or prepayment of principal (it being understood that a waiver of a mandatory prepayment under Section 4.4(b) shall only require the consent of the Required Term Loan Lenders), interest, fees or other amounts due to the Lenders (or any of them) hereunder or under any other Loan Document without the written consent of each Lender directly and adversely affected thereby (provided that a waiver of a mandatory prepayment under Section 4.4(b) shall only require the consent of Required Lenders);</w:t>
      </w:r>
    </w:p>
    <w:p>
      <w:pPr>
        <w:spacing w:after="0" w:line="267" w:lineRule="exact"/>
        <w:rPr>
          <w:rFonts w:ascii="Arial" w:cs="Arial" w:eastAsia="Arial" w:hAnsi="Arial"/>
          <w:sz w:val="19"/>
          <w:szCs w:val="19"/>
          <w:color w:val="auto"/>
        </w:rPr>
      </w:pPr>
    </w:p>
    <w:p>
      <w:pPr>
        <w:jc w:val="both"/>
        <w:ind w:left="60" w:firstLine="644"/>
        <w:spacing w:after="0" w:line="214" w:lineRule="auto"/>
        <w:tabs>
          <w:tab w:leader="none" w:pos="1236" w:val="left"/>
        </w:tabs>
        <w:numPr>
          <w:ilvl w:val="0"/>
          <w:numId w:val="441"/>
        </w:numPr>
        <w:rPr>
          <w:rFonts w:ascii="Arial" w:cs="Arial" w:eastAsia="Arial" w:hAnsi="Arial"/>
          <w:sz w:val="20"/>
          <w:szCs w:val="20"/>
          <w:color w:val="auto"/>
        </w:rPr>
      </w:pPr>
      <w:r>
        <w:rPr>
          <w:rFonts w:ascii="Arial" w:cs="Arial" w:eastAsia="Arial" w:hAnsi="Arial"/>
          <w:sz w:val="20"/>
          <w:szCs w:val="20"/>
          <w:color w:val="auto"/>
        </w:rPr>
        <w:t>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provided that only the consent of the Required Lenders shall be necessary (i) to waive any obligation of the Borrowers to pay interest at the rate set forth in Section 5.1(b)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98" w:lineRule="exact"/>
        <w:rPr>
          <w:rFonts w:ascii="Arial" w:cs="Arial" w:eastAsia="Arial" w:hAnsi="Arial"/>
          <w:sz w:val="20"/>
          <w:szCs w:val="20"/>
          <w:color w:val="auto"/>
        </w:rPr>
      </w:pPr>
    </w:p>
    <w:p>
      <w:pPr>
        <w:ind w:left="60" w:right="20" w:firstLine="644"/>
        <w:spacing w:after="0" w:line="236" w:lineRule="auto"/>
        <w:tabs>
          <w:tab w:leader="none" w:pos="1236" w:val="left"/>
        </w:tabs>
        <w:numPr>
          <w:ilvl w:val="0"/>
          <w:numId w:val="441"/>
        </w:numPr>
        <w:rPr>
          <w:rFonts w:ascii="Arial" w:cs="Arial" w:eastAsia="Arial" w:hAnsi="Arial"/>
          <w:sz w:val="20"/>
          <w:szCs w:val="20"/>
          <w:color w:val="auto"/>
        </w:rPr>
      </w:pPr>
      <w:r>
        <w:rPr>
          <w:rFonts w:ascii="Arial" w:cs="Arial" w:eastAsia="Arial" w:hAnsi="Arial"/>
          <w:sz w:val="20"/>
          <w:szCs w:val="20"/>
          <w:color w:val="auto"/>
        </w:rPr>
        <w:t>change Section 5.6 or Section 10.4 in a manner that would alter the pro rata sharing of payments or order of application required thereby without the written consent of each Lender directly and adversely affected thereby;</w:t>
      </w:r>
    </w:p>
    <w:p>
      <w:pPr>
        <w:spacing w:after="0" w:line="195" w:lineRule="exact"/>
        <w:rPr>
          <w:rFonts w:ascii="Arial" w:cs="Arial" w:eastAsia="Arial" w:hAnsi="Arial"/>
          <w:sz w:val="20"/>
          <w:szCs w:val="20"/>
          <w:color w:val="auto"/>
        </w:rPr>
      </w:pPr>
    </w:p>
    <w:p>
      <w:pPr>
        <w:ind w:left="60" w:right="20" w:firstLine="644"/>
        <w:spacing w:after="0" w:line="236" w:lineRule="auto"/>
        <w:tabs>
          <w:tab w:leader="none" w:pos="1236" w:val="left"/>
        </w:tabs>
        <w:numPr>
          <w:ilvl w:val="0"/>
          <w:numId w:val="441"/>
        </w:numPr>
        <w:rPr>
          <w:rFonts w:ascii="Arial" w:cs="Arial" w:eastAsia="Arial" w:hAnsi="Arial"/>
          <w:sz w:val="20"/>
          <w:szCs w:val="20"/>
          <w:color w:val="auto"/>
        </w:rPr>
      </w:pPr>
      <w:r>
        <w:rPr>
          <w:rFonts w:ascii="Arial" w:cs="Arial" w:eastAsia="Arial" w:hAnsi="Arial"/>
          <w:sz w:val="20"/>
          <w:szCs w:val="20"/>
          <w:color w:val="auto"/>
        </w:rPr>
        <w:t>change Section 4.4(b)(v) in a manner that would alter the order of application of amounts prepaid pursuant thereto without the written consent of each Lender directly and adversely affected thereby;</w:t>
      </w:r>
    </w:p>
    <w:p>
      <w:pPr>
        <w:spacing w:after="0" w:line="195" w:lineRule="exact"/>
        <w:rPr>
          <w:rFonts w:ascii="Arial" w:cs="Arial" w:eastAsia="Arial" w:hAnsi="Arial"/>
          <w:sz w:val="20"/>
          <w:szCs w:val="20"/>
          <w:color w:val="auto"/>
        </w:rPr>
      </w:pPr>
    </w:p>
    <w:p>
      <w:pPr>
        <w:jc w:val="both"/>
        <w:ind w:left="60" w:right="20" w:firstLine="644"/>
        <w:spacing w:after="0" w:line="215" w:lineRule="auto"/>
        <w:tabs>
          <w:tab w:leader="none" w:pos="1236" w:val="left"/>
        </w:tabs>
        <w:numPr>
          <w:ilvl w:val="0"/>
          <w:numId w:val="441"/>
        </w:numPr>
        <w:rPr>
          <w:rFonts w:ascii="Arial" w:cs="Arial" w:eastAsia="Arial" w:hAnsi="Arial"/>
          <w:sz w:val="20"/>
          <w:szCs w:val="20"/>
          <w:color w:val="auto"/>
        </w:rPr>
      </w:pPr>
      <w:r>
        <w:rPr>
          <w:rFonts w:ascii="Arial" w:cs="Arial" w:eastAsia="Arial" w:hAnsi="Arial"/>
          <w:sz w:val="20"/>
          <w:szCs w:val="20"/>
          <w:color w:val="auto"/>
        </w:rPr>
        <w:t>except as otherwise permitted by this Section 12.2 change any provision of this Section or reduce the percentages specified in the definitions of “Required Lenders,” “Required Revolving Credit Lenders”, “Required Facility Lenders” or “Required Term Loan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4" w:name="page245"/>
    <w:bookmarkEnd w:id="244"/>
    <w:p>
      <w:pPr>
        <w:spacing w:after="0" w:line="209" w:lineRule="exact"/>
        <w:rPr>
          <w:sz w:val="20"/>
          <w:szCs w:val="20"/>
          <w:color w:val="auto"/>
        </w:rPr>
      </w:pPr>
    </w:p>
    <w:p>
      <w:pPr>
        <w:ind w:left="60" w:firstLine="644"/>
        <w:spacing w:after="0" w:line="236" w:lineRule="auto"/>
        <w:tabs>
          <w:tab w:leader="none" w:pos="1236" w:val="left"/>
        </w:tabs>
        <w:numPr>
          <w:ilvl w:val="0"/>
          <w:numId w:val="442"/>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under any Class to assign any of its rights or obligations hereunder without the written consent of the Required Facility Lenders under such Class;</w:t>
      </w:r>
    </w:p>
    <w:p>
      <w:pPr>
        <w:spacing w:after="0" w:line="195" w:lineRule="exact"/>
        <w:rPr>
          <w:rFonts w:ascii="Arial" w:cs="Arial" w:eastAsia="Arial" w:hAnsi="Arial"/>
          <w:sz w:val="20"/>
          <w:szCs w:val="20"/>
          <w:color w:val="auto"/>
        </w:rPr>
      </w:pPr>
    </w:p>
    <w:p>
      <w:pPr>
        <w:ind w:left="60" w:right="20" w:firstLine="644"/>
        <w:spacing w:after="0" w:line="285" w:lineRule="auto"/>
        <w:tabs>
          <w:tab w:leader="none" w:pos="123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consent to the assignment or transfer by any Credit Party of such Credit Party’s rights and obligations under any Loan Document to which it is a party (except as permitted pursuant to Section 9.4), in each case, without the written consent of each Lender;</w:t>
      </w:r>
    </w:p>
    <w:p>
      <w:pPr>
        <w:spacing w:after="0" w:line="156" w:lineRule="exact"/>
        <w:rPr>
          <w:rFonts w:ascii="Arial" w:cs="Arial" w:eastAsia="Arial" w:hAnsi="Arial"/>
          <w:sz w:val="18"/>
          <w:szCs w:val="18"/>
          <w:color w:val="auto"/>
        </w:rPr>
      </w:pPr>
    </w:p>
    <w:p>
      <w:pPr>
        <w:jc w:val="both"/>
        <w:ind w:left="60" w:right="20" w:firstLine="644"/>
        <w:spacing w:after="0" w:line="223" w:lineRule="auto"/>
        <w:tabs>
          <w:tab w:leader="none" w:pos="124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release (i) all of the Subsidiary Guarantors or (ii) Subsidiary Guarantors comprising all or substantially all of the credit support for the Secured Obligations, in any case, from any Guaranty Agreement (other than as authorized in Section 11.9), without the written consent of each Lender;</w:t>
      </w:r>
    </w:p>
    <w:p>
      <w:pPr>
        <w:spacing w:after="0" w:line="263" w:lineRule="exact"/>
        <w:rPr>
          <w:rFonts w:ascii="Arial" w:cs="Arial" w:eastAsia="Arial" w:hAnsi="Arial"/>
          <w:sz w:val="20"/>
          <w:szCs w:val="20"/>
          <w:color w:val="auto"/>
        </w:rPr>
      </w:pPr>
    </w:p>
    <w:p>
      <w:pPr>
        <w:jc w:val="both"/>
        <w:ind w:left="60" w:firstLine="644"/>
        <w:spacing w:after="0" w:line="235" w:lineRule="auto"/>
        <w:tabs>
          <w:tab w:leader="none" w:pos="1233" w:val="left"/>
        </w:tabs>
        <w:numPr>
          <w:ilvl w:val="0"/>
          <w:numId w:val="442"/>
        </w:numPr>
        <w:rPr>
          <w:rFonts w:ascii="Arial" w:cs="Arial" w:eastAsia="Arial" w:hAnsi="Arial"/>
          <w:sz w:val="19"/>
          <w:szCs w:val="19"/>
          <w:color w:val="auto"/>
        </w:rPr>
      </w:pPr>
      <w:r>
        <w:rPr>
          <w:rFonts w:ascii="Arial" w:cs="Arial" w:eastAsia="Arial" w:hAnsi="Arial"/>
          <w:sz w:val="19"/>
          <w:szCs w:val="19"/>
          <w:color w:val="auto"/>
        </w:rPr>
        <w:t>release or subordinate all or substantially all of the Collateral or release or subordinate any Security Document (or any Lien created thereby) (other than as authorized in Section 11.9 (other than Section 11.9(a)(i)(C)) or as otherwise specifically permitted or contemplated in this Agreement or the applicable Security Document) without the written consent of each Lender;</w:t>
      </w:r>
    </w:p>
    <w:p>
      <w:pPr>
        <w:spacing w:after="0" w:line="208" w:lineRule="exact"/>
        <w:rPr>
          <w:rFonts w:ascii="Arial" w:cs="Arial" w:eastAsia="Arial" w:hAnsi="Arial"/>
          <w:sz w:val="19"/>
          <w:szCs w:val="19"/>
          <w:color w:val="auto"/>
        </w:rPr>
      </w:pPr>
    </w:p>
    <w:p>
      <w:pPr>
        <w:jc w:val="both"/>
        <w:ind w:left="60" w:firstLine="644"/>
        <w:spacing w:after="0" w:line="220" w:lineRule="auto"/>
        <w:tabs>
          <w:tab w:leader="none" w:pos="124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amend, waive or otherwise modify any provision of Section 9.13 (or any defined terms used therein, but only for purposes of Section 9.13 and not for any other purposes, including, without limitation, any pro forma compliance or incurrence tests) or waive any Event of Default resulting from a breach of the financial covenants set forth in Section 9.13, in each case without the written consent of the Required Revolving Credit Lenders; or</w:t>
      </w:r>
    </w:p>
    <w:p>
      <w:pPr>
        <w:spacing w:after="0" w:line="196" w:lineRule="exact"/>
        <w:rPr>
          <w:rFonts w:ascii="Arial" w:cs="Arial" w:eastAsia="Arial" w:hAnsi="Arial"/>
          <w:sz w:val="20"/>
          <w:szCs w:val="20"/>
          <w:color w:val="auto"/>
        </w:rPr>
      </w:pPr>
    </w:p>
    <w:p>
      <w:pPr>
        <w:jc w:val="both"/>
        <w:ind w:left="60" w:firstLine="644"/>
        <w:spacing w:after="0" w:line="223" w:lineRule="auto"/>
        <w:tabs>
          <w:tab w:leader="none" w:pos="124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subordinate any of the Obligations owed to the Lenders under a particular Credit Facility in right of payment or otherwise adversely affect the priority of payment of any of such Obligations without the consent of each Lender directly and adversely affected thereby;</w:t>
      </w:r>
    </w:p>
    <w:p>
      <w:pPr>
        <w:spacing w:after="0" w:line="209" w:lineRule="exact"/>
        <w:rPr>
          <w:sz w:val="20"/>
          <w:szCs w:val="20"/>
          <w:color w:val="auto"/>
        </w:rPr>
      </w:pPr>
    </w:p>
    <w:p>
      <w:pPr>
        <w:ind w:left="60"/>
        <w:spacing w:after="0" w:line="236" w:lineRule="auto"/>
        <w:rPr>
          <w:sz w:val="20"/>
          <w:szCs w:val="20"/>
          <w:color w:val="auto"/>
        </w:rPr>
      </w:pPr>
      <w:r>
        <w:rPr>
          <w:rFonts w:ascii="Arial" w:cs="Arial" w:eastAsia="Arial" w:hAnsi="Arial"/>
          <w:sz w:val="18"/>
          <w:szCs w:val="18"/>
          <w:color w:val="auto"/>
        </w:rPr>
        <w:t>provided further, that (i) no amendment, waiver or consent shall, unless in writing and signed by each affected Issuing Lender in addition to the Lenders required above, affect the rights or duties of such Issuing Lender under this Agreement or any Letter of Credit Application</w:t>
      </w:r>
    </w:p>
    <w:p>
      <w:pPr>
        <w:ind w:left="60"/>
        <w:spacing w:after="0" w:line="235" w:lineRule="auto"/>
        <w:rPr>
          <w:sz w:val="20"/>
          <w:szCs w:val="20"/>
          <w:color w:val="auto"/>
        </w:rPr>
      </w:pPr>
      <w:r>
        <w:rPr>
          <w:rFonts w:ascii="Arial" w:cs="Arial" w:eastAsia="Arial" w:hAnsi="Arial"/>
          <w:sz w:val="18"/>
          <w:szCs w:val="18"/>
          <w:color w:val="auto"/>
        </w:rPr>
        <w:t>relating to any Letter of Credit issued or to be issued by it; (ii) no amendment, waiver or consent shall, unless in writing and signed by the</w:t>
      </w:r>
    </w:p>
    <w:p>
      <w:pPr>
        <w:ind w:left="60"/>
        <w:spacing w:after="0" w:line="226" w:lineRule="auto"/>
        <w:rPr>
          <w:sz w:val="20"/>
          <w:szCs w:val="20"/>
          <w:color w:val="auto"/>
        </w:rPr>
      </w:pPr>
      <w:r>
        <w:rPr>
          <w:rFonts w:ascii="Arial" w:cs="Arial" w:eastAsia="Arial" w:hAnsi="Arial"/>
          <w:sz w:val="18"/>
          <w:szCs w:val="18"/>
          <w:color w:val="auto"/>
        </w:rPr>
        <w:t>applicable Swingline Lender in addition to the Lenders required above, affect the rights or duties of such Swingline Lender under this Agreement; (iii) no amendment, waiver or consent shall, unless in writing and signed by the Administrative Agent in addition to the</w:t>
      </w:r>
    </w:p>
    <w:p>
      <w:pPr>
        <w:ind w:left="60"/>
        <w:spacing w:after="0" w:line="236" w:lineRule="auto"/>
        <w:rPr>
          <w:sz w:val="20"/>
          <w:szCs w:val="20"/>
          <w:color w:val="auto"/>
        </w:rPr>
      </w:pPr>
      <w:r>
        <w:rPr>
          <w:rFonts w:ascii="Arial" w:cs="Arial" w:eastAsia="Arial" w:hAnsi="Arial"/>
          <w:sz w:val="18"/>
          <w:szCs w:val="18"/>
          <w:color w:val="auto"/>
        </w:rPr>
        <w:t>Lenders required above, affect the rights or duties of the Administrative Agent under this Agreement or any other Loan Document; (iv)</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each Fee Letter may be amended, or rights or privileges thereunder waived, in a writing executed only by the parties thereto, (v) any waiver, amendment or modification of this Agreement that by its terms affects the rights or duties under this Agreement of Lenders</w:t>
      </w:r>
    </w:p>
    <w:p>
      <w:pPr>
        <w:spacing w:after="0" w:line="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holding Loans or Commitments of a particular Class (but not the Lenders holding Loans or Commitments of any other Class) may be effected by an agreement or agreements in writing entered into by the Borrowers and the requisite percentage in interest of the affected</w:t>
      </w:r>
    </w:p>
    <w:p>
      <w:pPr>
        <w:ind w:left="60"/>
        <w:spacing w:after="0" w:line="236" w:lineRule="auto"/>
        <w:rPr>
          <w:sz w:val="20"/>
          <w:szCs w:val="20"/>
          <w:color w:val="auto"/>
        </w:rPr>
      </w:pPr>
      <w:r>
        <w:rPr>
          <w:rFonts w:ascii="Arial" w:cs="Arial" w:eastAsia="Arial" w:hAnsi="Arial"/>
          <w:sz w:val="18"/>
          <w:szCs w:val="18"/>
          <w:color w:val="auto"/>
        </w:rPr>
        <w:t>Class of Lenders that would be required to consent thereto under this Section if such Class of Lenders were the only Class of Lenders</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hereunder at the time, (vi) each Letter of Credit Application may be amended, or rights or privileges thereunder waived, in a writing executed only by the parties thereto; provided that a copy of such amended Letter of Credit Application shall be promptly delivered to the</w:t>
      </w:r>
    </w:p>
    <w:p>
      <w:pPr>
        <w:ind w:left="60"/>
        <w:spacing w:after="0" w:line="236" w:lineRule="auto"/>
        <w:rPr>
          <w:sz w:val="20"/>
          <w:szCs w:val="20"/>
          <w:color w:val="auto"/>
        </w:rPr>
      </w:pPr>
      <w:r>
        <w:rPr>
          <w:rFonts w:ascii="Arial" w:cs="Arial" w:eastAsia="Arial" w:hAnsi="Arial"/>
          <w:sz w:val="18"/>
          <w:szCs w:val="18"/>
          <w:color w:val="auto"/>
        </w:rPr>
        <w:t>Administrative Agent upon such amendment or waiver, (vii) the Administrative Agent and the Borrowers shall be permitted to amend any</w:t>
      </w:r>
    </w:p>
    <w:p>
      <w:pPr>
        <w:spacing w:after="0" w:line="1" w:lineRule="exact"/>
        <w:rPr>
          <w:sz w:val="20"/>
          <w:szCs w:val="20"/>
          <w:color w:val="auto"/>
        </w:rPr>
      </w:pPr>
    </w:p>
    <w:p>
      <w:pPr>
        <w:jc w:val="both"/>
        <w:ind w:left="60"/>
        <w:spacing w:after="0" w:line="226" w:lineRule="auto"/>
        <w:rPr>
          <w:sz w:val="20"/>
          <w:szCs w:val="20"/>
          <w:color w:val="auto"/>
        </w:rPr>
      </w:pPr>
      <w:r>
        <w:rPr>
          <w:rFonts w:ascii="Arial" w:cs="Arial" w:eastAsia="Arial" w:hAnsi="Arial"/>
          <w:sz w:val="18"/>
          <w:szCs w:val="18"/>
          <w:color w:val="auto"/>
        </w:rPr>
        <w:t>provision of the Loan Documents (and such amendment shall become effective without any further action or consent of any other party to any Loan Document) if the Administrative Agent and the Borrowers shall have jointly identified an obvious error or any error, ambiguity,</w:t>
      </w:r>
    </w:p>
    <w:p>
      <w:pPr>
        <w:spacing w:after="0" w:line="2" w:lineRule="exact"/>
        <w:rPr>
          <w:sz w:val="20"/>
          <w:szCs w:val="20"/>
          <w:color w:val="auto"/>
        </w:rPr>
      </w:pPr>
    </w:p>
    <w:p>
      <w:pPr>
        <w:ind w:left="60"/>
        <w:spacing w:after="0" w:line="227" w:lineRule="auto"/>
        <w:rPr>
          <w:sz w:val="20"/>
          <w:szCs w:val="20"/>
          <w:color w:val="auto"/>
        </w:rPr>
      </w:pPr>
      <w:r>
        <w:rPr>
          <w:rFonts w:ascii="Arial" w:cs="Arial" w:eastAsia="Arial" w:hAnsi="Arial"/>
          <w:sz w:val="20"/>
          <w:szCs w:val="20"/>
          <w:color w:val="auto"/>
        </w:rPr>
        <w:t>defect or inconsistency, or omission of a technical or immaterial nature in any such provision; (viii) the Administrative Agent (and, if applicable, the Borrowers) may, without the consent of any Lender, enter into amendments or modifications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5" w:name="page246"/>
    <w:bookmarkEnd w:id="245"/>
    <w:p>
      <w:pPr>
        <w:spacing w:after="0" w:line="209" w:lineRule="exact"/>
        <w:rPr>
          <w:sz w:val="20"/>
          <w:szCs w:val="20"/>
          <w:color w:val="auto"/>
        </w:rPr>
      </w:pPr>
    </w:p>
    <w:p>
      <w:pPr>
        <w:ind w:left="60"/>
        <w:spacing w:after="0"/>
        <w:rPr>
          <w:sz w:val="20"/>
          <w:szCs w:val="20"/>
          <w:color w:val="auto"/>
        </w:rPr>
      </w:pPr>
      <w:r>
        <w:rPr>
          <w:rFonts w:ascii="Arial" w:cs="Arial" w:eastAsia="Arial" w:hAnsi="Arial"/>
          <w:sz w:val="19"/>
          <w:szCs w:val="19"/>
          <w:color w:val="auto"/>
        </w:rPr>
        <w:t>Agreement or any of the other Loan Documents or to enter into additional Loan Documents in order to implement any Benchmark</w:t>
      </w:r>
    </w:p>
    <w:p>
      <w:pPr>
        <w:ind w:left="60"/>
        <w:spacing w:after="0" w:line="226" w:lineRule="auto"/>
        <w:rPr>
          <w:sz w:val="20"/>
          <w:szCs w:val="20"/>
          <w:color w:val="auto"/>
        </w:rPr>
      </w:pPr>
      <w:r>
        <w:rPr>
          <w:rFonts w:ascii="Arial" w:cs="Arial" w:eastAsia="Arial" w:hAnsi="Arial"/>
          <w:sz w:val="18"/>
          <w:szCs w:val="18"/>
          <w:color w:val="auto"/>
        </w:rPr>
        <w:t>Replacement or any Benchmark Replacement Conforming Changes or otherwise effectuate the terms of Section 5.8(c) in accordance with the terms of Section 5.8(c); and (ix) the Required Revolving Credit Lenders may (x) amend or otherwise modify the financial covenants</w:t>
      </w:r>
    </w:p>
    <w:p>
      <w:pPr>
        <w:ind w:left="60"/>
        <w:spacing w:after="0" w:line="236" w:lineRule="auto"/>
        <w:rPr>
          <w:sz w:val="20"/>
          <w:szCs w:val="20"/>
          <w:color w:val="auto"/>
        </w:rPr>
      </w:pPr>
      <w:r>
        <w:rPr>
          <w:rFonts w:ascii="Arial" w:cs="Arial" w:eastAsia="Arial" w:hAnsi="Arial"/>
          <w:sz w:val="18"/>
          <w:szCs w:val="18"/>
          <w:color w:val="auto"/>
        </w:rPr>
        <w:t>set forth in Section 9.13 or, solely for purposes of such financial covenants, the defined terms used, directly or indirectly, therein, or (y)</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waive any noncompliance with the financial covenants set forth in Section 9.13 or any Event of Default resulting from any such noncompliance, in each case without the consent of any other Lenders. Notwithstanding anything to the contrary herein, no Defaulting</w:t>
      </w:r>
    </w:p>
    <w:p>
      <w:pPr>
        <w:ind w:left="60"/>
        <w:spacing w:after="0" w:line="236" w:lineRule="auto"/>
        <w:rPr>
          <w:sz w:val="20"/>
          <w:szCs w:val="20"/>
          <w:color w:val="auto"/>
        </w:rPr>
      </w:pPr>
      <w:r>
        <w:rPr>
          <w:rFonts w:ascii="Arial" w:cs="Arial" w:eastAsia="Arial" w:hAnsi="Arial"/>
          <w:sz w:val="18"/>
          <w:szCs w:val="18"/>
          <w:color w:val="auto"/>
        </w:rPr>
        <w:t>Lender shall have any right to approve or disapprove any amendment, waiver or consent hereunder, except that (A) the Revolving Credit</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Commitment of such Lender may not be increased or extended without the consent of such Lender, and (B) any amendment, waiver or consent hereunder which requires the consent of all Lenders or each affected Lenders that by its terms disproportionately and adversely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affects any such Defaulting Lender relative to other affected Lenders shall require the consent of such Defaulting Lender.</w:t>
      </w:r>
    </w:p>
    <w:p>
      <w:pPr>
        <w:spacing w:after="0" w:line="200" w:lineRule="exact"/>
        <w:rPr>
          <w:sz w:val="20"/>
          <w:szCs w:val="20"/>
          <w:color w:val="auto"/>
        </w:rPr>
      </w:pPr>
    </w:p>
    <w:p>
      <w:pPr>
        <w:jc w:val="both"/>
        <w:ind w:left="60"/>
        <w:spacing w:after="0" w:line="231" w:lineRule="auto"/>
        <w:rPr>
          <w:sz w:val="20"/>
          <w:szCs w:val="20"/>
          <w:color w:val="auto"/>
        </w:rPr>
      </w:pPr>
      <w:r>
        <w:rPr>
          <w:rFonts w:ascii="Arial" w:cs="Arial" w:eastAsia="Arial" w:hAnsi="Arial"/>
          <w:sz w:val="19"/>
          <w:szCs w:val="19"/>
          <w:color w:val="auto"/>
        </w:rPr>
        <w:t>Notwithstanding anything in this Agreement to the contrary, each Lender hereby irrevocably authorizes the Administrative Agent on its behalf, and without further consent, to enter into amendments or modifications to this Agreement (including, without limitation,</w:t>
      </w:r>
    </w:p>
    <w:p>
      <w:pPr>
        <w:ind w:left="60"/>
        <w:spacing w:after="0" w:line="226" w:lineRule="auto"/>
        <w:rPr>
          <w:sz w:val="20"/>
          <w:szCs w:val="20"/>
          <w:color w:val="auto"/>
        </w:rPr>
      </w:pPr>
      <w:r>
        <w:rPr>
          <w:rFonts w:ascii="Arial" w:cs="Arial" w:eastAsia="Arial" w:hAnsi="Arial"/>
          <w:sz w:val="18"/>
          <w:szCs w:val="18"/>
          <w:color w:val="auto"/>
        </w:rPr>
        <w:t>amendments to this Section 12.2) or any of the other Loan Documents or enter into additional Loan Documents as the Administrative Agent reasonably deems appropriate in order to effectuate the terms of Section 5.13, 5.18 and 5.19 (including, without limitation, as</w:t>
      </w:r>
    </w:p>
    <w:p>
      <w:pPr>
        <w:ind w:left="60"/>
        <w:spacing w:after="0" w:line="236" w:lineRule="auto"/>
        <w:rPr>
          <w:sz w:val="20"/>
          <w:szCs w:val="20"/>
          <w:color w:val="auto"/>
        </w:rPr>
      </w:pPr>
      <w:r>
        <w:rPr>
          <w:rFonts w:ascii="Arial" w:cs="Arial" w:eastAsia="Arial" w:hAnsi="Arial"/>
          <w:sz w:val="18"/>
          <w:szCs w:val="18"/>
          <w:color w:val="auto"/>
        </w:rPr>
        <w:t>applicable, (1) to permit the Incremental Term Loans, Extended Term Loans, Incremental Revolving Credit Facility Increases, extended</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Revolving Credit Commitments or Extended Revolving Credit Loans, as applicable, to share ratably in the benefits of this Agreement and the other Loan Documents, (2) to include the Incremental Term Loan Commitments, the Incremental Revolving Credit Facility Increase or</w:t>
      </w:r>
    </w:p>
    <w:p>
      <w:pPr>
        <w:ind w:left="60"/>
        <w:spacing w:after="0" w:line="236" w:lineRule="auto"/>
        <w:rPr>
          <w:sz w:val="20"/>
          <w:szCs w:val="20"/>
          <w:color w:val="auto"/>
        </w:rPr>
      </w:pPr>
      <w:r>
        <w:rPr>
          <w:rFonts w:ascii="Arial" w:cs="Arial" w:eastAsia="Arial" w:hAnsi="Arial"/>
          <w:sz w:val="18"/>
          <w:szCs w:val="18"/>
          <w:color w:val="auto"/>
        </w:rPr>
        <w:t>the Extended Revolving Credit Commitments, as applicable, or outstanding Incremental Term Loans, outstanding Incremental Revolving</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Credit Facility Increase, outstanding Extended Revolving Credit Loans or outstanding Extended Term Loans, as applicable, in any determination of (i) Required Lenders or Required Revolving Credit Lenders, as applicable or (ii) similar required lender terms applicable</w:t>
      </w:r>
    </w:p>
    <w:p>
      <w:pPr>
        <w:ind w:left="60"/>
        <w:spacing w:after="0" w:line="236" w:lineRule="auto"/>
        <w:rPr>
          <w:sz w:val="20"/>
          <w:szCs w:val="20"/>
          <w:color w:val="auto"/>
        </w:rPr>
      </w:pPr>
      <w:r>
        <w:rPr>
          <w:rFonts w:ascii="Arial" w:cs="Arial" w:eastAsia="Arial" w:hAnsi="Arial"/>
          <w:sz w:val="18"/>
          <w:szCs w:val="18"/>
          <w:color w:val="auto"/>
        </w:rPr>
        <w:t>thereto); provided that no amendment or modification shall result in any increase in the amount of any Lender’s Commitment or any</w:t>
      </w:r>
    </w:p>
    <w:p>
      <w:pPr>
        <w:spacing w:after="0" w:line="1" w:lineRule="exact"/>
        <w:rPr>
          <w:sz w:val="20"/>
          <w:szCs w:val="20"/>
          <w:color w:val="auto"/>
        </w:rPr>
      </w:pPr>
    </w:p>
    <w:p>
      <w:pPr>
        <w:ind w:left="60"/>
        <w:spacing w:after="0" w:line="255" w:lineRule="auto"/>
        <w:rPr>
          <w:sz w:val="20"/>
          <w:szCs w:val="20"/>
          <w:color w:val="auto"/>
        </w:rPr>
      </w:pPr>
      <w:r>
        <w:rPr>
          <w:rFonts w:ascii="Arial" w:cs="Arial" w:eastAsia="Arial" w:hAnsi="Arial"/>
          <w:sz w:val="16"/>
          <w:szCs w:val="16"/>
          <w:color w:val="auto"/>
        </w:rPr>
        <w:t>increase in any Lender’s Commitment Percentage, in each case, without the written consent of such affected Lender, (3) amend and restate this Agreement if, upon giving effect to such amendment and restatement, such Lender shall no longer be a party to this Agreement (as so</w:t>
      </w:r>
    </w:p>
    <w:p>
      <w:pPr>
        <w:ind w:left="60"/>
        <w:spacing w:after="0" w:line="235" w:lineRule="auto"/>
        <w:rPr>
          <w:sz w:val="20"/>
          <w:szCs w:val="20"/>
          <w:color w:val="auto"/>
        </w:rPr>
      </w:pPr>
      <w:r>
        <w:rPr>
          <w:rFonts w:ascii="Arial" w:cs="Arial" w:eastAsia="Arial" w:hAnsi="Arial"/>
          <w:sz w:val="18"/>
          <w:szCs w:val="18"/>
          <w:color w:val="auto"/>
        </w:rPr>
        <w:t>amended and restated), the Commitments of such Lender shall have terminated, such Lender shall have no other commitment or other</w:t>
      </w:r>
    </w:p>
    <w:p>
      <w:pPr>
        <w:ind w:left="60"/>
        <w:spacing w:after="0" w:line="226" w:lineRule="auto"/>
        <w:rPr>
          <w:sz w:val="20"/>
          <w:szCs w:val="20"/>
          <w:color w:val="auto"/>
        </w:rPr>
      </w:pPr>
      <w:r>
        <w:rPr>
          <w:rFonts w:ascii="Arial" w:cs="Arial" w:eastAsia="Arial" w:hAnsi="Arial"/>
          <w:sz w:val="18"/>
          <w:szCs w:val="18"/>
          <w:color w:val="auto"/>
        </w:rPr>
        <w:t>obligation hereunder and shall have been paid in full all principal, interest and other amounts owing to it or accrued for its account under this Agreement and the other Loan Documents and (4) to make amendments to any outstanding tranche of Term Loans to permit any</w:t>
      </w:r>
    </w:p>
    <w:p>
      <w:pPr>
        <w:spacing w:after="0" w:line="2"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Incremental Term Loans or Commitments relating thereto to be “fungible” (including, without limitation, for purposes of the Code) with such tranche of Term Loans, including, without limitation, increases in the Applicable Margin or any fees payable to such outstanding</w:t>
      </w:r>
    </w:p>
    <w:p>
      <w:pPr>
        <w:ind w:left="60"/>
        <w:spacing w:after="0" w:line="236" w:lineRule="auto"/>
        <w:rPr>
          <w:sz w:val="20"/>
          <w:szCs w:val="20"/>
          <w:color w:val="auto"/>
        </w:rPr>
      </w:pPr>
      <w:r>
        <w:rPr>
          <w:rFonts w:ascii="Arial" w:cs="Arial" w:eastAsia="Arial" w:hAnsi="Arial"/>
          <w:sz w:val="18"/>
          <w:szCs w:val="18"/>
          <w:color w:val="auto"/>
        </w:rPr>
        <w:t>tranche of Term Loans or providing such outstanding tranche of Term Loans with the benefit of any call protection or covenants that are</w:t>
      </w:r>
    </w:p>
    <w:p>
      <w:pPr>
        <w:spacing w:after="0" w:line="1" w:lineRule="exact"/>
        <w:rPr>
          <w:sz w:val="20"/>
          <w:szCs w:val="20"/>
          <w:color w:val="auto"/>
        </w:rPr>
      </w:pPr>
    </w:p>
    <w:p>
      <w:pPr>
        <w:ind w:left="60"/>
        <w:spacing w:after="0" w:line="255" w:lineRule="auto"/>
        <w:rPr>
          <w:sz w:val="20"/>
          <w:szCs w:val="20"/>
          <w:color w:val="auto"/>
        </w:rPr>
      </w:pPr>
      <w:r>
        <w:rPr>
          <w:rFonts w:ascii="Arial" w:cs="Arial" w:eastAsia="Arial" w:hAnsi="Arial"/>
          <w:sz w:val="16"/>
          <w:szCs w:val="16"/>
          <w:color w:val="auto"/>
        </w:rPr>
        <w:t>applicable to the proposed Incremental Term Loans or Commitments relating thereto; provided that any such amendments or modifications to such outstanding tranche of Term Loans shall not directly adversely affect the Lenders holding such tranche of Term Loans without their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consent.</w:t>
      </w:r>
    </w:p>
    <w:p>
      <w:pPr>
        <w:spacing w:after="0" w:line="200"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6"/>
          <w:szCs w:val="16"/>
          <w:color w:val="auto"/>
        </w:rPr>
        <w:t>Expenses; Indemnity.</w:t>
      </w:r>
    </w:p>
    <w:p>
      <w:pPr>
        <w:spacing w:after="0" w:line="283" w:lineRule="exact"/>
        <w:rPr>
          <w:sz w:val="20"/>
          <w:szCs w:val="20"/>
          <w:color w:val="auto"/>
        </w:rPr>
      </w:pPr>
    </w:p>
    <w:p>
      <w:pPr>
        <w:jc w:val="both"/>
        <w:ind w:left="60" w:firstLine="644"/>
        <w:spacing w:after="0" w:line="246" w:lineRule="auto"/>
        <w:tabs>
          <w:tab w:leader="none" w:pos="123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Costs and Expenses.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6" w:name="page247"/>
    <w:bookmarkEnd w:id="246"/>
    <w:p>
      <w:pPr>
        <w:spacing w:after="0" w:line="209"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shall be consummated), (ii) all reasonable out of pocket expenses incurred by any Issuing Lender in connection with the issuance,</w:t>
      </w:r>
    </w:p>
    <w:p>
      <w:pPr>
        <w:ind w:left="60" w:right="20"/>
        <w:spacing w:after="0" w:line="226" w:lineRule="auto"/>
        <w:rPr>
          <w:sz w:val="20"/>
          <w:szCs w:val="20"/>
          <w:color w:val="auto"/>
        </w:rPr>
      </w:pPr>
      <w:r>
        <w:rPr>
          <w:rFonts w:ascii="Arial" w:cs="Arial" w:eastAsia="Arial" w:hAnsi="Arial"/>
          <w:sz w:val="18"/>
          <w:szCs w:val="18"/>
          <w:color w:val="auto"/>
        </w:rPr>
        <w:t>amendment, renewal or extension of any Letter of Credit or any demand for payment thereunder and (iii) all reasonable out of pocket expenses incurred by the Administrative Agent, any Lender or any Issuing Lender (including the reasonable fees, charges and</w:t>
      </w:r>
    </w:p>
    <w:p>
      <w:pPr>
        <w:ind w:left="60"/>
        <w:spacing w:after="0" w:line="236" w:lineRule="auto"/>
        <w:rPr>
          <w:sz w:val="20"/>
          <w:szCs w:val="20"/>
          <w:color w:val="auto"/>
        </w:rPr>
      </w:pPr>
      <w:r>
        <w:rPr>
          <w:rFonts w:ascii="Arial" w:cs="Arial" w:eastAsia="Arial" w:hAnsi="Arial"/>
          <w:sz w:val="18"/>
          <w:szCs w:val="18"/>
          <w:color w:val="auto"/>
        </w:rPr>
        <w:t>disbursements of any counsel for the Administrative Agent, any Lender or any Issuing Lender) in connection with the enforcement or</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protection of its rights (A) in connection with this Agreement and the other Loan Documents, including its rights under this Section, or (B) in connection with the Loans made or Letters of Credit issued hereunder, including all such out of pocket expenses incurred during any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workout, restructuring or negotiations in respect of such Loans or Letters of Credit.</w:t>
      </w:r>
    </w:p>
    <w:p>
      <w:pPr>
        <w:spacing w:after="0" w:line="200" w:lineRule="exact"/>
        <w:rPr>
          <w:sz w:val="20"/>
          <w:szCs w:val="20"/>
          <w:color w:val="auto"/>
        </w:rPr>
      </w:pPr>
    </w:p>
    <w:p>
      <w:pPr>
        <w:jc w:val="both"/>
        <w:ind w:left="60" w:firstLine="644"/>
        <w:spacing w:after="0" w:line="232" w:lineRule="auto"/>
        <w:tabs>
          <w:tab w:leader="none" w:pos="123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Indemnification by the Borrowers. The Borrowers shall indemnify the Administrative Agent (and any sub-agent thereof), each Arranger, each Lender and each Issuing Lender, and each Related Party of any of the foregoing Persons (each such Person being called an “Indemnitee”) against, and hold each Indemnitee harmless from, and shall pay or reimburse any such Indemnitee for, any and all losses, claims (including, without limitation, any Environmental Claims), penalties, damages, liabilities and related 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provided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Section 12.3(b) shall not apply with respect to Taxes other than any Taxes that represent losses, claims, damages, etc. arising from any non-Tax claim.</w:t>
      </w:r>
    </w:p>
    <w:p>
      <w:pPr>
        <w:spacing w:after="0" w:line="197" w:lineRule="exact"/>
        <w:rPr>
          <w:rFonts w:ascii="Arial" w:cs="Arial" w:eastAsia="Arial" w:hAnsi="Arial"/>
          <w:sz w:val="18"/>
          <w:szCs w:val="18"/>
          <w:color w:val="auto"/>
        </w:rPr>
      </w:pPr>
    </w:p>
    <w:p>
      <w:pPr>
        <w:jc w:val="both"/>
        <w:ind w:left="60" w:firstLine="644"/>
        <w:spacing w:after="0" w:line="229" w:lineRule="auto"/>
        <w:tabs>
          <w:tab w:leader="none" w:pos="1236" w:val="left"/>
        </w:tabs>
        <w:numPr>
          <w:ilvl w:val="0"/>
          <w:numId w:val="444"/>
        </w:numPr>
        <w:rPr>
          <w:rFonts w:ascii="Arial" w:cs="Arial" w:eastAsia="Arial" w:hAnsi="Arial"/>
          <w:sz w:val="19"/>
          <w:szCs w:val="19"/>
          <w:color w:val="auto"/>
        </w:rPr>
      </w:pPr>
      <w:r>
        <w:rPr>
          <w:rFonts w:ascii="Arial" w:cs="Arial" w:eastAsia="Arial" w:hAnsi="Arial"/>
          <w:sz w:val="19"/>
          <w:szCs w:val="19"/>
          <w:color w:val="auto"/>
        </w:rPr>
        <w:t>Reimbursement by Lenders. To the extent that the Borrowers for any reason fail to indefeasibly pay any amount required under clause (a) or (b) of this Section to be paid by it to the Administrative Agent (or any sub-agent thereof), any Arranger, any Issuing Lender, any Swingline Lender or any Related Party of any of the foregoing, each Lender severally agrees to pay to the Administrative Agent (or any such sub-agent), such Issuing Lender, such Swingline Lender or such Related Party, as the case may be, such Lender’s pro rata share (determined as of the time that the applicable unreimbursed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7" w:name="page248"/>
    <w:bookmarkEnd w:id="247"/>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expense or indemnity payment is sought based on each Lender’s share of the Total Credit Exposure at such time, or if the Total Credit</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Exposure has been reduced to zero, then based on such Lender’s share of the Total Credit Exposure immediately prior to such reduction) of such unpaid amount (including any such unpaid amount in respect of a claim asserted by such Lender); provided that with respect to</w:t>
      </w:r>
    </w:p>
    <w:p>
      <w:pPr>
        <w:ind w:left="60"/>
        <w:spacing w:after="0" w:line="224" w:lineRule="auto"/>
        <w:rPr>
          <w:sz w:val="20"/>
          <w:szCs w:val="20"/>
          <w:color w:val="auto"/>
        </w:rPr>
      </w:pPr>
      <w:r>
        <w:rPr>
          <w:rFonts w:ascii="Arial" w:cs="Arial" w:eastAsia="Arial" w:hAnsi="Arial"/>
          <w:sz w:val="19"/>
          <w:szCs w:val="19"/>
          <w:color w:val="auto"/>
        </w:rPr>
        <w:t>such unpaid amounts owed to any Issuing Lender or any Swingline Lender solely in its capacity as such, only the Revolving Credit</w:t>
      </w:r>
    </w:p>
    <w:p>
      <w:pPr>
        <w:ind w:left="60"/>
        <w:spacing w:after="0" w:line="226" w:lineRule="auto"/>
        <w:rPr>
          <w:sz w:val="20"/>
          <w:szCs w:val="20"/>
          <w:color w:val="auto"/>
        </w:rPr>
      </w:pPr>
      <w:r>
        <w:rPr>
          <w:rFonts w:ascii="Arial" w:cs="Arial" w:eastAsia="Arial" w:hAnsi="Arial"/>
          <w:sz w:val="18"/>
          <w:szCs w:val="18"/>
          <w:color w:val="auto"/>
        </w:rPr>
        <w:t>Lenders shall be required to pay such unpaid amounts, such payment to be made severally among them based on such Revolving Credit Lenders’ Revolving Credit Commitment Percentage (determined as of the time that the applicable unreimbursed expense or indemnity</w:t>
      </w:r>
    </w:p>
    <w:p>
      <w:pPr>
        <w:ind w:left="60"/>
        <w:spacing w:after="0" w:line="236" w:lineRule="auto"/>
        <w:rPr>
          <w:sz w:val="20"/>
          <w:szCs w:val="20"/>
          <w:color w:val="auto"/>
        </w:rPr>
      </w:pPr>
      <w:r>
        <w:rPr>
          <w:rFonts w:ascii="Arial" w:cs="Arial" w:eastAsia="Arial" w:hAnsi="Arial"/>
          <w:sz w:val="18"/>
          <w:szCs w:val="18"/>
          <w:color w:val="auto"/>
        </w:rPr>
        <w:t>payment is sought or, if the Revolving Credit Commitment has been reduced to zero as of such time, determined immediately prior to such</w:t>
      </w:r>
    </w:p>
    <w:p>
      <w:pPr>
        <w:spacing w:after="0" w:line="1"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reduction); provided, further, that the unreimbursed expense or indemnified loss, claim, damage, liability or related expense, as the case may be, was incurred by or asserted against the Administrative Agent (or any such sub-agent), such Issuing Lender or such Swingline</w:t>
      </w:r>
    </w:p>
    <w:p>
      <w:pPr>
        <w:spacing w:after="0" w:line="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Lender in its capacity as such, or against any Related Party of any of the foregoing acting for the Administrative Agent (or any such sub-agent), such Issuing Lender or such Swingline Lender in connection with such capacity. The obligations of the Lenders under this clause</w:t>
      </w:r>
    </w:p>
    <w:p>
      <w:pPr>
        <w:spacing w:after="0" w:line="2" w:lineRule="exact"/>
        <w:rPr>
          <w:sz w:val="20"/>
          <w:szCs w:val="20"/>
          <w:color w:val="auto"/>
        </w:rPr>
      </w:pPr>
    </w:p>
    <w:p>
      <w:pPr>
        <w:ind w:left="320" w:hanging="265"/>
        <w:spacing w:after="0"/>
        <w:tabs>
          <w:tab w:leader="none" w:pos="32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are subject to the provisions of Section 5.7.</w:t>
      </w:r>
    </w:p>
    <w:p>
      <w:pPr>
        <w:spacing w:after="0" w:line="267" w:lineRule="exact"/>
        <w:rPr>
          <w:rFonts w:ascii="Arial" w:cs="Arial" w:eastAsia="Arial" w:hAnsi="Arial"/>
          <w:sz w:val="20"/>
          <w:szCs w:val="20"/>
          <w:color w:val="auto"/>
        </w:rPr>
      </w:pPr>
    </w:p>
    <w:p>
      <w:pPr>
        <w:jc w:val="both"/>
        <w:ind w:left="60" w:firstLine="644"/>
        <w:spacing w:after="0" w:line="225" w:lineRule="auto"/>
        <w:tabs>
          <w:tab w:leader="none" w:pos="1236" w:val="left"/>
        </w:tabs>
        <w:numPr>
          <w:ilvl w:val="1"/>
          <w:numId w:val="445"/>
        </w:numPr>
        <w:rPr>
          <w:rFonts w:ascii="Arial" w:cs="Arial" w:eastAsia="Arial" w:hAnsi="Arial"/>
          <w:sz w:val="19"/>
          <w:szCs w:val="19"/>
          <w:color w:val="auto"/>
        </w:rPr>
      </w:pPr>
      <w:r>
        <w:rPr>
          <w:rFonts w:ascii="Arial" w:cs="Arial" w:eastAsia="Arial" w:hAnsi="Arial"/>
          <w:sz w:val="19"/>
          <w:szCs w:val="19"/>
          <w:color w:val="auto"/>
        </w:rPr>
        <w:t>Waiver of Consequential Damages, Etc.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7" w:lineRule="exact"/>
        <w:rPr>
          <w:rFonts w:ascii="Arial" w:cs="Arial" w:eastAsia="Arial" w:hAnsi="Arial"/>
          <w:sz w:val="19"/>
          <w:szCs w:val="19"/>
          <w:color w:val="auto"/>
        </w:rPr>
      </w:pPr>
    </w:p>
    <w:p>
      <w:pPr>
        <w:ind w:left="1240" w:hanging="536"/>
        <w:spacing w:after="0"/>
        <w:tabs>
          <w:tab w:leader="none" w:pos="124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Payments. All amounts due under this Section shall be payable promptly after written demand therefor.</w:t>
      </w:r>
    </w:p>
    <w:p>
      <w:pPr>
        <w:spacing w:after="0" w:line="215" w:lineRule="exact"/>
        <w:rPr>
          <w:rFonts w:ascii="Arial" w:cs="Arial" w:eastAsia="Arial" w:hAnsi="Arial"/>
          <w:sz w:val="20"/>
          <w:szCs w:val="20"/>
          <w:color w:val="auto"/>
        </w:rPr>
      </w:pPr>
    </w:p>
    <w:p>
      <w:pPr>
        <w:ind w:left="60" w:right="20" w:firstLine="644"/>
        <w:spacing w:after="0" w:line="236" w:lineRule="auto"/>
        <w:tabs>
          <w:tab w:leader="none" w:pos="1236" w:val="left"/>
        </w:tabs>
        <w:numPr>
          <w:ilvl w:val="1"/>
          <w:numId w:val="445"/>
        </w:numPr>
        <w:rPr>
          <w:rFonts w:ascii="Arial" w:cs="Arial" w:eastAsia="Arial" w:hAnsi="Arial"/>
          <w:sz w:val="20"/>
          <w:szCs w:val="20"/>
          <w:color w:val="auto"/>
        </w:rPr>
      </w:pPr>
      <w:r>
        <w:rPr>
          <w:rFonts w:ascii="Arial" w:cs="Arial" w:eastAsia="Arial" w:hAnsi="Arial"/>
          <w:sz w:val="20"/>
          <w:szCs w:val="20"/>
          <w:color w:val="auto"/>
        </w:rPr>
        <w:t>Survival. Each party’s obligations under this Section shall survive the termination of the Loan Documents and payment of the obligations hereunder.</w:t>
      </w:r>
    </w:p>
    <w:p>
      <w:pPr>
        <w:spacing w:after="0" w:line="19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12.4</w:t>
      </w:r>
      <w:r>
        <w:rPr>
          <w:sz w:val="20"/>
          <w:szCs w:val="20"/>
          <w:color w:val="auto"/>
        </w:rPr>
        <w:tab/>
      </w:r>
      <w:r>
        <w:rPr>
          <w:rFonts w:ascii="Arial" w:cs="Arial" w:eastAsia="Arial" w:hAnsi="Arial"/>
          <w:sz w:val="18"/>
          <w:szCs w:val="18"/>
          <w:color w:val="auto"/>
        </w:rPr>
        <w:t>Right of Setoff</w:t>
      </w:r>
    </w:p>
    <w:p>
      <w:pPr>
        <w:spacing w:after="0" w:line="283" w:lineRule="exact"/>
        <w:rPr>
          <w:sz w:val="20"/>
          <w:szCs w:val="20"/>
          <w:color w:val="auto"/>
        </w:rPr>
      </w:pPr>
    </w:p>
    <w:p>
      <w:pPr>
        <w:jc w:val="both"/>
        <w:ind w:left="60" w:hanging="5"/>
        <w:spacing w:after="0" w:line="234" w:lineRule="auto"/>
        <w:tabs>
          <w:tab w:leader="none" w:pos="162"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provided that in the event that any Defaulting Lender or any Affiliate thereof shall exercise any such right of setoff, (x) all amounts so set off shall be paid over immediately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8" w:name="page249"/>
    <w:bookmarkEnd w:id="248"/>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Agent for further application in accordance with the provisions of Section 10.4 and, pending such payment, shall be segregated by such</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Defaulting Lender or Affiliate of a Defaulting Lender from its other funds and deemed held in trust for the benefit of the Administrative Agent, the Issuing Lenders, the Swingline Lenders and the Lenders, and (y) the Defaulting Lender or its Affiliate shall provide promptly to</w:t>
      </w:r>
    </w:p>
    <w:p>
      <w:pPr>
        <w:ind w:left="60"/>
        <w:spacing w:after="0" w:line="236" w:lineRule="auto"/>
        <w:rPr>
          <w:sz w:val="20"/>
          <w:szCs w:val="20"/>
          <w:color w:val="auto"/>
        </w:rPr>
      </w:pPr>
      <w:r>
        <w:rPr>
          <w:rFonts w:ascii="Arial" w:cs="Arial" w:eastAsia="Arial" w:hAnsi="Arial"/>
          <w:sz w:val="18"/>
          <w:szCs w:val="18"/>
          <w:color w:val="auto"/>
        </w:rPr>
        <w:t>the Administrative Agent a statement describing in reasonable detail the Secured Obligations owing to such Defaulting Lender or any of</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its Affiliates as to which it exercised such right of setoff. The rights of each Lender, each Issuing Lender, each Swingline Lender and their respective Affiliates under this Section are in addition to other rights and remedies (including other rights of setoff) that such Lender, such</w:t>
      </w:r>
    </w:p>
    <w:p>
      <w:pPr>
        <w:ind w:left="60"/>
        <w:spacing w:after="0" w:line="236" w:lineRule="auto"/>
        <w:rPr>
          <w:sz w:val="20"/>
          <w:szCs w:val="20"/>
          <w:color w:val="auto"/>
        </w:rPr>
      </w:pPr>
      <w:r>
        <w:rPr>
          <w:rFonts w:ascii="Arial" w:cs="Arial" w:eastAsia="Arial" w:hAnsi="Arial"/>
          <w:sz w:val="18"/>
          <w:szCs w:val="18"/>
          <w:color w:val="auto"/>
        </w:rPr>
        <w:t>Issuing Lender, such Swingline Lender or their respective Affiliates may have. Each Lender, such Issuing Lender and such Swingline</w:t>
      </w:r>
    </w:p>
    <w:p>
      <w:pPr>
        <w:spacing w:after="0" w:line="1" w:lineRule="exact"/>
        <w:rPr>
          <w:sz w:val="20"/>
          <w:szCs w:val="20"/>
          <w:color w:val="auto"/>
        </w:rPr>
      </w:pPr>
    </w:p>
    <w:p>
      <w:pPr>
        <w:ind w:left="60" w:right="20"/>
        <w:spacing w:after="0" w:line="220" w:lineRule="auto"/>
        <w:rPr>
          <w:sz w:val="20"/>
          <w:szCs w:val="20"/>
          <w:color w:val="auto"/>
        </w:rPr>
      </w:pPr>
      <w:r>
        <w:rPr>
          <w:rFonts w:ascii="Arial" w:cs="Arial" w:eastAsia="Arial" w:hAnsi="Arial"/>
          <w:sz w:val="20"/>
          <w:szCs w:val="20"/>
          <w:color w:val="auto"/>
        </w:rPr>
        <w:t>Lender agree to notify the Borrowers and the Administrative Agent promptly after any such setoff and application; provided that the failure to give such notice shall not affect the validity of such setoff and application.</w:t>
      </w:r>
    </w:p>
    <w:p>
      <w:pPr>
        <w:spacing w:after="0" w:line="210"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8"/>
          <w:szCs w:val="18"/>
          <w:color w:val="auto"/>
        </w:rPr>
        <w:t>Governing Law; Jurisdiction, Etc.</w:t>
      </w:r>
    </w:p>
    <w:p>
      <w:pPr>
        <w:spacing w:after="0" w:line="283" w:lineRule="exact"/>
        <w:rPr>
          <w:sz w:val="20"/>
          <w:szCs w:val="20"/>
          <w:color w:val="auto"/>
        </w:rPr>
      </w:pPr>
    </w:p>
    <w:p>
      <w:pPr>
        <w:jc w:val="both"/>
        <w:ind w:left="60" w:firstLine="644"/>
        <w:spacing w:after="0" w:line="220" w:lineRule="auto"/>
        <w:tabs>
          <w:tab w:leader="none" w:pos="1236" w:val="left"/>
        </w:tabs>
        <w:numPr>
          <w:ilvl w:val="0"/>
          <w:numId w:val="447"/>
        </w:numPr>
        <w:rPr>
          <w:rFonts w:ascii="Arial" w:cs="Arial" w:eastAsia="Arial" w:hAnsi="Arial"/>
          <w:sz w:val="20"/>
          <w:szCs w:val="20"/>
          <w:color w:val="auto"/>
        </w:rPr>
      </w:pPr>
      <w:r>
        <w:rPr>
          <w:rFonts w:ascii="Arial" w:cs="Arial" w:eastAsia="Arial" w:hAnsi="Arial"/>
          <w:sz w:val="20"/>
          <w:szCs w:val="20"/>
          <w:color w:val="auto"/>
        </w:rPr>
        <w:t>Governing Law.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6" w:lineRule="exact"/>
        <w:rPr>
          <w:rFonts w:ascii="Arial" w:cs="Arial" w:eastAsia="Arial" w:hAnsi="Arial"/>
          <w:sz w:val="20"/>
          <w:szCs w:val="20"/>
          <w:color w:val="auto"/>
        </w:rPr>
      </w:pPr>
    </w:p>
    <w:p>
      <w:pPr>
        <w:jc w:val="both"/>
        <w:ind w:left="60" w:firstLine="644"/>
        <w:spacing w:after="0" w:line="221" w:lineRule="auto"/>
        <w:tabs>
          <w:tab w:leader="none" w:pos="1236" w:val="left"/>
        </w:tabs>
        <w:numPr>
          <w:ilvl w:val="0"/>
          <w:numId w:val="447"/>
        </w:numPr>
        <w:rPr>
          <w:rFonts w:ascii="Arial" w:cs="Arial" w:eastAsia="Arial" w:hAnsi="Arial"/>
          <w:sz w:val="19"/>
          <w:szCs w:val="19"/>
          <w:color w:val="auto"/>
        </w:rPr>
      </w:pPr>
      <w:r>
        <w:rPr>
          <w:rFonts w:ascii="Arial" w:cs="Arial" w:eastAsia="Arial" w:hAnsi="Arial"/>
          <w:sz w:val="19"/>
          <w:szCs w:val="19"/>
          <w:color w:val="auto"/>
        </w:rPr>
        <w:t>Submission to Jurisdiction. The Borrowers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any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206" w:lineRule="exact"/>
        <w:rPr>
          <w:rFonts w:ascii="Arial" w:cs="Arial" w:eastAsia="Arial" w:hAnsi="Arial"/>
          <w:sz w:val="19"/>
          <w:szCs w:val="19"/>
          <w:color w:val="auto"/>
        </w:rPr>
      </w:pPr>
    </w:p>
    <w:p>
      <w:pPr>
        <w:jc w:val="both"/>
        <w:ind w:left="60" w:firstLine="644"/>
        <w:spacing w:after="0" w:line="218" w:lineRule="auto"/>
        <w:tabs>
          <w:tab w:leader="none" w:pos="1236" w:val="left"/>
        </w:tabs>
        <w:numPr>
          <w:ilvl w:val="0"/>
          <w:numId w:val="447"/>
        </w:numPr>
        <w:rPr>
          <w:rFonts w:ascii="Arial" w:cs="Arial" w:eastAsia="Arial" w:hAnsi="Arial"/>
          <w:sz w:val="20"/>
          <w:szCs w:val="20"/>
          <w:color w:val="auto"/>
        </w:rPr>
      </w:pPr>
      <w:r>
        <w:rPr>
          <w:rFonts w:ascii="Arial" w:cs="Arial" w:eastAsia="Arial" w:hAnsi="Arial"/>
          <w:sz w:val="20"/>
          <w:szCs w:val="20"/>
          <w:color w:val="auto"/>
        </w:rPr>
        <w:t>Waiver of Venue. The Borrowers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7" w:lineRule="exact"/>
        <w:rPr>
          <w:rFonts w:ascii="Arial" w:cs="Arial" w:eastAsia="Arial" w:hAnsi="Arial"/>
          <w:sz w:val="20"/>
          <w:szCs w:val="20"/>
          <w:color w:val="auto"/>
        </w:rPr>
      </w:pPr>
    </w:p>
    <w:p>
      <w:pPr>
        <w:jc w:val="both"/>
        <w:ind w:left="60" w:firstLine="644"/>
        <w:spacing w:after="0" w:line="223" w:lineRule="auto"/>
        <w:tabs>
          <w:tab w:leader="none" w:pos="1236" w:val="left"/>
        </w:tabs>
        <w:numPr>
          <w:ilvl w:val="0"/>
          <w:numId w:val="447"/>
        </w:numPr>
        <w:rPr>
          <w:rFonts w:ascii="Arial" w:cs="Arial" w:eastAsia="Arial" w:hAnsi="Arial"/>
          <w:sz w:val="20"/>
          <w:szCs w:val="20"/>
          <w:color w:val="auto"/>
        </w:rPr>
      </w:pPr>
      <w:r>
        <w:rPr>
          <w:rFonts w:ascii="Arial" w:cs="Arial" w:eastAsia="Arial" w:hAnsi="Arial"/>
          <w:sz w:val="20"/>
          <w:szCs w:val="20"/>
          <w:color w:val="auto"/>
        </w:rPr>
        <w:t>Service of Process. Each party hereto irrevocably consents to service of process in the manner provided for notices in Section 12.1.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49" w:name="page250"/>
    <w:bookmarkEnd w:id="249"/>
    <w:p>
      <w:pPr>
        <w:spacing w:after="0" w:line="209"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20"/>
          <w:szCs w:val="20"/>
          <w:color w:val="auto"/>
        </w:rPr>
        <w:t>SECTION 12.6</w:t>
      </w:r>
      <w:r>
        <w:rPr>
          <w:sz w:val="20"/>
          <w:szCs w:val="20"/>
          <w:color w:val="auto"/>
        </w:rPr>
        <w:tab/>
      </w:r>
      <w:r>
        <w:rPr>
          <w:rFonts w:ascii="Arial" w:cs="Arial" w:eastAsia="Arial" w:hAnsi="Arial"/>
          <w:sz w:val="18"/>
          <w:szCs w:val="18"/>
          <w:color w:val="auto"/>
        </w:rPr>
        <w:t>Waiver of Jury Trial</w:t>
      </w:r>
    </w:p>
    <w:p>
      <w:pPr>
        <w:spacing w:after="0" w:line="283" w:lineRule="exact"/>
        <w:rPr>
          <w:sz w:val="20"/>
          <w:szCs w:val="20"/>
          <w:color w:val="auto"/>
        </w:rPr>
      </w:pPr>
    </w:p>
    <w:p>
      <w:pPr>
        <w:jc w:val="both"/>
        <w:ind w:left="60" w:hanging="4"/>
        <w:spacing w:after="0" w:line="223" w:lineRule="auto"/>
        <w:tabs>
          <w:tab w:leader="none" w:pos="163" w:val="left"/>
        </w:tabs>
        <w:numPr>
          <w:ilvl w:val="0"/>
          <w:numId w:val="448"/>
        </w:numPr>
        <w:rPr>
          <w:rFonts w:ascii="Arial" w:cs="Arial" w:eastAsia="Arial" w:hAnsi="Arial"/>
          <w:sz w:val="19"/>
          <w:szCs w:val="19"/>
          <w:color w:val="auto"/>
        </w:rPr>
      </w:pPr>
      <w:r>
        <w:rPr>
          <w:rFonts w:ascii="Arial" w:cs="Arial" w:eastAsia="Arial" w:hAnsi="Arial"/>
          <w:sz w:val="19"/>
          <w:szCs w:val="19"/>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11"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12.7</w:t>
      </w:r>
      <w:r>
        <w:rPr>
          <w:sz w:val="20"/>
          <w:szCs w:val="20"/>
          <w:color w:val="auto"/>
        </w:rPr>
        <w:tab/>
      </w:r>
      <w:r>
        <w:rPr>
          <w:rFonts w:ascii="Arial" w:cs="Arial" w:eastAsia="Arial" w:hAnsi="Arial"/>
          <w:sz w:val="16"/>
          <w:szCs w:val="16"/>
          <w:color w:val="auto"/>
        </w:rPr>
        <w:t>Reversal of Payments</w:t>
      </w:r>
    </w:p>
    <w:p>
      <w:pPr>
        <w:spacing w:after="0" w:line="270" w:lineRule="exact"/>
        <w:rPr>
          <w:sz w:val="20"/>
          <w:szCs w:val="20"/>
          <w:color w:val="auto"/>
        </w:rPr>
      </w:pPr>
    </w:p>
    <w:p>
      <w:pPr>
        <w:jc w:val="both"/>
        <w:ind w:left="60" w:hanging="4"/>
        <w:spacing w:after="0" w:line="223" w:lineRule="auto"/>
        <w:tabs>
          <w:tab w:leader="none" w:pos="172" w:val="left"/>
        </w:tabs>
        <w:numPr>
          <w:ilvl w:val="0"/>
          <w:numId w:val="449"/>
        </w:numPr>
        <w:rPr>
          <w:rFonts w:ascii="Arial" w:cs="Arial" w:eastAsia="Arial" w:hAnsi="Arial"/>
          <w:sz w:val="19"/>
          <w:szCs w:val="19"/>
          <w:color w:val="auto"/>
        </w:rPr>
      </w:pPr>
      <w:r>
        <w:rPr>
          <w:rFonts w:ascii="Arial" w:cs="Arial" w:eastAsia="Arial" w:hAnsi="Arial"/>
          <w:sz w:val="19"/>
          <w:szCs w:val="19"/>
          <w:color w:val="auto"/>
        </w:rPr>
        <w:t>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211"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12.8</w:t>
      </w:r>
      <w:r>
        <w:rPr>
          <w:sz w:val="20"/>
          <w:szCs w:val="20"/>
          <w:color w:val="auto"/>
        </w:rPr>
        <w:tab/>
      </w:r>
      <w:r>
        <w:rPr>
          <w:rFonts w:ascii="Arial" w:cs="Arial" w:eastAsia="Arial" w:hAnsi="Arial"/>
          <w:sz w:val="18"/>
          <w:szCs w:val="18"/>
          <w:color w:val="auto"/>
        </w:rPr>
        <w:t>Injunctive Relief</w:t>
      </w:r>
    </w:p>
    <w:p>
      <w:pPr>
        <w:spacing w:after="0" w:line="283" w:lineRule="exact"/>
        <w:rPr>
          <w:sz w:val="20"/>
          <w:szCs w:val="20"/>
          <w:color w:val="auto"/>
        </w:rPr>
      </w:pPr>
    </w:p>
    <w:p>
      <w:pPr>
        <w:jc w:val="both"/>
        <w:ind w:left="60" w:hanging="4"/>
        <w:spacing w:after="0" w:line="220" w:lineRule="auto"/>
        <w:tabs>
          <w:tab w:leader="none" w:pos="165" w:val="left"/>
        </w:tabs>
        <w:numPr>
          <w:ilvl w:val="0"/>
          <w:numId w:val="450"/>
        </w:numPr>
        <w:rPr>
          <w:rFonts w:ascii="Arial" w:cs="Arial" w:eastAsia="Arial" w:hAnsi="Arial"/>
          <w:sz w:val="20"/>
          <w:szCs w:val="20"/>
          <w:color w:val="auto"/>
        </w:rPr>
      </w:pPr>
      <w:r>
        <w:rPr>
          <w:rFonts w:ascii="Arial" w:cs="Arial" w:eastAsia="Arial" w:hAnsi="Arial"/>
          <w:sz w:val="20"/>
          <w:szCs w:val="20"/>
          <w:color w:val="auto"/>
        </w:rPr>
        <w:t>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196" w:lineRule="exact"/>
        <w:rPr>
          <w:sz w:val="20"/>
          <w:szCs w:val="20"/>
          <w:color w:val="auto"/>
        </w:rPr>
      </w:pPr>
    </w:p>
    <w:p>
      <w:pPr>
        <w:ind w:left="700"/>
        <w:spacing w:after="0"/>
        <w:tabs>
          <w:tab w:leader="none" w:pos="2120" w:val="left"/>
        </w:tabs>
        <w:rPr>
          <w:sz w:val="20"/>
          <w:szCs w:val="20"/>
          <w:color w:val="auto"/>
        </w:rPr>
      </w:pPr>
      <w:r>
        <w:rPr>
          <w:rFonts w:ascii="Arial" w:cs="Arial" w:eastAsia="Arial" w:hAnsi="Arial"/>
          <w:sz w:val="20"/>
          <w:szCs w:val="20"/>
          <w:color w:val="auto"/>
        </w:rPr>
        <w:t>SECTION 12.9</w:t>
      </w:r>
      <w:r>
        <w:rPr>
          <w:sz w:val="20"/>
          <w:szCs w:val="20"/>
          <w:color w:val="auto"/>
        </w:rPr>
        <w:tab/>
      </w:r>
      <w:r>
        <w:rPr>
          <w:rFonts w:ascii="Arial" w:cs="Arial" w:eastAsia="Arial" w:hAnsi="Arial"/>
          <w:sz w:val="16"/>
          <w:szCs w:val="16"/>
          <w:color w:val="auto"/>
        </w:rPr>
        <w:t>Successors and Assigns; Participations.</w:t>
      </w:r>
    </w:p>
    <w:p>
      <w:pPr>
        <w:spacing w:after="0" w:line="283" w:lineRule="exact"/>
        <w:rPr>
          <w:sz w:val="20"/>
          <w:szCs w:val="20"/>
          <w:color w:val="auto"/>
        </w:rPr>
      </w:pPr>
    </w:p>
    <w:p>
      <w:pPr>
        <w:jc w:val="both"/>
        <w:ind w:left="60" w:firstLine="644"/>
        <w:spacing w:after="0" w:line="232" w:lineRule="auto"/>
        <w:tabs>
          <w:tab w:leader="none" w:pos="1236" w:val="left"/>
        </w:tabs>
        <w:numPr>
          <w:ilvl w:val="1"/>
          <w:numId w:val="451"/>
        </w:numPr>
        <w:rPr>
          <w:rFonts w:ascii="Arial" w:cs="Arial" w:eastAsia="Arial" w:hAnsi="Arial"/>
          <w:sz w:val="18"/>
          <w:szCs w:val="18"/>
          <w:color w:val="auto"/>
        </w:rPr>
      </w:pPr>
      <w:r>
        <w:rPr>
          <w:rFonts w:ascii="Arial" w:cs="Arial" w:eastAsia="Arial" w:hAnsi="Arial"/>
          <w:sz w:val="18"/>
          <w:szCs w:val="18"/>
          <w:color w:val="auto"/>
        </w:rPr>
        <w:t>Successors and Assigns Generally.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w:t>
      </w:r>
    </w:p>
    <w:p>
      <w:pPr>
        <w:spacing w:after="0" w:line="1" w:lineRule="exact"/>
        <w:rPr>
          <w:rFonts w:ascii="Arial" w:cs="Arial" w:eastAsia="Arial" w:hAnsi="Arial"/>
          <w:sz w:val="18"/>
          <w:szCs w:val="18"/>
          <w:color w:val="auto"/>
        </w:rPr>
      </w:pPr>
    </w:p>
    <w:p>
      <w:pPr>
        <w:jc w:val="both"/>
        <w:ind w:left="60" w:hanging="4"/>
        <w:spacing w:after="0" w:line="229" w:lineRule="auto"/>
        <w:tabs>
          <w:tab w:leader="none" w:pos="350" w:val="left"/>
        </w:tabs>
        <w:numPr>
          <w:ilvl w:val="0"/>
          <w:numId w:val="452"/>
        </w:numPr>
        <w:rPr>
          <w:rFonts w:ascii="Arial" w:cs="Arial" w:eastAsia="Arial" w:hAnsi="Arial"/>
          <w:sz w:val="19"/>
          <w:szCs w:val="19"/>
          <w:color w:val="auto"/>
        </w:rPr>
      </w:pPr>
      <w:r>
        <w:rPr>
          <w:rFonts w:ascii="Arial" w:cs="Arial" w:eastAsia="Arial" w:hAnsi="Arial"/>
          <w:sz w:val="19"/>
          <w:szCs w:val="19"/>
          <w:color w:val="auto"/>
        </w:rPr>
        <w:t>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50" w:name="page251"/>
    <w:bookmarkEnd w:id="250"/>
    <w:p>
      <w:pPr>
        <w:ind w:left="40"/>
        <w:spacing w:after="0"/>
        <w:rPr>
          <w:sz w:val="20"/>
          <w:szCs w:val="20"/>
          <w:color w:val="auto"/>
        </w:rPr>
      </w:pPr>
      <w:r>
        <w:rPr>
          <w:rFonts w:ascii="Arial" w:cs="Arial" w:eastAsia="Arial" w:hAnsi="Arial"/>
          <w:sz w:val="18"/>
          <w:szCs w:val="18"/>
          <w:color w:val="auto"/>
        </w:rPr>
        <w:t>successors and assigns permitted hereby, Participants to the extent provided in paragraph (d) of this Section and, to the extent expressly</w:t>
      </w:r>
    </w:p>
    <w:p>
      <w:pPr>
        <w:spacing w:after="0" w:line="12" w:lineRule="exact"/>
        <w:rPr>
          <w:sz w:val="20"/>
          <w:szCs w:val="20"/>
          <w:color w:val="auto"/>
        </w:rPr>
      </w:pPr>
    </w:p>
    <w:p>
      <w:pPr>
        <w:ind w:left="40"/>
        <w:spacing w:after="0" w:line="220" w:lineRule="auto"/>
        <w:rPr>
          <w:sz w:val="20"/>
          <w:szCs w:val="20"/>
          <w:color w:val="auto"/>
        </w:rPr>
      </w:pPr>
      <w:r>
        <w:rPr>
          <w:rFonts w:ascii="Arial" w:cs="Arial" w:eastAsia="Arial" w:hAnsi="Arial"/>
          <w:sz w:val="20"/>
          <w:szCs w:val="20"/>
          <w:color w:val="auto"/>
        </w:rPr>
        <w:t>contemplated hereby, the Related Parties of each of the Administrative Agent and the Lenders) any legal or equitable right, remedy or claim under or by reason of this Agreement.</w:t>
      </w:r>
    </w:p>
    <w:p>
      <w:pPr>
        <w:spacing w:after="0" w:line="210" w:lineRule="exact"/>
        <w:rPr>
          <w:sz w:val="20"/>
          <w:szCs w:val="20"/>
          <w:color w:val="auto"/>
        </w:rPr>
      </w:pPr>
    </w:p>
    <w:p>
      <w:pPr>
        <w:jc w:val="both"/>
        <w:ind w:left="40" w:right="20" w:firstLine="646"/>
        <w:spacing w:after="0" w:line="252" w:lineRule="auto"/>
        <w:tabs>
          <w:tab w:leader="none" w:pos="124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Assignments by Lenders. Any Lender may at any time assign to one or more assignees all or a portion of its rights and obligations under this Agreement (including all or a portion of its Revolving Credit Commitment and the Loans at the time owing to it); provided that, in each case with respect to any Credit Facility, any such assignment shall be subject to the following conditions:</w:t>
      </w:r>
    </w:p>
    <w:p>
      <w:pPr>
        <w:spacing w:after="0" w:line="185" w:lineRule="exact"/>
        <w:rPr>
          <w:rFonts w:ascii="Arial" w:cs="Arial" w:eastAsia="Arial" w:hAnsi="Arial"/>
          <w:sz w:val="18"/>
          <w:szCs w:val="18"/>
          <w:color w:val="auto"/>
        </w:rPr>
      </w:pPr>
    </w:p>
    <w:p>
      <w:pPr>
        <w:ind w:left="1880" w:hanging="546"/>
        <w:spacing w:after="0"/>
        <w:tabs>
          <w:tab w:leader="none" w:pos="1880" w:val="left"/>
        </w:tabs>
        <w:numPr>
          <w:ilvl w:val="1"/>
          <w:numId w:val="453"/>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83" w:lineRule="exact"/>
        <w:rPr>
          <w:rFonts w:ascii="Arial" w:cs="Arial" w:eastAsia="Arial" w:hAnsi="Arial"/>
          <w:sz w:val="20"/>
          <w:szCs w:val="20"/>
          <w:color w:val="auto"/>
        </w:rPr>
      </w:pPr>
    </w:p>
    <w:p>
      <w:pPr>
        <w:jc w:val="both"/>
        <w:ind w:left="1340" w:firstLine="537"/>
        <w:spacing w:after="0" w:line="218" w:lineRule="auto"/>
        <w:tabs>
          <w:tab w:leader="none" w:pos="2542" w:val="left"/>
        </w:tabs>
        <w:numPr>
          <w:ilvl w:val="2"/>
          <w:numId w:val="453"/>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97" w:lineRule="exact"/>
        <w:rPr>
          <w:rFonts w:ascii="Arial" w:cs="Arial" w:eastAsia="Arial" w:hAnsi="Arial"/>
          <w:sz w:val="20"/>
          <w:szCs w:val="20"/>
          <w:color w:val="auto"/>
        </w:rPr>
      </w:pPr>
    </w:p>
    <w:p>
      <w:pPr>
        <w:jc w:val="both"/>
        <w:ind w:left="1340" w:firstLine="482"/>
        <w:spacing w:after="0" w:line="235" w:lineRule="auto"/>
        <w:tabs>
          <w:tab w:leader="none" w:pos="2541" w:val="left"/>
        </w:tabs>
        <w:numPr>
          <w:ilvl w:val="2"/>
          <w:numId w:val="453"/>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Loan Facility, unless each of the Administrative Agent and, so long as no Event of Default has occurred and is continuing, Centuri otherwise consents (each such consent not to be unreasonably withheld or delayed); provided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pacing w:after="0" w:line="200" w:lineRule="exact"/>
        <w:rPr>
          <w:rFonts w:ascii="Arial" w:cs="Arial" w:eastAsia="Arial" w:hAnsi="Arial"/>
          <w:sz w:val="18"/>
          <w:szCs w:val="18"/>
          <w:color w:val="auto"/>
        </w:rPr>
      </w:pPr>
    </w:p>
    <w:p>
      <w:pPr>
        <w:jc w:val="both"/>
        <w:ind w:left="680" w:firstLine="654"/>
        <w:spacing w:after="0" w:line="231" w:lineRule="auto"/>
        <w:tabs>
          <w:tab w:leader="none" w:pos="1881" w:val="left"/>
        </w:tabs>
        <w:numPr>
          <w:ilvl w:val="1"/>
          <w:numId w:val="453"/>
        </w:numPr>
        <w:rPr>
          <w:rFonts w:ascii="Arial" w:cs="Arial" w:eastAsia="Arial" w:hAnsi="Arial"/>
          <w:sz w:val="19"/>
          <w:szCs w:val="19"/>
          <w:color w:val="auto"/>
        </w:rPr>
      </w:pPr>
      <w:r>
        <w:rPr>
          <w:rFonts w:ascii="Arial" w:cs="Arial" w:eastAsia="Arial" w:hAnsi="Arial"/>
          <w:sz w:val="19"/>
          <w:szCs w:val="19"/>
          <w:color w:val="auto"/>
        </w:rPr>
        <w:t>Proportionate Amounts.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Borrowers (if any);</w:t>
      </w:r>
    </w:p>
    <w:p>
      <w:pPr>
        <w:spacing w:after="0" w:line="198" w:lineRule="exact"/>
        <w:rPr>
          <w:rFonts w:ascii="Arial" w:cs="Arial" w:eastAsia="Arial" w:hAnsi="Arial"/>
          <w:sz w:val="19"/>
          <w:szCs w:val="19"/>
          <w:color w:val="auto"/>
        </w:rPr>
      </w:pPr>
    </w:p>
    <w:p>
      <w:pPr>
        <w:ind w:left="680" w:firstLine="654"/>
        <w:spacing w:after="0" w:line="236" w:lineRule="auto"/>
        <w:tabs>
          <w:tab w:leader="none" w:pos="1884" w:val="left"/>
        </w:tabs>
        <w:numPr>
          <w:ilvl w:val="1"/>
          <w:numId w:val="453"/>
        </w:numPr>
        <w:rPr>
          <w:rFonts w:ascii="Arial" w:cs="Arial" w:eastAsia="Arial" w:hAnsi="Arial"/>
          <w:sz w:val="20"/>
          <w:szCs w:val="20"/>
          <w:color w:val="auto"/>
        </w:rPr>
      </w:pPr>
      <w:r>
        <w:rPr>
          <w:rFonts w:ascii="Arial" w:cs="Arial" w:eastAsia="Arial" w:hAnsi="Arial"/>
          <w:sz w:val="20"/>
          <w:szCs w:val="20"/>
          <w:color w:val="auto"/>
        </w:rPr>
        <w:t>Required Consents. No consent shall be required for any assignment except to the extent required by paragraph (b) (i)(B) of this Section and, in addition:</w:t>
      </w:r>
    </w:p>
    <w:p>
      <w:pPr>
        <w:spacing w:after="0" w:line="195" w:lineRule="exact"/>
        <w:rPr>
          <w:rFonts w:ascii="Arial" w:cs="Arial" w:eastAsia="Arial" w:hAnsi="Arial"/>
          <w:sz w:val="20"/>
          <w:szCs w:val="20"/>
          <w:color w:val="auto"/>
        </w:rPr>
      </w:pPr>
    </w:p>
    <w:p>
      <w:pPr>
        <w:ind w:left="2540" w:hanging="663"/>
        <w:spacing w:after="0"/>
        <w:tabs>
          <w:tab w:leader="none" w:pos="2540"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consent of Centuri (such consent not to be unreasonably withheld or delayed) shall be required unless</w:t>
      </w:r>
    </w:p>
    <w:p>
      <w:pPr>
        <w:spacing w:after="0" w:line="11" w:lineRule="exact"/>
        <w:rPr>
          <w:rFonts w:ascii="Arial" w:cs="Arial" w:eastAsia="Arial" w:hAnsi="Arial"/>
          <w:sz w:val="18"/>
          <w:szCs w:val="18"/>
          <w:color w:val="auto"/>
        </w:rPr>
      </w:pPr>
    </w:p>
    <w:p>
      <w:pPr>
        <w:jc w:val="both"/>
        <w:ind w:left="1340"/>
        <w:spacing w:after="0" w:line="216" w:lineRule="auto"/>
        <w:rPr>
          <w:rFonts w:ascii="Arial" w:cs="Arial" w:eastAsia="Arial" w:hAnsi="Arial"/>
          <w:sz w:val="18"/>
          <w:szCs w:val="18"/>
          <w:color w:val="auto"/>
        </w:rPr>
      </w:pPr>
      <w:r>
        <w:rPr>
          <w:rFonts w:ascii="Arial" w:cs="Arial" w:eastAsia="Arial" w:hAnsi="Arial"/>
          <w:sz w:val="20"/>
          <w:szCs w:val="20"/>
          <w:color w:val="auto"/>
        </w:rPr>
        <w:t>(x) an Event of Default has occurred and is continuing at the time of such assignment or (y) such assignment is to a Lender, an Affiliate of a Lender or an Approved Fund; provided, that Centuri shall be deemed to have consented to any such assignment unless it shall object thereto by written notice to the Administrative Agent within five (5) Business Days after having received notice thereof; and provided,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51" w:name="page252"/>
    <w:bookmarkEnd w:id="251"/>
    <w:p>
      <w:pPr>
        <w:spacing w:after="0" w:line="209" w:lineRule="exact"/>
        <w:rPr>
          <w:sz w:val="20"/>
          <w:szCs w:val="20"/>
          <w:color w:val="auto"/>
        </w:rPr>
      </w:pPr>
    </w:p>
    <w:p>
      <w:pPr>
        <w:ind w:left="1340" w:right="60"/>
        <w:spacing w:after="0" w:line="236" w:lineRule="auto"/>
        <w:rPr>
          <w:sz w:val="20"/>
          <w:szCs w:val="20"/>
          <w:color w:val="auto"/>
        </w:rPr>
      </w:pPr>
      <w:r>
        <w:rPr>
          <w:rFonts w:ascii="Arial" w:cs="Arial" w:eastAsia="Arial" w:hAnsi="Arial"/>
          <w:sz w:val="20"/>
          <w:szCs w:val="20"/>
          <w:color w:val="auto"/>
        </w:rPr>
        <w:t>that Centuri’s consent shall not be required during the period commencing on the Closing Date and ending on the date that is ninety (90) days following the Closing Date;</w:t>
      </w:r>
    </w:p>
    <w:p>
      <w:pPr>
        <w:spacing w:after="0" w:line="196" w:lineRule="exact"/>
        <w:rPr>
          <w:sz w:val="20"/>
          <w:szCs w:val="20"/>
          <w:color w:val="auto"/>
        </w:rPr>
      </w:pPr>
    </w:p>
    <w:p>
      <w:pPr>
        <w:jc w:val="both"/>
        <w:ind w:left="1340" w:firstLine="482"/>
        <w:spacing w:after="0" w:line="246" w:lineRule="auto"/>
        <w:tabs>
          <w:tab w:leader="none" w:pos="2541" w:val="left"/>
        </w:tabs>
        <w:numPr>
          <w:ilvl w:val="1"/>
          <w:numId w:val="454"/>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190" w:lineRule="exact"/>
        <w:rPr>
          <w:rFonts w:ascii="Arial" w:cs="Arial" w:eastAsia="Arial" w:hAnsi="Arial"/>
          <w:sz w:val="18"/>
          <w:szCs w:val="18"/>
          <w:color w:val="auto"/>
        </w:rPr>
      </w:pPr>
    </w:p>
    <w:p>
      <w:pPr>
        <w:ind w:left="1340" w:right="20" w:firstLine="428"/>
        <w:spacing w:after="0" w:line="257" w:lineRule="auto"/>
        <w:tabs>
          <w:tab w:leader="none" w:pos="2542" w:val="left"/>
        </w:tabs>
        <w:numPr>
          <w:ilvl w:val="1"/>
          <w:numId w:val="454"/>
        </w:numPr>
        <w:rPr>
          <w:rFonts w:ascii="Arial" w:cs="Arial" w:eastAsia="Arial" w:hAnsi="Arial"/>
          <w:sz w:val="19"/>
          <w:szCs w:val="19"/>
          <w:color w:val="auto"/>
        </w:rPr>
      </w:pPr>
      <w:r>
        <w:rPr>
          <w:rFonts w:ascii="Arial" w:cs="Arial" w:eastAsia="Arial" w:hAnsi="Arial"/>
          <w:sz w:val="19"/>
          <w:szCs w:val="19"/>
          <w:color w:val="auto"/>
        </w:rPr>
        <w:t>the consents of the Issuing Lenders and the Swingline Lenders (such consents not to be unreasonably withheld or delayed) shall be required for any assignment in respect of the Revolving Credit Facility.</w:t>
      </w:r>
    </w:p>
    <w:p>
      <w:pPr>
        <w:spacing w:after="0" w:line="180" w:lineRule="exact"/>
        <w:rPr>
          <w:rFonts w:ascii="Arial" w:cs="Arial" w:eastAsia="Arial" w:hAnsi="Arial"/>
          <w:sz w:val="19"/>
          <w:szCs w:val="19"/>
          <w:color w:val="auto"/>
        </w:rPr>
      </w:pPr>
    </w:p>
    <w:p>
      <w:pPr>
        <w:jc w:val="both"/>
        <w:ind w:left="680" w:firstLine="654"/>
        <w:spacing w:after="0" w:line="243" w:lineRule="auto"/>
        <w:tabs>
          <w:tab w:leader="none" w:pos="1881"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Assignment and Assumption. The parties to each assignment shall execute and deliver to the Administrative Agent an Assignment and Assumption, together with a processing and recordation fee of $3,500 for each assignment; provided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4" w:lineRule="exact"/>
        <w:rPr>
          <w:rFonts w:ascii="Arial" w:cs="Arial" w:eastAsia="Arial" w:hAnsi="Arial"/>
          <w:sz w:val="18"/>
          <w:szCs w:val="18"/>
          <w:color w:val="auto"/>
        </w:rPr>
      </w:pPr>
    </w:p>
    <w:p>
      <w:pPr>
        <w:jc w:val="both"/>
        <w:ind w:left="680" w:right="20" w:firstLine="654"/>
        <w:spacing w:after="0" w:line="235" w:lineRule="auto"/>
        <w:tabs>
          <w:tab w:leader="none" w:pos="1884" w:val="left"/>
        </w:tabs>
        <w:numPr>
          <w:ilvl w:val="0"/>
          <w:numId w:val="455"/>
        </w:numPr>
        <w:rPr>
          <w:rFonts w:ascii="Arial" w:cs="Arial" w:eastAsia="Arial" w:hAnsi="Arial"/>
          <w:sz w:val="19"/>
          <w:szCs w:val="19"/>
          <w:color w:val="auto"/>
        </w:rPr>
      </w:pPr>
      <w:r>
        <w:rPr>
          <w:rFonts w:ascii="Arial" w:cs="Arial" w:eastAsia="Arial" w:hAnsi="Arial"/>
          <w:sz w:val="19"/>
          <w:szCs w:val="19"/>
          <w:color w:val="auto"/>
        </w:rPr>
        <w:t>No Assignment to Certain Persons.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208" w:lineRule="exact"/>
        <w:rPr>
          <w:rFonts w:ascii="Arial" w:cs="Arial" w:eastAsia="Arial" w:hAnsi="Arial"/>
          <w:sz w:val="19"/>
          <w:szCs w:val="19"/>
          <w:color w:val="auto"/>
        </w:rPr>
      </w:pPr>
    </w:p>
    <w:p>
      <w:pPr>
        <w:ind w:left="680" w:firstLine="654"/>
        <w:spacing w:after="0" w:line="229" w:lineRule="auto"/>
        <w:tabs>
          <w:tab w:leader="none" w:pos="1875" w:val="left"/>
        </w:tabs>
        <w:numPr>
          <w:ilvl w:val="0"/>
          <w:numId w:val="455"/>
        </w:numPr>
        <w:rPr>
          <w:rFonts w:ascii="Arial" w:cs="Arial" w:eastAsia="Arial" w:hAnsi="Arial"/>
          <w:sz w:val="20"/>
          <w:szCs w:val="20"/>
          <w:color w:val="auto"/>
        </w:rPr>
      </w:pPr>
      <w:r>
        <w:rPr>
          <w:rFonts w:ascii="Arial" w:cs="Arial" w:eastAsia="Arial" w:hAnsi="Arial"/>
          <w:sz w:val="20"/>
          <w:szCs w:val="20"/>
          <w:color w:val="auto"/>
        </w:rPr>
        <w:t>No Assignment to Natural Persons. No such assignment shall be made to a natural Person (or a holding company, investment vehicle or trust for, or owned and operated for the primary benefit of, a natural Person).</w:t>
      </w:r>
    </w:p>
    <w:p>
      <w:pPr>
        <w:spacing w:after="0" w:line="209" w:lineRule="exact"/>
        <w:rPr>
          <w:rFonts w:ascii="Arial" w:cs="Arial" w:eastAsia="Arial" w:hAnsi="Arial"/>
          <w:sz w:val="20"/>
          <w:szCs w:val="20"/>
          <w:color w:val="auto"/>
        </w:rPr>
      </w:pPr>
    </w:p>
    <w:p>
      <w:pPr>
        <w:jc w:val="both"/>
        <w:ind w:left="680" w:firstLine="654"/>
        <w:spacing w:after="0" w:line="234" w:lineRule="auto"/>
        <w:tabs>
          <w:tab w:leader="none" w:pos="188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pro rata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52" w:name="page253"/>
    <w:bookmarkEnd w:id="252"/>
    <w:p>
      <w:pPr>
        <w:ind w:left="60"/>
        <w:spacing w:after="0"/>
        <w:rPr>
          <w:sz w:val="20"/>
          <w:szCs w:val="20"/>
          <w:color w:val="auto"/>
        </w:rPr>
      </w:pPr>
      <w:r>
        <w:rPr>
          <w:rFonts w:ascii="Arial" w:cs="Arial" w:eastAsia="Arial" w:hAnsi="Arial"/>
          <w:sz w:val="18"/>
          <w:szCs w:val="18"/>
          <w:color w:val="auto"/>
        </w:rPr>
        <w:t>Subject to acceptance and recording thereof by the Administrative Agent pursuant to paragraph (c) of this Section, from and after the</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effective date specified in each Assignment and Assumption, the assignee thereunder shall be a party to this Agreement and, to the extent of the interest assigned by such Assignment and Assumption, have the rights and obligations of a Lender under this Agreement, and the</w:t>
      </w:r>
    </w:p>
    <w:p>
      <w:pPr>
        <w:ind w:left="60"/>
        <w:spacing w:after="0" w:line="224" w:lineRule="auto"/>
        <w:rPr>
          <w:sz w:val="20"/>
          <w:szCs w:val="20"/>
          <w:color w:val="auto"/>
        </w:rPr>
      </w:pPr>
      <w:r>
        <w:rPr>
          <w:rFonts w:ascii="Arial" w:cs="Arial" w:eastAsia="Arial" w:hAnsi="Arial"/>
          <w:sz w:val="19"/>
          <w:szCs w:val="19"/>
          <w:color w:val="auto"/>
        </w:rPr>
        <w:t>assigning Lender thereunder shall, to the extent of the interest assigned by such Assignment and Assumption, be released from its</w:t>
      </w:r>
    </w:p>
    <w:p>
      <w:pPr>
        <w:ind w:left="60"/>
        <w:spacing w:after="0" w:line="226" w:lineRule="auto"/>
        <w:rPr>
          <w:sz w:val="20"/>
          <w:szCs w:val="20"/>
          <w:color w:val="auto"/>
        </w:rPr>
      </w:pPr>
      <w:r>
        <w:rPr>
          <w:rFonts w:ascii="Arial" w:cs="Arial" w:eastAsia="Arial" w:hAnsi="Arial"/>
          <w:sz w:val="18"/>
          <w:szCs w:val="18"/>
          <w:color w:val="auto"/>
        </w:rPr>
        <w:t>obligations under this Agreement (and, in the case of an Assignment and Assumption covering all of the assigning Lender’s rights and obligations under this Agreement, such Lender shall cease to be a party hereto) but shall continue to be entitled to the benefits of Sections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5.8, 5.9, 5.10, 5.11 and 12.3 with respect to facts and circumstances occurring prior to the effective date of such assignment; provided, that</w:t>
      </w:r>
    </w:p>
    <w:p>
      <w:pPr>
        <w:spacing w:after="0" w:line="19"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except to the extent otherwise expressly agreed by the affected parties, no assignment by a Defaulting Lender will constitute a waiver or release of any claim of any party hereunder arising from that Lender’s having been a Defaulting Lender. Any assignment or transfer by a</w:t>
      </w:r>
    </w:p>
    <w:p>
      <w:pPr>
        <w:ind w:left="60"/>
        <w:spacing w:after="0" w:line="224" w:lineRule="auto"/>
        <w:rPr>
          <w:sz w:val="20"/>
          <w:szCs w:val="20"/>
          <w:color w:val="auto"/>
        </w:rPr>
      </w:pPr>
      <w:r>
        <w:rPr>
          <w:rFonts w:ascii="Arial" w:cs="Arial" w:eastAsia="Arial" w:hAnsi="Arial"/>
          <w:sz w:val="19"/>
          <w:szCs w:val="19"/>
          <w:color w:val="auto"/>
        </w:rPr>
        <w:t>Lender of rights or obligations under this Agreement that does not comply with this paragraph shall be treated for purposes of this</w:t>
      </w:r>
    </w:p>
    <w:p>
      <w:pPr>
        <w:ind w:left="60"/>
        <w:spacing w:after="0" w:line="255" w:lineRule="auto"/>
        <w:rPr>
          <w:sz w:val="20"/>
          <w:szCs w:val="20"/>
          <w:color w:val="auto"/>
        </w:rPr>
      </w:pPr>
      <w:r>
        <w:rPr>
          <w:rFonts w:ascii="Arial" w:cs="Arial" w:eastAsia="Arial" w:hAnsi="Arial"/>
          <w:sz w:val="16"/>
          <w:szCs w:val="16"/>
          <w:color w:val="auto"/>
        </w:rPr>
        <w:t>Agreement as a sale by such Lender of a participation in such rights and obligations in accordance with paragraph (d) of this Section (other than a purported assignment to a natural Person or any Borrower or any of the Borrowers’ Subsidiaries or Affiliates, which shall be null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and void.)</w:t>
      </w:r>
    </w:p>
    <w:p>
      <w:pPr>
        <w:spacing w:after="0" w:line="200" w:lineRule="exact"/>
        <w:rPr>
          <w:sz w:val="20"/>
          <w:szCs w:val="20"/>
          <w:color w:val="auto"/>
        </w:rPr>
      </w:pPr>
    </w:p>
    <w:p>
      <w:pPr>
        <w:jc w:val="both"/>
        <w:ind w:left="60" w:firstLine="644"/>
        <w:spacing w:after="0" w:line="237" w:lineRule="auto"/>
        <w:tabs>
          <w:tab w:leader="none" w:pos="123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Register. The Administrative Agent, acting solely for this purpose as a non-fiduciary agent of the Borrowers, shall maintain at one of its offices in Charlotte, North Carolina, a copy of each Assignment and Assumption and each Incremental Amendment delivered to it and a register for the recordation of the names and addresses of the Lenders, and the Commitment of, and principal amounts of (and stated interest on) the Loans owing to, each Lender pursuant to the terms hereof from time to time (the “Register”).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200" w:lineRule="exact"/>
        <w:rPr>
          <w:rFonts w:ascii="Arial" w:cs="Arial" w:eastAsia="Arial" w:hAnsi="Arial"/>
          <w:sz w:val="18"/>
          <w:szCs w:val="18"/>
          <w:color w:val="auto"/>
        </w:rPr>
      </w:pPr>
    </w:p>
    <w:p>
      <w:pPr>
        <w:jc w:val="both"/>
        <w:ind w:left="60" w:firstLine="644"/>
        <w:spacing w:after="0" w:line="237" w:lineRule="auto"/>
        <w:tabs>
          <w:tab w:leader="none" w:pos="123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Participations.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Section 12.3(c) with respect to any payments made by such Lender to its Participant(s).</w:t>
      </w:r>
    </w:p>
    <w:p>
      <w:pPr>
        <w:spacing w:after="0" w:line="199" w:lineRule="exact"/>
        <w:rPr>
          <w:sz w:val="20"/>
          <w:szCs w:val="20"/>
          <w:color w:val="auto"/>
        </w:rPr>
      </w:pPr>
    </w:p>
    <w:p>
      <w:pPr>
        <w:ind w:left="60"/>
        <w:spacing w:after="0" w:line="236" w:lineRule="auto"/>
        <w:rPr>
          <w:sz w:val="20"/>
          <w:szCs w:val="20"/>
          <w:color w:val="auto"/>
        </w:rPr>
      </w:pPr>
      <w:r>
        <w:rPr>
          <w:rFonts w:ascii="Arial" w:cs="Arial" w:eastAsia="Arial" w:hAnsi="Arial"/>
          <w:sz w:val="18"/>
          <w:szCs w:val="18"/>
          <w:color w:val="auto"/>
        </w:rPr>
        <w:t>Any agreement or instrument pursuant to which a Lender sells such a participation shall provide that such Lender shall retain the sole right to enforce this Agreement and to approve any amendment, modification or waiver of any provision of this Agreement; provided that such</w:t>
      </w:r>
    </w:p>
    <w:p>
      <w:pPr>
        <w:ind w:left="60"/>
        <w:spacing w:after="0" w:line="222" w:lineRule="auto"/>
        <w:rPr>
          <w:sz w:val="20"/>
          <w:szCs w:val="20"/>
          <w:color w:val="auto"/>
        </w:rPr>
      </w:pPr>
      <w:r>
        <w:rPr>
          <w:rFonts w:ascii="Arial" w:cs="Arial" w:eastAsia="Arial" w:hAnsi="Arial"/>
          <w:sz w:val="19"/>
          <w:szCs w:val="19"/>
          <w:color w:val="auto"/>
        </w:rPr>
        <w:t>agreement or instrument may provide that such Lender will not, without the consent of the Participant, agree to any amendment,</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modification or waiver described in Section 12.2(b), (c), (d) or (e) that directly and adversely affects such Participant. The Borrowers agree that each Participant shall be entitled to the benefits of Sections 5.9, 5.10 and 5.11 (subject to the requirements and limitations</w:t>
      </w:r>
    </w:p>
    <w:p>
      <w:pPr>
        <w:spacing w:after="0" w:line="2" w:lineRule="exact"/>
        <w:rPr>
          <w:sz w:val="20"/>
          <w:szCs w:val="20"/>
          <w:color w:val="auto"/>
        </w:rPr>
      </w:pPr>
    </w:p>
    <w:p>
      <w:pPr>
        <w:ind w:left="60" w:right="20"/>
        <w:spacing w:after="0" w:line="227" w:lineRule="auto"/>
        <w:rPr>
          <w:sz w:val="20"/>
          <w:szCs w:val="20"/>
          <w:color w:val="auto"/>
        </w:rPr>
      </w:pPr>
      <w:r>
        <w:rPr>
          <w:rFonts w:ascii="Arial" w:cs="Arial" w:eastAsia="Arial" w:hAnsi="Arial"/>
          <w:sz w:val="20"/>
          <w:szCs w:val="20"/>
          <w:color w:val="auto"/>
        </w:rPr>
        <w:t>therein, including the requirements under Section 5.11(g) (it being understood that the documentation required under Section 5.11(g) shall be delivered to the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53" w:name="page254"/>
    <w:bookmarkEnd w:id="253"/>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Lender)) to the same extent as if it were a Lender and had acquired its interest by assignment pursuant to paragraph (b) of this Section;</w:t>
      </w:r>
    </w:p>
    <w:p>
      <w:pPr>
        <w:spacing w:after="0" w:line="12" w:lineRule="exact"/>
        <w:rPr>
          <w:sz w:val="20"/>
          <w:szCs w:val="20"/>
          <w:color w:val="auto"/>
        </w:rPr>
      </w:pPr>
    </w:p>
    <w:p>
      <w:pPr>
        <w:jc w:val="both"/>
        <w:ind w:left="60"/>
        <w:spacing w:after="0" w:line="226" w:lineRule="auto"/>
        <w:rPr>
          <w:sz w:val="20"/>
          <w:szCs w:val="20"/>
          <w:color w:val="auto"/>
        </w:rPr>
      </w:pPr>
      <w:r>
        <w:rPr>
          <w:rFonts w:ascii="Arial" w:cs="Arial" w:eastAsia="Arial" w:hAnsi="Arial"/>
          <w:sz w:val="18"/>
          <w:szCs w:val="18"/>
          <w:color w:val="auto"/>
        </w:rPr>
        <w:t>provided that such Participant (A) agrees to be subject to the provisions of Section 5.12 as if it were an assignee under paragraph (b) of this Section; and (B) shall not be entitled to receive any greater payment under Sections 5.10 or 5.11, with respect to any participation,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than its participating Lender would have been entitled to receive, except to the extent such entitlement to receive a greater payment results</w:t>
      </w:r>
    </w:p>
    <w:p>
      <w:pPr>
        <w:spacing w:after="0" w:line="19"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from a Change in Law that occurs after the Participant acquired the applicable participation. Each Lender that sells a participation agrees, at the Borrowers’ request and expense, to use reasonable efforts to cooperate with the Borrowers to effectuate the provisions of Section</w:t>
      </w:r>
    </w:p>
    <w:p>
      <w:pPr>
        <w:spacing w:after="0" w:line="2" w:lineRule="exact"/>
        <w:rPr>
          <w:sz w:val="20"/>
          <w:szCs w:val="20"/>
          <w:color w:val="auto"/>
        </w:rPr>
      </w:pPr>
    </w:p>
    <w:p>
      <w:pPr>
        <w:ind w:left="60"/>
        <w:spacing w:after="0" w:line="329" w:lineRule="auto"/>
        <w:rPr>
          <w:sz w:val="20"/>
          <w:szCs w:val="20"/>
          <w:color w:val="auto"/>
        </w:rPr>
      </w:pPr>
      <w:r>
        <w:rPr>
          <w:rFonts w:ascii="Arial" w:cs="Arial" w:eastAsia="Arial" w:hAnsi="Arial"/>
          <w:sz w:val="16"/>
          <w:szCs w:val="16"/>
          <w:color w:val="auto"/>
        </w:rPr>
        <w:t>5.12(b) with respect to any Participant. To the extent permitted by law, each Participant also shall be entitled to the benefits of Section 12.4 as though it were a Lender; provided that such Participant agrees to be subject to Section 5.6 and Section 12. 4 as though it were a Lender.</w:t>
      </w:r>
    </w:p>
    <w:p>
      <w:pPr>
        <w:spacing w:after="0" w:line="195" w:lineRule="exact"/>
        <w:rPr>
          <w:sz w:val="20"/>
          <w:szCs w:val="20"/>
          <w:color w:val="auto"/>
        </w:rPr>
      </w:pPr>
    </w:p>
    <w:p>
      <w:pPr>
        <w:ind w:left="60"/>
        <w:spacing w:after="0" w:line="265" w:lineRule="auto"/>
        <w:rPr>
          <w:sz w:val="20"/>
          <w:szCs w:val="20"/>
          <w:color w:val="auto"/>
        </w:rPr>
      </w:pPr>
      <w:r>
        <w:rPr>
          <w:rFonts w:ascii="Arial" w:cs="Arial" w:eastAsia="Arial" w:hAnsi="Arial"/>
          <w:sz w:val="16"/>
          <w:szCs w:val="16"/>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w:t>
      </w:r>
    </w:p>
    <w:p>
      <w:pPr>
        <w:ind w:left="60"/>
        <w:spacing w:after="0" w:line="236" w:lineRule="auto"/>
        <w:rPr>
          <w:sz w:val="20"/>
          <w:szCs w:val="20"/>
          <w:color w:val="auto"/>
        </w:rPr>
      </w:pPr>
      <w:r>
        <w:rPr>
          <w:rFonts w:ascii="Arial" w:cs="Arial" w:eastAsia="Arial" w:hAnsi="Arial"/>
          <w:sz w:val="18"/>
          <w:szCs w:val="18"/>
          <w:color w:val="auto"/>
        </w:rPr>
        <w:t>the Loans or other obligations under the Loan Documents (the “Participant Register”); provided that no Lender shall have any obligation</w:t>
      </w:r>
    </w:p>
    <w:p>
      <w:pPr>
        <w:ind w:left="60"/>
        <w:spacing w:after="0" w:line="226" w:lineRule="auto"/>
        <w:rPr>
          <w:sz w:val="20"/>
          <w:szCs w:val="20"/>
          <w:color w:val="auto"/>
        </w:rPr>
      </w:pPr>
      <w:r>
        <w:rPr>
          <w:rFonts w:ascii="Arial" w:cs="Arial" w:eastAsia="Arial" w:hAnsi="Arial"/>
          <w:sz w:val="18"/>
          <w:szCs w:val="18"/>
          <w:color w:val="auto"/>
        </w:rPr>
        <w:t>to disclose all or any portion of the Participant Register (including the identity of any Participant or any information relating to a Participant’s interest in any commitments, loans, letters of credit or its other obligations under any Loan Document) to any Person except</w:t>
      </w:r>
    </w:p>
    <w:p>
      <w:pPr>
        <w:ind w:left="60"/>
        <w:spacing w:after="0" w:line="236" w:lineRule="auto"/>
        <w:rPr>
          <w:sz w:val="20"/>
          <w:szCs w:val="20"/>
          <w:color w:val="auto"/>
        </w:rPr>
      </w:pPr>
      <w:r>
        <w:rPr>
          <w:rFonts w:ascii="Arial" w:cs="Arial" w:eastAsia="Arial" w:hAnsi="Arial"/>
          <w:sz w:val="18"/>
          <w:szCs w:val="18"/>
          <w:color w:val="auto"/>
        </w:rPr>
        <w:t>to the extent that such disclosure is necessary to establish that such commitment, loan, letter of credit or other obligation is in registered</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form under Section 5f.103-1(c) of the United States Treasury Regulations. The entries in the Participant Register shall be conclusive absent manifest error, and such Lender shall treat each Person whose name is recorded in the Participant Register as the owner of such</w:t>
      </w:r>
    </w:p>
    <w:p>
      <w:pPr>
        <w:spacing w:after="0" w:line="2" w:lineRule="exact"/>
        <w:rPr>
          <w:sz w:val="20"/>
          <w:szCs w:val="20"/>
          <w:color w:val="auto"/>
        </w:rPr>
      </w:pPr>
    </w:p>
    <w:p>
      <w:pPr>
        <w:ind w:left="60"/>
        <w:spacing w:after="0" w:line="239" w:lineRule="auto"/>
        <w:rPr>
          <w:sz w:val="20"/>
          <w:szCs w:val="20"/>
          <w:color w:val="auto"/>
        </w:rPr>
      </w:pPr>
      <w:r>
        <w:rPr>
          <w:rFonts w:ascii="Arial" w:cs="Arial" w:eastAsia="Arial" w:hAnsi="Arial"/>
          <w:sz w:val="19"/>
          <w:szCs w:val="19"/>
          <w:color w:val="auto"/>
        </w:rPr>
        <w:t>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jc w:val="both"/>
        <w:ind w:left="60" w:firstLine="644"/>
        <w:spacing w:after="0" w:line="220" w:lineRule="auto"/>
        <w:tabs>
          <w:tab w:leader="none" w:pos="1236" w:val="left"/>
        </w:tabs>
        <w:numPr>
          <w:ilvl w:val="0"/>
          <w:numId w:val="457"/>
        </w:numPr>
        <w:rPr>
          <w:rFonts w:ascii="Arial" w:cs="Arial" w:eastAsia="Arial" w:hAnsi="Arial"/>
          <w:sz w:val="20"/>
          <w:szCs w:val="20"/>
          <w:color w:val="auto"/>
        </w:rPr>
      </w:pPr>
      <w:r>
        <w:rPr>
          <w:rFonts w:ascii="Arial" w:cs="Arial" w:eastAsia="Arial" w:hAnsi="Arial"/>
          <w:sz w:val="20"/>
          <w:szCs w:val="20"/>
          <w:color w:val="auto"/>
        </w:rPr>
        <w:t>Certain Pledges. Any Lender may at any time pledge or assign a security interest in all or any portion of its rights under this Agreement to secure obligations of such Lender, including without limitation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96" w:lineRule="exact"/>
        <w:rPr>
          <w:rFonts w:ascii="Arial" w:cs="Arial" w:eastAsia="Arial" w:hAnsi="Arial"/>
          <w:sz w:val="20"/>
          <w:szCs w:val="20"/>
          <w:color w:val="auto"/>
        </w:rPr>
      </w:pPr>
    </w:p>
    <w:p>
      <w:pPr>
        <w:jc w:val="both"/>
        <w:ind w:left="60" w:firstLine="644"/>
        <w:spacing w:after="0" w:line="220" w:lineRule="auto"/>
        <w:tabs>
          <w:tab w:leader="none" w:pos="1236" w:val="left"/>
        </w:tabs>
        <w:numPr>
          <w:ilvl w:val="0"/>
          <w:numId w:val="457"/>
        </w:numPr>
        <w:rPr>
          <w:rFonts w:ascii="Arial" w:cs="Arial" w:eastAsia="Arial" w:hAnsi="Arial"/>
          <w:sz w:val="20"/>
          <w:szCs w:val="20"/>
          <w:color w:val="auto"/>
        </w:rPr>
      </w:pPr>
      <w:r>
        <w:rPr>
          <w:rFonts w:ascii="Arial" w:cs="Arial" w:eastAsia="Arial" w:hAnsi="Arial"/>
          <w:sz w:val="20"/>
          <w:szCs w:val="20"/>
          <w:color w:val="auto"/>
        </w:rPr>
        <w:t>Cashless Settlement.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96"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12.10</w:t>
      </w:r>
      <w:r>
        <w:rPr>
          <w:sz w:val="20"/>
          <w:szCs w:val="20"/>
          <w:color w:val="auto"/>
        </w:rPr>
        <w:tab/>
      </w:r>
      <w:r>
        <w:rPr>
          <w:rFonts w:ascii="Arial" w:cs="Arial" w:eastAsia="Arial" w:hAnsi="Arial"/>
          <w:sz w:val="18"/>
          <w:szCs w:val="18"/>
          <w:color w:val="auto"/>
        </w:rPr>
        <w:t>Treatment of Certain Information; Confidentiality</w:t>
      </w:r>
    </w:p>
    <w:p>
      <w:pPr>
        <w:spacing w:after="0" w:line="283" w:lineRule="exact"/>
        <w:rPr>
          <w:sz w:val="20"/>
          <w:szCs w:val="20"/>
          <w:color w:val="auto"/>
        </w:rPr>
      </w:pPr>
    </w:p>
    <w:p>
      <w:pPr>
        <w:jc w:val="both"/>
        <w:ind w:left="60" w:hanging="5"/>
        <w:spacing w:after="0" w:line="225" w:lineRule="auto"/>
        <w:tabs>
          <w:tab w:leader="none" w:pos="185" w:val="left"/>
        </w:tabs>
        <w:numPr>
          <w:ilvl w:val="0"/>
          <w:numId w:val="458"/>
        </w:numPr>
        <w:rPr>
          <w:rFonts w:ascii="Arial" w:cs="Arial" w:eastAsia="Arial" w:hAnsi="Arial"/>
          <w:sz w:val="19"/>
          <w:szCs w:val="19"/>
          <w:color w:val="auto"/>
        </w:rPr>
      </w:pPr>
      <w:r>
        <w:rPr>
          <w:rFonts w:ascii="Arial" w:cs="Arial" w:eastAsia="Arial" w:hAnsi="Arial"/>
          <w:sz w:val="19"/>
          <w:szCs w:val="19"/>
          <w:color w:val="auto"/>
        </w:rPr>
        <w:t>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as to the extent required by Applicable Laws or regulations or in any legal, judicial or administrative proceeding or other compulsory process, (d) to any other party hereto, (e) in connection with the exercise of any remedies under this Agreement, under any other Loan Document or under any Secured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54" w:name="page255"/>
    <w:bookmarkEnd w:id="254"/>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 or Secured Cash Management Agreement, or any action or proceeding relating to this Agreement, any other Loan Document or</w:t>
      </w:r>
    </w:p>
    <w:p>
      <w:pPr>
        <w:spacing w:after="0" w:line="35" w:lineRule="exact"/>
        <w:rPr>
          <w:sz w:val="20"/>
          <w:szCs w:val="20"/>
          <w:color w:val="auto"/>
        </w:rPr>
      </w:pPr>
    </w:p>
    <w:p>
      <w:pPr>
        <w:ind w:left="60"/>
        <w:spacing w:after="0" w:line="255" w:lineRule="auto"/>
        <w:rPr>
          <w:sz w:val="20"/>
          <w:szCs w:val="20"/>
          <w:color w:val="auto"/>
        </w:rPr>
      </w:pPr>
      <w:r>
        <w:rPr>
          <w:rFonts w:ascii="Arial" w:cs="Arial" w:eastAsia="Arial" w:hAnsi="Arial"/>
          <w:sz w:val="16"/>
          <w:szCs w:val="16"/>
          <w:color w:val="auto"/>
        </w:rPr>
        <w:t>any Secured Hedge Agreement or Secured Cash Management Agreement, or the enforcement of rights hereunder or thereunder, (f) subject to an agreement containing provisions substantially the same as those of this Section, to (i) any assignee of or Participant in, or any</w:t>
      </w:r>
    </w:p>
    <w:p>
      <w:pPr>
        <w:ind w:left="60"/>
        <w:spacing w:after="0" w:line="235" w:lineRule="auto"/>
        <w:rPr>
          <w:sz w:val="20"/>
          <w:szCs w:val="20"/>
          <w:color w:val="auto"/>
        </w:rPr>
      </w:pPr>
      <w:r>
        <w:rPr>
          <w:rFonts w:ascii="Arial" w:cs="Arial" w:eastAsia="Arial" w:hAnsi="Arial"/>
          <w:sz w:val="18"/>
          <w:szCs w:val="18"/>
          <w:color w:val="auto"/>
        </w:rPr>
        <w:t>prospective assignee of or Participant in, any of its rights and obligations under this Agreement or (ii) any actual or prospective party (or</w:t>
      </w:r>
    </w:p>
    <w:p>
      <w:pPr>
        <w:ind w:left="60"/>
        <w:spacing w:after="0" w:line="226" w:lineRule="auto"/>
        <w:rPr>
          <w:sz w:val="20"/>
          <w:szCs w:val="20"/>
          <w:color w:val="auto"/>
        </w:rPr>
      </w:pPr>
      <w:r>
        <w:rPr>
          <w:rFonts w:ascii="Arial" w:cs="Arial" w:eastAsia="Arial" w:hAnsi="Arial"/>
          <w:sz w:val="18"/>
          <w:szCs w:val="18"/>
          <w:color w:val="auto"/>
        </w:rPr>
        <w:t>its Related Parties) to any swap, derivative or other transaction under which payments are to be made by reference to the Borrowers and their respective obligations, this Agreement or payments hereunder, (g) on a confidential basis to (i) any rating agency in connection with</w:t>
      </w:r>
    </w:p>
    <w:p>
      <w:pPr>
        <w:ind w:left="60"/>
        <w:spacing w:after="0" w:line="236" w:lineRule="auto"/>
        <w:rPr>
          <w:sz w:val="20"/>
          <w:szCs w:val="20"/>
          <w:color w:val="auto"/>
        </w:rPr>
      </w:pPr>
      <w:r>
        <w:rPr>
          <w:rFonts w:ascii="Arial" w:cs="Arial" w:eastAsia="Arial" w:hAnsi="Arial"/>
          <w:sz w:val="18"/>
          <w:szCs w:val="18"/>
          <w:color w:val="auto"/>
        </w:rPr>
        <w:t>rating the Consolidated Companies or the Credit Facility or (ii) the CUSIP Service Bureau or any similar agency in connection with the</w:t>
      </w:r>
    </w:p>
    <w:p>
      <w:pPr>
        <w:spacing w:after="0" w:line="1" w:lineRule="exact"/>
        <w:rPr>
          <w:sz w:val="20"/>
          <w:szCs w:val="20"/>
          <w:color w:val="auto"/>
        </w:rPr>
      </w:pPr>
    </w:p>
    <w:p>
      <w:pPr>
        <w:jc w:val="both"/>
        <w:ind w:left="60"/>
        <w:spacing w:after="0" w:line="226" w:lineRule="auto"/>
        <w:rPr>
          <w:sz w:val="20"/>
          <w:szCs w:val="20"/>
          <w:color w:val="auto"/>
        </w:rPr>
      </w:pPr>
      <w:r>
        <w:rPr>
          <w:rFonts w:ascii="Arial" w:cs="Arial" w:eastAsia="Arial" w:hAnsi="Arial"/>
          <w:sz w:val="18"/>
          <w:szCs w:val="18"/>
          <w:color w:val="auto"/>
        </w:rPr>
        <w:t>issuance and monitoring of CUSIP numbers with respect to the Credit Facility, (h) with the consent of Centuri, (i) to Gold Sheets and other similar bank trade publications, such information to consist of deal terms and other information customarily found in such publications, (j)</w:t>
      </w:r>
    </w:p>
    <w:p>
      <w:pPr>
        <w:ind w:left="60"/>
        <w:spacing w:after="0" w:line="236" w:lineRule="auto"/>
        <w:rPr>
          <w:sz w:val="20"/>
          <w:szCs w:val="20"/>
          <w:color w:val="auto"/>
        </w:rPr>
      </w:pPr>
      <w:r>
        <w:rPr>
          <w:rFonts w:ascii="Arial" w:cs="Arial" w:eastAsia="Arial" w:hAnsi="Arial"/>
          <w:sz w:val="18"/>
          <w:szCs w:val="18"/>
          <w:color w:val="auto"/>
        </w:rPr>
        <w:t>to the extent such Information (i) becomes publicly available other than as a result of a breach of this Section or (ii) becomes available to</w:t>
      </w:r>
    </w:p>
    <w:p>
      <w:pPr>
        <w:spacing w:after="0" w:line="1" w:lineRule="exact"/>
        <w:rPr>
          <w:sz w:val="20"/>
          <w:szCs w:val="20"/>
          <w:color w:val="auto"/>
        </w:rPr>
      </w:pPr>
    </w:p>
    <w:p>
      <w:pPr>
        <w:ind w:left="60" w:right="20"/>
        <w:spacing w:after="0" w:line="226" w:lineRule="auto"/>
        <w:rPr>
          <w:sz w:val="20"/>
          <w:szCs w:val="20"/>
          <w:color w:val="auto"/>
        </w:rPr>
      </w:pPr>
      <w:r>
        <w:rPr>
          <w:rFonts w:ascii="Arial" w:cs="Arial" w:eastAsia="Arial" w:hAnsi="Arial"/>
          <w:sz w:val="18"/>
          <w:szCs w:val="18"/>
          <w:color w:val="auto"/>
        </w:rPr>
        <w:t>the Administrative Agent, any Lender, any Issuing Lender or any of their respective Affiliates from a third party that is not, to such Person’s knowledge, subject to confidentiality obligations to the Borrowers, (k) to governmental regulatory authorities in connection with</w:t>
      </w:r>
    </w:p>
    <w:p>
      <w:pPr>
        <w:ind w:left="60"/>
        <w:spacing w:after="0" w:line="236" w:lineRule="auto"/>
        <w:rPr>
          <w:sz w:val="20"/>
          <w:szCs w:val="20"/>
          <w:color w:val="auto"/>
        </w:rPr>
      </w:pPr>
      <w:r>
        <w:rPr>
          <w:rFonts w:ascii="Arial" w:cs="Arial" w:eastAsia="Arial" w:hAnsi="Arial"/>
          <w:sz w:val="18"/>
          <w:szCs w:val="18"/>
          <w:color w:val="auto"/>
        </w:rPr>
        <w:t>any regulatory examination of the Administrative Agent or any Lender or in accordance with the Administrative Agent’s or any Lender’s</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regulatory compliance policy if the Administrative Agent or such Lender deems necessary for the mitigation of claims by those authorities against the Administrative Agent or such Lender or any of its subsidiaries or affiliates, (l) to the extent that such information is</w:t>
      </w:r>
    </w:p>
    <w:p>
      <w:pPr>
        <w:ind w:left="60"/>
        <w:spacing w:after="0" w:line="236" w:lineRule="auto"/>
        <w:rPr>
          <w:sz w:val="20"/>
          <w:szCs w:val="20"/>
          <w:color w:val="auto"/>
        </w:rPr>
      </w:pPr>
      <w:r>
        <w:rPr>
          <w:rFonts w:ascii="Arial" w:cs="Arial" w:eastAsia="Arial" w:hAnsi="Arial"/>
          <w:sz w:val="18"/>
          <w:szCs w:val="18"/>
          <w:color w:val="auto"/>
        </w:rPr>
        <w:t>independently developed by such Person, or (m) for purposes of establishing a “due diligence” defense. For purposes of this Section,</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“Information” means all information received from any Credit Party or any Subsidiary thereof relating to any Credit Party or any Subsidiary thereof or any of their respective businesses, other than any such information that is available to the Administrative Agent, any</w:t>
      </w:r>
    </w:p>
    <w:p>
      <w:pPr>
        <w:ind w:left="60"/>
        <w:spacing w:after="0" w:line="236" w:lineRule="auto"/>
        <w:rPr>
          <w:sz w:val="20"/>
          <w:szCs w:val="20"/>
          <w:color w:val="auto"/>
        </w:rPr>
      </w:pPr>
      <w:r>
        <w:rPr>
          <w:rFonts w:ascii="Arial" w:cs="Arial" w:eastAsia="Arial" w:hAnsi="Arial"/>
          <w:sz w:val="18"/>
          <w:szCs w:val="18"/>
          <w:color w:val="auto"/>
        </w:rPr>
        <w:t>Lender or any Issuing Lender on a nonconfidential basis prior to disclosure by any Credit Party or any Subsidiary thereof; provided that, in</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w:t>
      </w:r>
    </w:p>
    <w:p>
      <w:pPr>
        <w:spacing w:after="0" w:line="2" w:lineRule="exact"/>
        <w:rPr>
          <w:sz w:val="20"/>
          <w:szCs w:val="20"/>
          <w:color w:val="auto"/>
        </w:rPr>
      </w:pPr>
    </w:p>
    <w:p>
      <w:pPr>
        <w:ind w:left="60"/>
        <w:spacing w:after="0" w:line="227" w:lineRule="auto"/>
        <w:rPr>
          <w:sz w:val="20"/>
          <w:szCs w:val="20"/>
          <w:color w:val="auto"/>
        </w:rPr>
      </w:pPr>
      <w:r>
        <w:rPr>
          <w:rFonts w:ascii="Arial" w:cs="Arial" w:eastAsia="Arial" w:hAnsi="Arial"/>
          <w:sz w:val="20"/>
          <w:szCs w:val="20"/>
          <w:color w:val="auto"/>
        </w:rPr>
        <w:t>be considered to have complied with its obligation to do so if such Person has exercised the same degree of care to maintain the confidentiality of such Information as such Person would accord to its own confidential information.</w:t>
      </w:r>
    </w:p>
    <w:p>
      <w:pPr>
        <w:spacing w:after="0" w:line="197"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12.11</w:t>
      </w:r>
      <w:r>
        <w:rPr>
          <w:sz w:val="20"/>
          <w:szCs w:val="20"/>
          <w:color w:val="auto"/>
        </w:rPr>
        <w:tab/>
      </w:r>
      <w:r>
        <w:rPr>
          <w:rFonts w:ascii="Arial" w:cs="Arial" w:eastAsia="Arial" w:hAnsi="Arial"/>
          <w:sz w:val="18"/>
          <w:szCs w:val="18"/>
          <w:color w:val="auto"/>
        </w:rPr>
        <w:t>Performance of Duties</w:t>
      </w:r>
    </w:p>
    <w:p>
      <w:pPr>
        <w:spacing w:after="0" w:line="283" w:lineRule="exact"/>
        <w:rPr>
          <w:sz w:val="20"/>
          <w:szCs w:val="20"/>
          <w:color w:val="auto"/>
        </w:rPr>
      </w:pPr>
    </w:p>
    <w:p>
      <w:pPr>
        <w:ind w:left="60" w:right="340" w:hanging="5"/>
        <w:spacing w:after="0" w:line="229" w:lineRule="auto"/>
        <w:tabs>
          <w:tab w:leader="none" w:pos="158" w:val="left"/>
        </w:tabs>
        <w:numPr>
          <w:ilvl w:val="0"/>
          <w:numId w:val="459"/>
        </w:numPr>
        <w:rPr>
          <w:rFonts w:ascii="Arial" w:cs="Arial" w:eastAsia="Arial" w:hAnsi="Arial"/>
          <w:sz w:val="20"/>
          <w:szCs w:val="20"/>
          <w:color w:val="auto"/>
        </w:rPr>
      </w:pPr>
      <w:r>
        <w:rPr>
          <w:rFonts w:ascii="Arial" w:cs="Arial" w:eastAsia="Arial" w:hAnsi="Arial"/>
          <w:sz w:val="20"/>
          <w:szCs w:val="20"/>
          <w:color w:val="auto"/>
        </w:rPr>
        <w:t>Each of the Credit Party’s obligations under this Agreement and each of the other Loan Documents shall be performed by such Credit Party at its sole cost and expense.</w:t>
      </w:r>
    </w:p>
    <w:p>
      <w:pPr>
        <w:spacing w:after="0" w:line="209"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12.12</w:t>
      </w:r>
      <w:r>
        <w:rPr>
          <w:sz w:val="20"/>
          <w:szCs w:val="20"/>
          <w:color w:val="auto"/>
        </w:rPr>
        <w:tab/>
      </w:r>
      <w:r>
        <w:rPr>
          <w:rFonts w:ascii="Arial" w:cs="Arial" w:eastAsia="Arial" w:hAnsi="Arial"/>
          <w:sz w:val="18"/>
          <w:szCs w:val="18"/>
          <w:color w:val="auto"/>
        </w:rPr>
        <w:t>All Powers Coupled with Interest</w:t>
      </w:r>
    </w:p>
    <w:p>
      <w:pPr>
        <w:spacing w:after="0" w:line="283" w:lineRule="exact"/>
        <w:rPr>
          <w:sz w:val="20"/>
          <w:szCs w:val="20"/>
          <w:color w:val="auto"/>
        </w:rPr>
      </w:pPr>
    </w:p>
    <w:p>
      <w:pPr>
        <w:jc w:val="both"/>
        <w:ind w:left="60" w:hanging="4"/>
        <w:spacing w:after="0" w:line="220" w:lineRule="auto"/>
        <w:tabs>
          <w:tab w:leader="none" w:pos="182" w:val="left"/>
        </w:tabs>
        <w:numPr>
          <w:ilvl w:val="0"/>
          <w:numId w:val="460"/>
        </w:numPr>
        <w:rPr>
          <w:rFonts w:ascii="Arial" w:cs="Arial" w:eastAsia="Arial" w:hAnsi="Arial"/>
          <w:sz w:val="20"/>
          <w:szCs w:val="20"/>
          <w:color w:val="auto"/>
        </w:rPr>
      </w:pPr>
      <w:r>
        <w:rPr>
          <w:rFonts w:ascii="Arial" w:cs="Arial" w:eastAsia="Arial" w:hAnsi="Arial"/>
          <w:sz w:val="20"/>
          <w:szCs w:val="20"/>
          <w:color w:val="auto"/>
        </w:rPr>
        <w:t>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96"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12.13</w:t>
      </w:r>
      <w:r>
        <w:rPr>
          <w:sz w:val="20"/>
          <w:szCs w:val="20"/>
          <w:color w:val="auto"/>
        </w:rPr>
        <w:tab/>
      </w:r>
      <w:r>
        <w:rPr>
          <w:rFonts w:ascii="Arial" w:cs="Arial" w:eastAsia="Arial" w:hAnsi="Arial"/>
          <w:sz w:val="18"/>
          <w:szCs w:val="18"/>
          <w:color w:val="auto"/>
        </w:rPr>
        <w:t>Survival.</w:t>
      </w:r>
    </w:p>
    <w:p>
      <w:pPr>
        <w:spacing w:after="0" w:line="283" w:lineRule="exact"/>
        <w:rPr>
          <w:sz w:val="20"/>
          <w:szCs w:val="20"/>
          <w:color w:val="auto"/>
        </w:rPr>
      </w:pPr>
    </w:p>
    <w:p>
      <w:pPr>
        <w:jc w:val="both"/>
        <w:ind w:left="60" w:firstLine="644"/>
        <w:spacing w:after="0" w:line="220" w:lineRule="auto"/>
        <w:tabs>
          <w:tab w:leader="none" w:pos="1236"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All representations and warranties set forth in Article VII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55" w:name="page256"/>
    <w:bookmarkEnd w:id="255"/>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Agreement shall be made or deemed to be made at and as of the Closing Date (except those that are expressly made as of a specific</w:t>
      </w:r>
    </w:p>
    <w:p>
      <w:pPr>
        <w:spacing w:after="0" w:line="12" w:lineRule="exact"/>
        <w:rPr>
          <w:sz w:val="20"/>
          <w:szCs w:val="20"/>
          <w:color w:val="auto"/>
        </w:rPr>
      </w:pPr>
    </w:p>
    <w:p>
      <w:pPr>
        <w:ind w:left="60" w:right="20"/>
        <w:spacing w:after="0" w:line="220" w:lineRule="auto"/>
        <w:rPr>
          <w:sz w:val="20"/>
          <w:szCs w:val="20"/>
          <w:color w:val="auto"/>
        </w:rPr>
      </w:pPr>
      <w:r>
        <w:rPr>
          <w:rFonts w:ascii="Arial" w:cs="Arial" w:eastAsia="Arial" w:hAnsi="Arial"/>
          <w:sz w:val="20"/>
          <w:szCs w:val="20"/>
          <w:color w:val="auto"/>
        </w:rPr>
        <w:t>date), shall survive the Closing Date and shall not be waived by the execution and delivery of this Agreement, any investigation made by or on behalf of the Lenders or any borrowing hereunder.</w:t>
      </w:r>
    </w:p>
    <w:p>
      <w:pPr>
        <w:spacing w:after="0" w:line="210" w:lineRule="exact"/>
        <w:rPr>
          <w:sz w:val="20"/>
          <w:szCs w:val="20"/>
          <w:color w:val="auto"/>
        </w:rPr>
      </w:pPr>
    </w:p>
    <w:p>
      <w:pPr>
        <w:jc w:val="both"/>
        <w:ind w:left="60" w:firstLine="644"/>
        <w:spacing w:after="0" w:line="220" w:lineRule="auto"/>
        <w:tabs>
          <w:tab w:leader="none" w:pos="1236" w:val="left"/>
        </w:tabs>
        <w:numPr>
          <w:ilvl w:val="0"/>
          <w:numId w:val="462"/>
        </w:numPr>
        <w:rPr>
          <w:rFonts w:ascii="Arial" w:cs="Arial" w:eastAsia="Arial" w:hAnsi="Arial"/>
          <w:sz w:val="20"/>
          <w:szCs w:val="20"/>
          <w:color w:val="auto"/>
        </w:rPr>
      </w:pPr>
      <w:r>
        <w:rPr>
          <w:rFonts w:ascii="Arial" w:cs="Arial" w:eastAsia="Arial" w:hAnsi="Arial"/>
          <w:sz w:val="20"/>
          <w:szCs w:val="20"/>
          <w:color w:val="auto"/>
        </w:rPr>
        <w:t>Notwithstanding any termination of this Agreement, the indemnities to which the Administrative Agent and the Lenders are entitled under the provisions of this Article XII and any other provision of this Agreement and the other Loan Documents shall continue in full force and effect and shall protect the Administrative Agent and the Lenders against events arising after such termination as well as before.</w:t>
      </w:r>
    </w:p>
    <w:p>
      <w:pPr>
        <w:spacing w:after="0" w:line="196"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12.14</w:t>
      </w:r>
      <w:r>
        <w:rPr>
          <w:sz w:val="20"/>
          <w:szCs w:val="20"/>
          <w:color w:val="auto"/>
        </w:rPr>
        <w:tab/>
      </w:r>
      <w:r>
        <w:rPr>
          <w:rFonts w:ascii="Arial" w:cs="Arial" w:eastAsia="Arial" w:hAnsi="Arial"/>
          <w:sz w:val="16"/>
          <w:szCs w:val="16"/>
          <w:color w:val="auto"/>
        </w:rPr>
        <w:t>Titles and Captions</w:t>
      </w:r>
    </w:p>
    <w:p>
      <w:pPr>
        <w:spacing w:after="0" w:line="283" w:lineRule="exact"/>
        <w:rPr>
          <w:sz w:val="20"/>
          <w:szCs w:val="20"/>
          <w:color w:val="auto"/>
        </w:rPr>
      </w:pPr>
    </w:p>
    <w:p>
      <w:pPr>
        <w:ind w:left="60" w:right="340" w:hanging="4"/>
        <w:spacing w:after="0" w:line="236" w:lineRule="auto"/>
        <w:tabs>
          <w:tab w:leader="none" w:pos="159" w:val="left"/>
        </w:tabs>
        <w:numPr>
          <w:ilvl w:val="0"/>
          <w:numId w:val="463"/>
        </w:numPr>
        <w:rPr>
          <w:rFonts w:ascii="Arial" w:cs="Arial" w:eastAsia="Arial" w:hAnsi="Arial"/>
          <w:sz w:val="20"/>
          <w:szCs w:val="20"/>
          <w:color w:val="auto"/>
        </w:rPr>
      </w:pPr>
      <w:r>
        <w:rPr>
          <w:rFonts w:ascii="Arial" w:cs="Arial" w:eastAsia="Arial" w:hAnsi="Arial"/>
          <w:sz w:val="20"/>
          <w:szCs w:val="20"/>
          <w:color w:val="auto"/>
        </w:rPr>
        <w:t>Titles and captions of Articles, Sections and subsections in, and the table of contents of, this Agreement are for convenience only, and neither limit nor amplify the provisions of this Agreement.</w:t>
      </w:r>
    </w:p>
    <w:p>
      <w:pPr>
        <w:spacing w:after="0" w:line="196"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12.15</w:t>
      </w:r>
      <w:r>
        <w:rPr>
          <w:sz w:val="20"/>
          <w:szCs w:val="20"/>
          <w:color w:val="auto"/>
        </w:rPr>
        <w:tab/>
      </w:r>
      <w:r>
        <w:rPr>
          <w:rFonts w:ascii="Arial" w:cs="Arial" w:eastAsia="Arial" w:hAnsi="Arial"/>
          <w:sz w:val="18"/>
          <w:szCs w:val="18"/>
          <w:color w:val="auto"/>
        </w:rPr>
        <w:t>Severability of Provisions</w:t>
      </w:r>
    </w:p>
    <w:p>
      <w:pPr>
        <w:spacing w:after="0" w:line="283" w:lineRule="exact"/>
        <w:rPr>
          <w:sz w:val="20"/>
          <w:szCs w:val="20"/>
          <w:color w:val="auto"/>
        </w:rPr>
      </w:pPr>
    </w:p>
    <w:p>
      <w:pPr>
        <w:jc w:val="both"/>
        <w:ind w:left="60" w:hanging="4"/>
        <w:spacing w:after="0" w:line="252" w:lineRule="auto"/>
        <w:tabs>
          <w:tab w:leader="none" w:pos="169"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85"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12.16</w:t>
      </w:r>
      <w:r>
        <w:rPr>
          <w:sz w:val="20"/>
          <w:szCs w:val="20"/>
          <w:color w:val="auto"/>
        </w:rPr>
        <w:tab/>
      </w:r>
      <w:r>
        <w:rPr>
          <w:rFonts w:ascii="Arial" w:cs="Arial" w:eastAsia="Arial" w:hAnsi="Arial"/>
          <w:sz w:val="18"/>
          <w:szCs w:val="18"/>
          <w:color w:val="auto"/>
        </w:rPr>
        <w:t>Counterparts; Integration; Effectiveness; Electronic Execution.</w:t>
      </w:r>
    </w:p>
    <w:p>
      <w:pPr>
        <w:spacing w:after="0" w:line="283" w:lineRule="exact"/>
        <w:rPr>
          <w:sz w:val="20"/>
          <w:szCs w:val="20"/>
          <w:color w:val="auto"/>
        </w:rPr>
      </w:pPr>
    </w:p>
    <w:p>
      <w:pPr>
        <w:jc w:val="both"/>
        <w:ind w:left="60" w:firstLine="644"/>
        <w:spacing w:after="0" w:line="235" w:lineRule="auto"/>
        <w:tabs>
          <w:tab w:leader="none" w:pos="123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Section 6.1,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214" w:lineRule="exact"/>
        <w:rPr>
          <w:rFonts w:ascii="Arial" w:cs="Arial" w:eastAsia="Arial" w:hAnsi="Arial"/>
          <w:sz w:val="18"/>
          <w:szCs w:val="18"/>
          <w:color w:val="auto"/>
        </w:rPr>
      </w:pPr>
    </w:p>
    <w:p>
      <w:pPr>
        <w:jc w:val="both"/>
        <w:ind w:left="60" w:firstLine="644"/>
        <w:spacing w:after="0" w:line="235" w:lineRule="auto"/>
        <w:tabs>
          <w:tab w:leader="none" w:pos="123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Electronic Execution.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56" w:name="page257"/>
    <w:bookmarkEnd w:id="256"/>
    <w:p>
      <w:pPr>
        <w:ind w:left="60"/>
        <w:spacing w:after="0"/>
        <w:rPr>
          <w:sz w:val="20"/>
          <w:szCs w:val="20"/>
          <w:color w:val="auto"/>
        </w:rPr>
      </w:pPr>
      <w:r>
        <w:rPr>
          <w:rFonts w:ascii="Arial" w:cs="Arial" w:eastAsia="Arial" w:hAnsi="Arial"/>
          <w:sz w:val="16"/>
          <w:szCs w:val="16"/>
          <w:color w:val="auto"/>
        </w:rPr>
        <w:t>to the same extent as a manual, original signature. For the avoidance of doubt, the authorization under this paragraph may include, without</w:t>
      </w:r>
    </w:p>
    <w:p>
      <w:pPr>
        <w:spacing w:after="0" w:line="35" w:lineRule="exact"/>
        <w:rPr>
          <w:sz w:val="20"/>
          <w:szCs w:val="20"/>
          <w:color w:val="auto"/>
        </w:rPr>
      </w:pPr>
    </w:p>
    <w:p>
      <w:pPr>
        <w:jc w:val="both"/>
        <w:ind w:left="60"/>
        <w:spacing w:after="0" w:line="226" w:lineRule="auto"/>
        <w:rPr>
          <w:sz w:val="20"/>
          <w:szCs w:val="20"/>
          <w:color w:val="auto"/>
        </w:rPr>
      </w:pPr>
      <w:r>
        <w:rPr>
          <w:rFonts w:ascii="Arial" w:cs="Arial" w:eastAsia="Arial" w:hAnsi="Arial"/>
          <w:sz w:val="18"/>
          <w:szCs w:val="18"/>
          <w:color w:val="auto"/>
        </w:rPr>
        <w:t>limitation, use or acceptance by the parties of a manually signed paper which has been converted into electronic form (such as scanned into PDF format), or an electronically signed paper converted into another format, for transmission, delivery and/or retention.</w:t>
      </w:r>
    </w:p>
    <w:p>
      <w:pPr>
        <w:ind w:left="60"/>
        <w:spacing w:after="0" w:line="224" w:lineRule="auto"/>
        <w:rPr>
          <w:sz w:val="20"/>
          <w:szCs w:val="20"/>
          <w:color w:val="auto"/>
        </w:rPr>
      </w:pPr>
      <w:r>
        <w:rPr>
          <w:rFonts w:ascii="Arial" w:cs="Arial" w:eastAsia="Arial" w:hAnsi="Arial"/>
          <w:sz w:val="19"/>
          <w:szCs w:val="19"/>
          <w:color w:val="auto"/>
        </w:rPr>
        <w:t>Notwithstanding anything contained herein to the contrary, the Administrative Agent is under no obligation to accept an Electronic</w:t>
      </w:r>
    </w:p>
    <w:p>
      <w:pPr>
        <w:ind w:left="60"/>
        <w:spacing w:after="0" w:line="226" w:lineRule="auto"/>
        <w:rPr>
          <w:sz w:val="20"/>
          <w:szCs w:val="20"/>
          <w:color w:val="auto"/>
        </w:rPr>
      </w:pPr>
      <w:r>
        <w:rPr>
          <w:rFonts w:ascii="Arial" w:cs="Arial" w:eastAsia="Arial" w:hAnsi="Arial"/>
          <w:sz w:val="18"/>
          <w:szCs w:val="18"/>
          <w:color w:val="auto"/>
        </w:rPr>
        <w:t>Signature in any form or in any format unless expressly agreed to by the Administrative Agent pursuant to procedures approved by it; provided that without limiting the foregoing, (i) to the extent the Administrative Agent has agreed to accept such Electronic Signature</w:t>
      </w:r>
    </w:p>
    <w:p>
      <w:pPr>
        <w:ind w:left="60"/>
        <w:spacing w:after="0" w:line="236" w:lineRule="auto"/>
        <w:rPr>
          <w:sz w:val="20"/>
          <w:szCs w:val="20"/>
          <w:color w:val="auto"/>
        </w:rPr>
      </w:pPr>
      <w:r>
        <w:rPr>
          <w:rFonts w:ascii="Arial" w:cs="Arial" w:eastAsia="Arial" w:hAnsi="Arial"/>
          <w:sz w:val="18"/>
          <w:szCs w:val="18"/>
          <w:color w:val="auto"/>
        </w:rPr>
        <w:t>from any party hereto, the Administrative Agent and the other parties hereto shall be entitled to rely on any such Electronic Signature</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purportedly given by or on behalf of the executing party without further verification and (ii) upon the request of the Administrative Agent or any Lender, any Electronic Signature shall be promptly followed by an original manually executed counterpart thereof. Without limiting</w:t>
      </w:r>
    </w:p>
    <w:p>
      <w:pPr>
        <w:ind w:left="60"/>
        <w:spacing w:after="0" w:line="236" w:lineRule="auto"/>
        <w:rPr>
          <w:sz w:val="20"/>
          <w:szCs w:val="20"/>
          <w:color w:val="auto"/>
        </w:rPr>
      </w:pPr>
      <w:r>
        <w:rPr>
          <w:rFonts w:ascii="Arial" w:cs="Arial" w:eastAsia="Arial" w:hAnsi="Arial"/>
          <w:sz w:val="18"/>
          <w:szCs w:val="18"/>
          <w:color w:val="auto"/>
        </w:rPr>
        <w:t>the generality of the foregoing, each party hereto hereby (A) agrees that, for all purposes, including without limitation, in connection with</w:t>
      </w:r>
    </w:p>
    <w:p>
      <w:pPr>
        <w:spacing w:after="0" w:line="1"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any workout, restructuring, enforcement of remedies, bankruptcy proceedings or litigation among the Administrative Agent, the Lenders and any of the Credit Parties, electronic images of this Agreement or any other Loan Document (in each case, including with respect to</w:t>
      </w:r>
    </w:p>
    <w:p>
      <w:pPr>
        <w:ind w:left="60"/>
        <w:spacing w:after="0" w:line="224" w:lineRule="auto"/>
        <w:rPr>
          <w:sz w:val="20"/>
          <w:szCs w:val="20"/>
          <w:color w:val="auto"/>
        </w:rPr>
      </w:pPr>
      <w:r>
        <w:rPr>
          <w:rFonts w:ascii="Arial" w:cs="Arial" w:eastAsia="Arial" w:hAnsi="Arial"/>
          <w:sz w:val="19"/>
          <w:szCs w:val="19"/>
          <w:color w:val="auto"/>
        </w:rPr>
        <w:t>any signature pages thereto) shall have the same legal effect, validity and enforceability as any paper original, and (B) waives any</w:t>
      </w:r>
    </w:p>
    <w:p>
      <w:pPr>
        <w:ind w:left="60"/>
        <w:spacing w:after="0" w:line="220" w:lineRule="auto"/>
        <w:rPr>
          <w:sz w:val="20"/>
          <w:szCs w:val="20"/>
          <w:color w:val="auto"/>
        </w:rPr>
      </w:pPr>
      <w:r>
        <w:rPr>
          <w:rFonts w:ascii="Arial" w:cs="Arial" w:eastAsia="Arial" w:hAnsi="Arial"/>
          <w:sz w:val="20"/>
          <w:szCs w:val="20"/>
          <w:color w:val="auto"/>
        </w:rPr>
        <w:t>argument, defense or right to contest the validity or enforceability of the Loan Documents based solely on the lack of paper original copies of any Loan Documents, including with respect to any signature pages thereto.</w:t>
      </w:r>
    </w:p>
    <w:p>
      <w:pPr>
        <w:spacing w:after="0" w:line="210" w:lineRule="exact"/>
        <w:rPr>
          <w:sz w:val="20"/>
          <w:szCs w:val="20"/>
          <w:color w:val="auto"/>
        </w:rPr>
      </w:pPr>
    </w:p>
    <w:p>
      <w:pPr>
        <w:ind w:left="700"/>
        <w:spacing w:after="0"/>
        <w:tabs>
          <w:tab w:leader="none" w:pos="2200" w:val="left"/>
        </w:tabs>
        <w:rPr>
          <w:sz w:val="20"/>
          <w:szCs w:val="20"/>
          <w:color w:val="auto"/>
        </w:rPr>
      </w:pPr>
      <w:r>
        <w:rPr>
          <w:rFonts w:ascii="Arial" w:cs="Arial" w:eastAsia="Arial" w:hAnsi="Arial"/>
          <w:sz w:val="20"/>
          <w:szCs w:val="20"/>
          <w:color w:val="auto"/>
        </w:rPr>
        <w:t>SECTION 12.17</w:t>
      </w:r>
      <w:r>
        <w:rPr>
          <w:sz w:val="20"/>
          <w:szCs w:val="20"/>
          <w:color w:val="auto"/>
        </w:rPr>
        <w:tab/>
      </w:r>
      <w:r>
        <w:rPr>
          <w:rFonts w:ascii="Arial" w:cs="Arial" w:eastAsia="Arial" w:hAnsi="Arial"/>
          <w:sz w:val="18"/>
          <w:szCs w:val="18"/>
          <w:color w:val="auto"/>
        </w:rPr>
        <w:t>Term of Agreement</w:t>
      </w:r>
    </w:p>
    <w:p>
      <w:pPr>
        <w:spacing w:after="0" w:line="283" w:lineRule="exact"/>
        <w:rPr>
          <w:sz w:val="20"/>
          <w:szCs w:val="20"/>
          <w:color w:val="auto"/>
        </w:rPr>
      </w:pPr>
    </w:p>
    <w:p>
      <w:pPr>
        <w:jc w:val="both"/>
        <w:ind w:left="60" w:hanging="5"/>
        <w:spacing w:after="0" w:line="214" w:lineRule="auto"/>
        <w:tabs>
          <w:tab w:leader="none" w:pos="184" w:val="left"/>
        </w:tabs>
        <w:numPr>
          <w:ilvl w:val="0"/>
          <w:numId w:val="466"/>
        </w:numPr>
        <w:rPr>
          <w:rFonts w:ascii="Arial" w:cs="Arial" w:eastAsia="Arial" w:hAnsi="Arial"/>
          <w:sz w:val="20"/>
          <w:szCs w:val="20"/>
          <w:color w:val="auto"/>
        </w:rPr>
      </w:pPr>
      <w:r>
        <w:rPr>
          <w:rFonts w:ascii="Arial" w:cs="Arial" w:eastAsia="Arial" w:hAnsi="Arial"/>
          <w:sz w:val="20"/>
          <w:szCs w:val="20"/>
          <w:color w:val="auto"/>
        </w:rPr>
        <w:t>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201"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12.18</w:t>
      </w:r>
      <w:r>
        <w:rPr>
          <w:sz w:val="20"/>
          <w:szCs w:val="20"/>
          <w:color w:val="auto"/>
        </w:rPr>
        <w:tab/>
      </w:r>
      <w:r>
        <w:rPr>
          <w:rFonts w:ascii="Arial" w:cs="Arial" w:eastAsia="Arial" w:hAnsi="Arial"/>
          <w:sz w:val="18"/>
          <w:szCs w:val="18"/>
          <w:color w:val="auto"/>
        </w:rPr>
        <w:t>USA PATRIOT Act; Anti-Money Laundering Laws</w:t>
      </w:r>
    </w:p>
    <w:p>
      <w:pPr>
        <w:spacing w:after="0" w:line="283" w:lineRule="exact"/>
        <w:rPr>
          <w:sz w:val="20"/>
          <w:szCs w:val="20"/>
          <w:color w:val="auto"/>
        </w:rPr>
      </w:pPr>
    </w:p>
    <w:p>
      <w:pPr>
        <w:jc w:val="both"/>
        <w:ind w:left="60" w:hanging="4"/>
        <w:spacing w:after="0" w:line="231" w:lineRule="auto"/>
        <w:tabs>
          <w:tab w:leader="none" w:pos="168" w:val="left"/>
        </w:tabs>
        <w:numPr>
          <w:ilvl w:val="0"/>
          <w:numId w:val="467"/>
        </w:numPr>
        <w:rPr>
          <w:rFonts w:ascii="Arial" w:cs="Arial" w:eastAsia="Arial" w:hAnsi="Arial"/>
          <w:sz w:val="19"/>
          <w:szCs w:val="19"/>
          <w:color w:val="auto"/>
        </w:rPr>
      </w:pPr>
      <w:r>
        <w:rPr>
          <w:rFonts w:ascii="Arial" w:cs="Arial" w:eastAsia="Arial" w:hAnsi="Arial"/>
          <w:sz w:val="19"/>
          <w:szCs w:val="19"/>
          <w:color w:val="auto"/>
        </w:rPr>
        <w:t>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98"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12.19</w:t>
      </w:r>
      <w:r>
        <w:rPr>
          <w:sz w:val="20"/>
          <w:szCs w:val="20"/>
          <w:color w:val="auto"/>
        </w:rPr>
        <w:tab/>
      </w:r>
      <w:r>
        <w:rPr>
          <w:rFonts w:ascii="Arial" w:cs="Arial" w:eastAsia="Arial" w:hAnsi="Arial"/>
          <w:sz w:val="16"/>
          <w:szCs w:val="16"/>
          <w:color w:val="auto"/>
        </w:rPr>
        <w:t>Independent Effect of Covenants</w:t>
      </w:r>
    </w:p>
    <w:p>
      <w:pPr>
        <w:spacing w:after="0" w:line="283" w:lineRule="exact"/>
        <w:rPr>
          <w:sz w:val="20"/>
          <w:szCs w:val="20"/>
          <w:color w:val="auto"/>
        </w:rPr>
      </w:pPr>
    </w:p>
    <w:p>
      <w:pPr>
        <w:jc w:val="both"/>
        <w:ind w:left="60" w:hanging="4"/>
        <w:spacing w:after="0" w:line="220" w:lineRule="auto"/>
        <w:tabs>
          <w:tab w:leader="none" w:pos="170" w:val="left"/>
        </w:tabs>
        <w:numPr>
          <w:ilvl w:val="0"/>
          <w:numId w:val="468"/>
        </w:numPr>
        <w:rPr>
          <w:rFonts w:ascii="Arial" w:cs="Arial" w:eastAsia="Arial" w:hAnsi="Arial"/>
          <w:sz w:val="20"/>
          <w:szCs w:val="20"/>
          <w:color w:val="auto"/>
        </w:rPr>
      </w:pPr>
      <w:r>
        <w:rPr>
          <w:rFonts w:ascii="Arial" w:cs="Arial" w:eastAsia="Arial" w:hAnsi="Arial"/>
          <w:sz w:val="20"/>
          <w:szCs w:val="20"/>
          <w:color w:val="auto"/>
        </w:rPr>
        <w:t>The Borrowers expressly acknowledge and agree that each covenant contained in Articles VIII or IX hereof shall be given independent effect. Accordingly, the Borrowers shall not engage in any transaction or other act otherwise permitted under any covenant contained in Articles VIII or IX, before or after giving effect to such transaction or act, the Borrowers shall or would be in breach of any other covenant contained in Articles VIII or IX.</w:t>
      </w:r>
    </w:p>
    <w:p>
      <w:pPr>
        <w:spacing w:after="0" w:line="264"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12.20</w:t>
      </w:r>
      <w:r>
        <w:rPr>
          <w:sz w:val="20"/>
          <w:szCs w:val="20"/>
          <w:color w:val="auto"/>
        </w:rPr>
        <w:tab/>
      </w:r>
      <w:r>
        <w:rPr>
          <w:rFonts w:ascii="Arial" w:cs="Arial" w:eastAsia="Arial" w:hAnsi="Arial"/>
          <w:sz w:val="18"/>
          <w:szCs w:val="18"/>
          <w:color w:val="auto"/>
        </w:rPr>
        <w:t>No Advisory or Fiduciary Responsibility.</w:t>
      </w:r>
    </w:p>
    <w:p>
      <w:pPr>
        <w:spacing w:after="0" w:line="283" w:lineRule="exact"/>
        <w:rPr>
          <w:sz w:val="20"/>
          <w:szCs w:val="20"/>
          <w:color w:val="auto"/>
        </w:rPr>
      </w:pPr>
    </w:p>
    <w:p>
      <w:pPr>
        <w:jc w:val="both"/>
        <w:ind w:left="60" w:firstLine="725"/>
        <w:spacing w:after="0" w:line="223" w:lineRule="auto"/>
        <w:tabs>
          <w:tab w:leader="none" w:pos="1238" w:val="left"/>
        </w:tabs>
        <w:numPr>
          <w:ilvl w:val="0"/>
          <w:numId w:val="469"/>
        </w:numPr>
        <w:rPr>
          <w:rFonts w:ascii="Arial" w:cs="Arial" w:eastAsia="Arial" w:hAnsi="Arial"/>
          <w:sz w:val="20"/>
          <w:szCs w:val="20"/>
          <w:color w:val="auto"/>
        </w:rPr>
      </w:pPr>
      <w:r>
        <w:rPr>
          <w:rFonts w:ascii="Arial" w:cs="Arial" w:eastAsia="Arial" w:hAnsi="Arial"/>
          <w:sz w:val="20"/>
          <w:szCs w:val="20"/>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57" w:name="page258"/>
    <w:bookmarkEnd w:id="257"/>
    <w:p>
      <w:pPr>
        <w:ind w:left="40"/>
        <w:spacing w:after="0"/>
        <w:rPr>
          <w:sz w:val="20"/>
          <w:szCs w:val="20"/>
          <w:color w:val="auto"/>
        </w:rPr>
      </w:pPr>
      <w:r>
        <w:rPr>
          <w:rFonts w:ascii="Arial" w:cs="Arial" w:eastAsia="Arial" w:hAnsi="Arial"/>
          <w:sz w:val="18"/>
          <w:szCs w:val="18"/>
          <w:color w:val="auto"/>
        </w:rPr>
        <w:t>with any amendment, waiver or other modification hereof or of any other Loan Document) are an arm’s- length commercial transaction</w:t>
      </w:r>
    </w:p>
    <w:p>
      <w:pPr>
        <w:spacing w:after="0" w:line="12" w:lineRule="exact"/>
        <w:rPr>
          <w:sz w:val="20"/>
          <w:szCs w:val="20"/>
          <w:color w:val="auto"/>
        </w:rPr>
      </w:pPr>
    </w:p>
    <w:p>
      <w:pPr>
        <w:ind w:left="40"/>
        <w:spacing w:after="0" w:line="255" w:lineRule="auto"/>
        <w:rPr>
          <w:sz w:val="20"/>
          <w:szCs w:val="20"/>
          <w:color w:val="auto"/>
        </w:rPr>
      </w:pPr>
      <w:r>
        <w:rPr>
          <w:rFonts w:ascii="Arial" w:cs="Arial" w:eastAsia="Arial" w:hAnsi="Arial"/>
          <w:sz w:val="16"/>
          <w:szCs w:val="16"/>
          <w:color w:val="auto"/>
        </w:rPr>
        <w:t>between the Borrowers and their respective Affiliates, on the one hand, and the Administrative Agent, the Arrangers and the Lenders, on the other hand, and each Borrower is capable of evaluating and understanding and understands and accepts the terms, risks and conditions</w:t>
      </w:r>
    </w:p>
    <w:p>
      <w:pPr>
        <w:ind w:left="40"/>
        <w:spacing w:after="0" w:line="235" w:lineRule="auto"/>
        <w:rPr>
          <w:sz w:val="20"/>
          <w:szCs w:val="20"/>
          <w:color w:val="auto"/>
        </w:rPr>
      </w:pPr>
      <w:r>
        <w:rPr>
          <w:rFonts w:ascii="Arial" w:cs="Arial" w:eastAsia="Arial" w:hAnsi="Arial"/>
          <w:sz w:val="18"/>
          <w:szCs w:val="18"/>
          <w:color w:val="auto"/>
        </w:rPr>
        <w:t>of the transactions contemplated hereby and by the other Loan Documents (including any amendment, waiver or other modification hereof</w:t>
      </w:r>
    </w:p>
    <w:p>
      <w:pPr>
        <w:ind w:left="40"/>
        <w:spacing w:after="0" w:line="226" w:lineRule="auto"/>
        <w:rPr>
          <w:sz w:val="20"/>
          <w:szCs w:val="20"/>
          <w:color w:val="auto"/>
        </w:rPr>
      </w:pPr>
      <w:r>
        <w:rPr>
          <w:rFonts w:ascii="Arial" w:cs="Arial" w:eastAsia="Arial" w:hAnsi="Arial"/>
          <w:sz w:val="18"/>
          <w:szCs w:val="18"/>
          <w:color w:val="auto"/>
        </w:rPr>
        <w:t>or thereof), (ii) in connection with the process leading to such transaction, each of the Administrative Agent, the Arrangers and the Lenders is and has been acting solely as a principal and is not the financial advisor, agent or fiduciary, for the Borrowers or any of their respective</w:t>
      </w:r>
    </w:p>
    <w:p>
      <w:pPr>
        <w:ind w:left="40"/>
        <w:spacing w:after="0" w:line="236" w:lineRule="auto"/>
        <w:rPr>
          <w:sz w:val="20"/>
          <w:szCs w:val="20"/>
          <w:color w:val="auto"/>
        </w:rPr>
      </w:pPr>
      <w:r>
        <w:rPr>
          <w:rFonts w:ascii="Arial" w:cs="Arial" w:eastAsia="Arial" w:hAnsi="Arial"/>
          <w:sz w:val="18"/>
          <w:szCs w:val="18"/>
          <w:color w:val="auto"/>
        </w:rPr>
        <w:t>Affiliates, stockholders, creditors or employees or any other Person, (iii) none of the Administrative Agent, the Arrangers or the Lenders</w:t>
      </w:r>
    </w:p>
    <w:p>
      <w:pPr>
        <w:spacing w:after="0" w:line="1" w:lineRule="exact"/>
        <w:rPr>
          <w:sz w:val="20"/>
          <w:szCs w:val="20"/>
          <w:color w:val="auto"/>
        </w:rPr>
      </w:pPr>
    </w:p>
    <w:p>
      <w:pPr>
        <w:ind w:left="40"/>
        <w:spacing w:after="0" w:line="226" w:lineRule="auto"/>
        <w:rPr>
          <w:sz w:val="20"/>
          <w:szCs w:val="20"/>
          <w:color w:val="auto"/>
        </w:rPr>
      </w:pPr>
      <w:r>
        <w:rPr>
          <w:rFonts w:ascii="Arial" w:cs="Arial" w:eastAsia="Arial" w:hAnsi="Arial"/>
          <w:sz w:val="18"/>
          <w:szCs w:val="18"/>
          <w:color w:val="auto"/>
        </w:rPr>
        <w:t>has assumed or will assume an advisory, agency or fiduciary responsibility in favor of the Borrowers with respect to any of the transactions contemplated hereby or the process leading thereto, including with respect to any amendment, waiver or other modification hereof or of</w:t>
      </w:r>
    </w:p>
    <w:p>
      <w:pPr>
        <w:ind w:left="40"/>
        <w:spacing w:after="0" w:line="236" w:lineRule="auto"/>
        <w:rPr>
          <w:sz w:val="20"/>
          <w:szCs w:val="20"/>
          <w:color w:val="auto"/>
        </w:rPr>
      </w:pPr>
      <w:r>
        <w:rPr>
          <w:rFonts w:ascii="Arial" w:cs="Arial" w:eastAsia="Arial" w:hAnsi="Arial"/>
          <w:sz w:val="18"/>
          <w:szCs w:val="18"/>
          <w:color w:val="auto"/>
        </w:rPr>
        <w:t>any other Loan Document (irrespective of whether any Arranger or Lender has advised or is currently advising the Borrowers or any of</w:t>
      </w:r>
    </w:p>
    <w:p>
      <w:pPr>
        <w:spacing w:after="0" w:line="1" w:lineRule="exact"/>
        <w:rPr>
          <w:sz w:val="20"/>
          <w:szCs w:val="20"/>
          <w:color w:val="auto"/>
        </w:rPr>
      </w:pPr>
    </w:p>
    <w:p>
      <w:pPr>
        <w:ind w:left="40"/>
        <w:spacing w:after="0" w:line="226" w:lineRule="auto"/>
        <w:rPr>
          <w:sz w:val="20"/>
          <w:szCs w:val="20"/>
          <w:color w:val="auto"/>
        </w:rPr>
      </w:pPr>
      <w:r>
        <w:rPr>
          <w:rFonts w:ascii="Arial" w:cs="Arial" w:eastAsia="Arial" w:hAnsi="Arial"/>
          <w:sz w:val="18"/>
          <w:szCs w:val="18"/>
          <w:color w:val="auto"/>
        </w:rPr>
        <w:t>their respective Affiliates on other matters) and none of the Administrative Agent, the Arrangers or the Lenders has any obligation to the Borrowers or any of its Affiliates with respect to the financing transactions contemplated hereby except those obligations expressly set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forth herein and in the other Loan Documents, (iv) the Arrangers and the Lenders and their respective Affiliates may be engaged in a broad</w:t>
      </w:r>
    </w:p>
    <w:p>
      <w:pPr>
        <w:spacing w:after="0" w:line="19" w:lineRule="exact"/>
        <w:rPr>
          <w:sz w:val="20"/>
          <w:szCs w:val="20"/>
          <w:color w:val="auto"/>
        </w:rPr>
      </w:pPr>
    </w:p>
    <w:p>
      <w:pPr>
        <w:ind w:left="40"/>
        <w:spacing w:after="0" w:line="226" w:lineRule="auto"/>
        <w:rPr>
          <w:sz w:val="20"/>
          <w:szCs w:val="20"/>
          <w:color w:val="auto"/>
        </w:rPr>
      </w:pPr>
      <w:r>
        <w:rPr>
          <w:rFonts w:ascii="Arial" w:cs="Arial" w:eastAsia="Arial" w:hAnsi="Arial"/>
          <w:sz w:val="18"/>
          <w:szCs w:val="18"/>
          <w:color w:val="auto"/>
        </w:rPr>
        <w:t>range of transactions that involve interests that differ from, and may conflict with, those of the Borrowers and their respective Affiliates, and none of the Administrative Agent, the Arrangers or the Lenders has any obligation to disclose any of such interests by virtue of any</w:t>
      </w:r>
    </w:p>
    <w:p>
      <w:pPr>
        <w:ind w:left="40"/>
        <w:spacing w:after="0" w:line="236" w:lineRule="auto"/>
        <w:rPr>
          <w:sz w:val="20"/>
          <w:szCs w:val="20"/>
          <w:color w:val="auto"/>
        </w:rPr>
      </w:pPr>
      <w:r>
        <w:rPr>
          <w:rFonts w:ascii="Arial" w:cs="Arial" w:eastAsia="Arial" w:hAnsi="Arial"/>
          <w:sz w:val="18"/>
          <w:szCs w:val="18"/>
          <w:color w:val="auto"/>
        </w:rPr>
        <w:t>advisory, agency or fiduciary relationship and (v) the Administrative Agent, the Arrangers and the Lenders have not provided and will not</w:t>
      </w:r>
    </w:p>
    <w:p>
      <w:pPr>
        <w:spacing w:after="0" w:line="1"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provide any legal, accounting, regulatory or tax advice with respect to any of the transactions contemplated hereby (including any amendment, waiver or other modification hereof or of any other Loan Document) and the Credit Parties have consulted their own legal,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color w:val="auto"/>
        </w:rPr>
        <w:t>accounting, regulatory and tax advisors to the extent they have deemed appropriate.</w:t>
      </w:r>
    </w:p>
    <w:p>
      <w:pPr>
        <w:spacing w:after="0" w:line="200" w:lineRule="exact"/>
        <w:rPr>
          <w:sz w:val="20"/>
          <w:szCs w:val="20"/>
          <w:color w:val="auto"/>
        </w:rPr>
      </w:pPr>
    </w:p>
    <w:p>
      <w:pPr>
        <w:jc w:val="both"/>
        <w:ind w:left="40" w:firstLine="727"/>
        <w:spacing w:after="0" w:line="214" w:lineRule="auto"/>
        <w:tabs>
          <w:tab w:leader="none" w:pos="1243" w:val="left"/>
        </w:tabs>
        <w:numPr>
          <w:ilvl w:val="0"/>
          <w:numId w:val="470"/>
        </w:numPr>
        <w:rPr>
          <w:rFonts w:ascii="Arial" w:cs="Arial" w:eastAsia="Arial" w:hAnsi="Arial"/>
          <w:sz w:val="20"/>
          <w:szCs w:val="20"/>
          <w:color w:val="auto"/>
        </w:rPr>
      </w:pPr>
      <w:r>
        <w:rPr>
          <w:rFonts w:ascii="Arial" w:cs="Arial" w:eastAsia="Arial" w:hAnsi="Arial"/>
          <w:sz w:val="20"/>
          <w:szCs w:val="20"/>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95" w:lineRule="exact"/>
        <w:rPr>
          <w:sz w:val="20"/>
          <w:szCs w:val="20"/>
          <w:color w:val="auto"/>
        </w:rPr>
      </w:pPr>
    </w:p>
    <w:p>
      <w:pPr>
        <w:ind w:left="680"/>
        <w:spacing w:after="0"/>
        <w:tabs>
          <w:tab w:leader="none" w:pos="2200" w:val="left"/>
        </w:tabs>
        <w:rPr>
          <w:sz w:val="20"/>
          <w:szCs w:val="20"/>
          <w:color w:val="auto"/>
        </w:rPr>
      </w:pPr>
      <w:r>
        <w:rPr>
          <w:rFonts w:ascii="Arial" w:cs="Arial" w:eastAsia="Arial" w:hAnsi="Arial"/>
          <w:sz w:val="20"/>
          <w:szCs w:val="20"/>
          <w:color w:val="auto"/>
        </w:rPr>
        <w:t>SECTION 12.21</w:t>
      </w:r>
      <w:r>
        <w:rPr>
          <w:sz w:val="20"/>
          <w:szCs w:val="20"/>
          <w:color w:val="auto"/>
        </w:rPr>
        <w:tab/>
      </w:r>
      <w:r>
        <w:rPr>
          <w:rFonts w:ascii="Arial" w:cs="Arial" w:eastAsia="Arial" w:hAnsi="Arial"/>
          <w:sz w:val="16"/>
          <w:szCs w:val="16"/>
          <w:color w:val="auto"/>
        </w:rPr>
        <w:t>Inconsistencies with Other Documents</w:t>
      </w:r>
    </w:p>
    <w:p>
      <w:pPr>
        <w:spacing w:after="0" w:line="283" w:lineRule="exact"/>
        <w:rPr>
          <w:sz w:val="20"/>
          <w:szCs w:val="20"/>
          <w:color w:val="auto"/>
        </w:rPr>
      </w:pPr>
    </w:p>
    <w:p>
      <w:pPr>
        <w:jc w:val="both"/>
        <w:ind w:left="40" w:right="20" w:hanging="2"/>
        <w:spacing w:after="0" w:line="231" w:lineRule="auto"/>
        <w:tabs>
          <w:tab w:leader="none" w:pos="143" w:val="left"/>
        </w:tabs>
        <w:numPr>
          <w:ilvl w:val="0"/>
          <w:numId w:val="471"/>
        </w:numPr>
        <w:rPr>
          <w:rFonts w:ascii="Arial" w:cs="Arial" w:eastAsia="Arial" w:hAnsi="Arial"/>
          <w:sz w:val="19"/>
          <w:szCs w:val="19"/>
          <w:color w:val="auto"/>
        </w:rPr>
      </w:pPr>
      <w:r>
        <w:rPr>
          <w:rFonts w:ascii="Arial" w:cs="Arial" w:eastAsia="Arial" w:hAnsi="Arial"/>
          <w:sz w:val="19"/>
          <w:szCs w:val="19"/>
          <w:color w:val="auto"/>
        </w:rPr>
        <w:t>In the event there is a conflict or inconsistency between this Agreement and any other Loan Document, the terms of this Agreement shall control; provided that any provision of the Security Documents which imposes additional burdens on the 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98" w:lineRule="exact"/>
        <w:rPr>
          <w:sz w:val="20"/>
          <w:szCs w:val="20"/>
          <w:color w:val="auto"/>
        </w:rPr>
      </w:pPr>
    </w:p>
    <w:p>
      <w:pPr>
        <w:ind w:left="680"/>
        <w:spacing w:after="0"/>
        <w:tabs>
          <w:tab w:leader="none" w:pos="2180" w:val="left"/>
        </w:tabs>
        <w:rPr>
          <w:sz w:val="20"/>
          <w:szCs w:val="20"/>
          <w:color w:val="auto"/>
        </w:rPr>
      </w:pPr>
      <w:r>
        <w:rPr>
          <w:rFonts w:ascii="Arial" w:cs="Arial" w:eastAsia="Arial" w:hAnsi="Arial"/>
          <w:sz w:val="20"/>
          <w:szCs w:val="20"/>
          <w:color w:val="auto"/>
        </w:rPr>
        <w:t>SECTION 12.22</w:t>
      </w:r>
      <w:r>
        <w:rPr>
          <w:sz w:val="20"/>
          <w:szCs w:val="20"/>
          <w:color w:val="auto"/>
        </w:rPr>
        <w:tab/>
      </w:r>
      <w:r>
        <w:rPr>
          <w:rFonts w:ascii="Arial" w:cs="Arial" w:eastAsia="Arial" w:hAnsi="Arial"/>
          <w:sz w:val="18"/>
          <w:szCs w:val="18"/>
          <w:color w:val="auto"/>
        </w:rPr>
        <w:t>Acknowledgement and Consent to Bail-In of Affected Financial Institutions</w:t>
      </w:r>
    </w:p>
    <w:p>
      <w:pPr>
        <w:spacing w:after="0" w:line="283" w:lineRule="exact"/>
        <w:rPr>
          <w:sz w:val="20"/>
          <w:szCs w:val="20"/>
          <w:color w:val="auto"/>
        </w:rPr>
      </w:pPr>
    </w:p>
    <w:p>
      <w:pPr>
        <w:jc w:val="both"/>
        <w:ind w:left="40" w:hanging="2"/>
        <w:spacing w:after="0" w:line="223" w:lineRule="auto"/>
        <w:tabs>
          <w:tab w:leader="none" w:pos="156" w:val="left"/>
        </w:tabs>
        <w:numPr>
          <w:ilvl w:val="0"/>
          <w:numId w:val="472"/>
        </w:numPr>
        <w:rPr>
          <w:rFonts w:ascii="Arial" w:cs="Arial" w:eastAsia="Arial" w:hAnsi="Arial"/>
          <w:sz w:val="20"/>
          <w:szCs w:val="20"/>
          <w:color w:val="auto"/>
        </w:rPr>
      </w:pPr>
      <w:r>
        <w:rPr>
          <w:rFonts w:ascii="Arial" w:cs="Arial" w:eastAsia="Arial" w:hAnsi="Arial"/>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58" w:name="page259"/>
    <w:bookmarkEnd w:id="258"/>
    <w:p>
      <w:pPr>
        <w:ind w:left="60" w:right="200"/>
        <w:spacing w:after="0" w:line="236" w:lineRule="auto"/>
        <w:rPr>
          <w:sz w:val="20"/>
          <w:szCs w:val="20"/>
          <w:color w:val="auto"/>
        </w:rPr>
      </w:pPr>
      <w:r>
        <w:rPr>
          <w:rFonts w:ascii="Arial" w:cs="Arial" w:eastAsia="Arial" w:hAnsi="Arial"/>
          <w:sz w:val="20"/>
          <w:szCs w:val="20"/>
          <w:color w:val="auto"/>
        </w:rPr>
        <w:t>subject to the Write-Down and Conversion Powers of the applicable Resolution Authority and agrees and consents to, and acknowledges and agrees to be bound by:</w:t>
      </w:r>
    </w:p>
    <w:p>
      <w:pPr>
        <w:spacing w:after="0" w:line="196" w:lineRule="exact"/>
        <w:rPr>
          <w:sz w:val="20"/>
          <w:szCs w:val="20"/>
          <w:color w:val="auto"/>
        </w:rPr>
      </w:pPr>
    </w:p>
    <w:p>
      <w:pPr>
        <w:ind w:left="60" w:right="20" w:firstLine="644"/>
        <w:spacing w:after="0" w:line="236" w:lineRule="auto"/>
        <w:tabs>
          <w:tab w:leader="none" w:pos="1236" w:val="left"/>
        </w:tabs>
        <w:numPr>
          <w:ilvl w:val="0"/>
          <w:numId w:val="47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95" w:lineRule="exact"/>
        <w:rPr>
          <w:rFonts w:ascii="Arial" w:cs="Arial" w:eastAsia="Arial" w:hAnsi="Arial"/>
          <w:sz w:val="20"/>
          <w:szCs w:val="20"/>
          <w:color w:val="auto"/>
        </w:rPr>
      </w:pPr>
    </w:p>
    <w:p>
      <w:pPr>
        <w:ind w:left="1340" w:hanging="636"/>
        <w:spacing w:after="0"/>
        <w:tabs>
          <w:tab w:leader="none" w:pos="134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880" w:hanging="528"/>
        <w:spacing w:after="0"/>
        <w:tabs>
          <w:tab w:leader="none" w:pos="1880" w:val="left"/>
        </w:tabs>
        <w:numPr>
          <w:ilvl w:val="1"/>
          <w:numId w:val="473"/>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29" w:lineRule="exact"/>
        <w:rPr>
          <w:rFonts w:ascii="Arial" w:cs="Arial" w:eastAsia="Arial" w:hAnsi="Arial"/>
          <w:sz w:val="20"/>
          <w:szCs w:val="20"/>
          <w:color w:val="auto"/>
        </w:rPr>
      </w:pPr>
    </w:p>
    <w:p>
      <w:pPr>
        <w:jc w:val="both"/>
        <w:ind w:left="700" w:firstLine="652"/>
        <w:spacing w:after="0" w:line="220" w:lineRule="auto"/>
        <w:tabs>
          <w:tab w:leader="none" w:pos="1888" w:val="left"/>
        </w:tabs>
        <w:numPr>
          <w:ilvl w:val="1"/>
          <w:numId w:val="473"/>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196" w:lineRule="exact"/>
        <w:rPr>
          <w:rFonts w:ascii="Arial" w:cs="Arial" w:eastAsia="Arial" w:hAnsi="Arial"/>
          <w:sz w:val="20"/>
          <w:szCs w:val="20"/>
          <w:color w:val="auto"/>
        </w:rPr>
      </w:pPr>
    </w:p>
    <w:p>
      <w:pPr>
        <w:ind w:left="700" w:right="20" w:firstLine="652"/>
        <w:spacing w:after="0" w:line="236" w:lineRule="auto"/>
        <w:tabs>
          <w:tab w:leader="none" w:pos="1877" w:val="left"/>
        </w:tabs>
        <w:numPr>
          <w:ilvl w:val="1"/>
          <w:numId w:val="47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96" w:lineRule="exact"/>
        <w:rPr>
          <w:sz w:val="20"/>
          <w:szCs w:val="20"/>
          <w:color w:val="auto"/>
        </w:rPr>
      </w:pPr>
    </w:p>
    <w:p>
      <w:pPr>
        <w:ind w:left="700"/>
        <w:spacing w:after="0"/>
        <w:tabs>
          <w:tab w:leader="none" w:pos="2220" w:val="left"/>
        </w:tabs>
        <w:rPr>
          <w:sz w:val="20"/>
          <w:szCs w:val="20"/>
          <w:color w:val="auto"/>
        </w:rPr>
      </w:pPr>
      <w:r>
        <w:rPr>
          <w:rFonts w:ascii="Arial" w:cs="Arial" w:eastAsia="Arial" w:hAnsi="Arial"/>
          <w:sz w:val="20"/>
          <w:szCs w:val="20"/>
          <w:color w:val="auto"/>
        </w:rPr>
        <w:t>SECTION 12.23</w:t>
      </w:r>
      <w:r>
        <w:rPr>
          <w:sz w:val="20"/>
          <w:szCs w:val="20"/>
          <w:color w:val="auto"/>
        </w:rPr>
        <w:tab/>
      </w:r>
      <w:r>
        <w:rPr>
          <w:rFonts w:ascii="Arial" w:cs="Arial" w:eastAsia="Arial" w:hAnsi="Arial"/>
          <w:sz w:val="18"/>
          <w:szCs w:val="18"/>
          <w:color w:val="auto"/>
        </w:rPr>
        <w:t>Certain ERISA Matters.</w:t>
      </w:r>
    </w:p>
    <w:p>
      <w:pPr>
        <w:spacing w:after="0" w:line="283" w:lineRule="exact"/>
        <w:rPr>
          <w:sz w:val="20"/>
          <w:szCs w:val="20"/>
          <w:color w:val="auto"/>
        </w:rPr>
      </w:pPr>
    </w:p>
    <w:p>
      <w:pPr>
        <w:jc w:val="both"/>
        <w:ind w:left="60" w:firstLine="644"/>
        <w:spacing w:after="0" w:line="231" w:lineRule="auto"/>
        <w:tabs>
          <w:tab w:leader="none" w:pos="1236" w:val="left"/>
        </w:tabs>
        <w:numPr>
          <w:ilvl w:val="1"/>
          <w:numId w:val="474"/>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184" w:lineRule="exact"/>
        <w:rPr>
          <w:rFonts w:ascii="Arial" w:cs="Arial" w:eastAsia="Arial" w:hAnsi="Arial"/>
          <w:sz w:val="19"/>
          <w:szCs w:val="19"/>
          <w:color w:val="auto"/>
        </w:rPr>
      </w:pPr>
    </w:p>
    <w:p>
      <w:pPr>
        <w:jc w:val="both"/>
        <w:ind w:left="700" w:right="20" w:firstLine="652"/>
        <w:spacing w:after="0" w:line="227" w:lineRule="auto"/>
        <w:tabs>
          <w:tab w:leader="none" w:pos="1877" w:val="left"/>
        </w:tabs>
        <w:numPr>
          <w:ilvl w:val="2"/>
          <w:numId w:val="474"/>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184" w:lineRule="exact"/>
        <w:rPr>
          <w:rFonts w:ascii="Arial" w:cs="Arial" w:eastAsia="Arial" w:hAnsi="Arial"/>
          <w:sz w:val="20"/>
          <w:szCs w:val="20"/>
          <w:color w:val="auto"/>
        </w:rPr>
      </w:pPr>
    </w:p>
    <w:p>
      <w:pPr>
        <w:jc w:val="both"/>
        <w:ind w:left="700" w:firstLine="652"/>
        <w:spacing w:after="0" w:line="225" w:lineRule="auto"/>
        <w:tabs>
          <w:tab w:leader="none" w:pos="1889" w:val="left"/>
        </w:tabs>
        <w:numPr>
          <w:ilvl w:val="2"/>
          <w:numId w:val="47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13" w:lineRule="exact"/>
        <w:rPr>
          <w:rFonts w:ascii="Arial" w:cs="Arial" w:eastAsia="Arial" w:hAnsi="Arial"/>
          <w:sz w:val="19"/>
          <w:szCs w:val="19"/>
          <w:color w:val="auto"/>
        </w:rPr>
      </w:pPr>
    </w:p>
    <w:p>
      <w:pPr>
        <w:jc w:val="both"/>
        <w:ind w:left="700" w:firstLine="652"/>
        <w:spacing w:after="0" w:line="220" w:lineRule="auto"/>
        <w:tabs>
          <w:tab w:leader="none" w:pos="1877" w:val="left"/>
        </w:tabs>
        <w:numPr>
          <w:ilvl w:val="2"/>
          <w:numId w:val="474"/>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ind w:left="980" w:hanging="277"/>
        <w:spacing w:after="0"/>
        <w:tabs>
          <w:tab w:leader="none" w:pos="980" w:val="left"/>
        </w:tabs>
        <w:numPr>
          <w:ilvl w:val="0"/>
          <w:numId w:val="475"/>
        </w:numPr>
        <w:rPr>
          <w:rFonts w:ascii="Arial" w:cs="Arial" w:eastAsia="Arial" w:hAnsi="Arial"/>
          <w:sz w:val="20"/>
          <w:szCs w:val="20"/>
          <w:color w:val="auto"/>
        </w:rPr>
      </w:pPr>
      <w:r>
        <w:rPr>
          <w:rFonts w:ascii="Arial" w:cs="Arial" w:eastAsia="Arial" w:hAnsi="Arial"/>
          <w:sz w:val="20"/>
          <w:szCs w:val="20"/>
          <w:color w:val="auto"/>
        </w:rPr>
        <w:t>of Part I of PTE 84-14 and (D) to the best knowledge of such Lender,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59" w:name="page260"/>
    <w:bookmarkEnd w:id="259"/>
    <w:p>
      <w:pPr>
        <w:spacing w:after="0" w:line="209" w:lineRule="exact"/>
        <w:rPr>
          <w:sz w:val="20"/>
          <w:szCs w:val="20"/>
          <w:color w:val="auto"/>
        </w:rPr>
      </w:pPr>
    </w:p>
    <w:p>
      <w:pPr>
        <w:ind w:left="700"/>
        <w:spacing w:after="0" w:line="236" w:lineRule="auto"/>
        <w:rPr>
          <w:sz w:val="20"/>
          <w:szCs w:val="20"/>
          <w:color w:val="auto"/>
        </w:rPr>
      </w:pPr>
      <w:r>
        <w:rPr>
          <w:rFonts w:ascii="Arial" w:cs="Arial" w:eastAsia="Arial" w:hAnsi="Arial"/>
          <w:sz w:val="20"/>
          <w:szCs w:val="20"/>
          <w:color w:val="auto"/>
        </w:rPr>
        <w:t>subsection (a) of Part I of PTE 84-14 are satisfied with respect to such Lender’s entrance into, participation in, administration of and performance of the Loans, the Letters of Credit, the Commitments and this Agreement; or</w:t>
      </w:r>
    </w:p>
    <w:p>
      <w:pPr>
        <w:spacing w:after="0" w:line="182" w:lineRule="exact"/>
        <w:rPr>
          <w:sz w:val="20"/>
          <w:szCs w:val="20"/>
          <w:color w:val="auto"/>
        </w:rPr>
      </w:pPr>
    </w:p>
    <w:p>
      <w:pPr>
        <w:ind w:left="700" w:right="40" w:firstLine="652"/>
        <w:spacing w:after="0" w:line="236" w:lineRule="auto"/>
        <w:tabs>
          <w:tab w:leader="none" w:pos="1888" w:val="left"/>
        </w:tabs>
        <w:numPr>
          <w:ilvl w:val="1"/>
          <w:numId w:val="476"/>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5" w:lineRule="exact"/>
        <w:rPr>
          <w:rFonts w:ascii="Arial" w:cs="Arial" w:eastAsia="Arial" w:hAnsi="Arial"/>
          <w:sz w:val="20"/>
          <w:szCs w:val="20"/>
          <w:color w:val="auto"/>
        </w:rPr>
      </w:pPr>
    </w:p>
    <w:p>
      <w:pPr>
        <w:jc w:val="both"/>
        <w:ind w:left="60" w:firstLine="692"/>
        <w:spacing w:after="0" w:line="235" w:lineRule="auto"/>
        <w:tabs>
          <w:tab w:leader="none" w:pos="105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SECTION 12.24 Acknowledgement Regarding Any Supported QFCs</w:t>
      </w:r>
    </w:p>
    <w:p>
      <w:pPr>
        <w:spacing w:after="0" w:line="283" w:lineRule="exact"/>
        <w:rPr>
          <w:sz w:val="20"/>
          <w:szCs w:val="20"/>
          <w:color w:val="auto"/>
        </w:rPr>
      </w:pPr>
    </w:p>
    <w:p>
      <w:pPr>
        <w:jc w:val="both"/>
        <w:ind w:left="60" w:hanging="4"/>
        <w:spacing w:after="0" w:line="225" w:lineRule="auto"/>
        <w:tabs>
          <w:tab w:leader="none" w:pos="162" w:val="left"/>
        </w:tabs>
        <w:numPr>
          <w:ilvl w:val="0"/>
          <w:numId w:val="478"/>
        </w:numPr>
        <w:rPr>
          <w:rFonts w:ascii="Arial" w:cs="Arial" w:eastAsia="Arial" w:hAnsi="Arial"/>
          <w:sz w:val="19"/>
          <w:szCs w:val="19"/>
          <w:color w:val="auto"/>
        </w:rPr>
      </w:pPr>
      <w:r>
        <w:rPr>
          <w:rFonts w:ascii="Arial" w:cs="Arial" w:eastAsia="Arial" w:hAnsi="Arial"/>
          <w:sz w:val="19"/>
          <w:szCs w:val="19"/>
          <w:color w:val="auto"/>
        </w:rPr>
        <w:t>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9" w:lineRule="exact"/>
        <w:rPr>
          <w:rFonts w:ascii="Arial" w:cs="Arial" w:eastAsia="Arial" w:hAnsi="Arial"/>
          <w:sz w:val="19"/>
          <w:szCs w:val="19"/>
          <w:color w:val="auto"/>
        </w:rPr>
      </w:pPr>
    </w:p>
    <w:p>
      <w:pPr>
        <w:jc w:val="both"/>
        <w:ind w:left="60" w:firstLine="644"/>
        <w:spacing w:after="0" w:line="234" w:lineRule="auto"/>
        <w:tabs>
          <w:tab w:leader="none" w:pos="1236" w:val="left"/>
        </w:tabs>
        <w:numPr>
          <w:ilvl w:val="1"/>
          <w:numId w:val="478"/>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7" w:lineRule="exact"/>
        <w:rPr>
          <w:rFonts w:ascii="Arial" w:cs="Arial" w:eastAsia="Arial" w:hAnsi="Arial"/>
          <w:sz w:val="18"/>
          <w:szCs w:val="18"/>
          <w:color w:val="auto"/>
        </w:rPr>
      </w:pPr>
    </w:p>
    <w:p>
      <w:pPr>
        <w:ind w:left="1340" w:hanging="636"/>
        <w:spacing w:after="0"/>
        <w:tabs>
          <w:tab w:leader="none" w:pos="1340" w:val="left"/>
        </w:tabs>
        <w:numPr>
          <w:ilvl w:val="1"/>
          <w:numId w:val="478"/>
        </w:numPr>
        <w:rPr>
          <w:rFonts w:ascii="Arial" w:cs="Arial" w:eastAsia="Arial" w:hAnsi="Arial"/>
          <w:sz w:val="20"/>
          <w:szCs w:val="20"/>
          <w:color w:val="auto"/>
        </w:rPr>
      </w:pPr>
      <w:r>
        <w:rPr>
          <w:rFonts w:ascii="Arial" w:cs="Arial" w:eastAsia="Arial" w:hAnsi="Arial"/>
          <w:sz w:val="20"/>
          <w:szCs w:val="20"/>
          <w:color w:val="auto"/>
        </w:rPr>
        <w:t>As used in this Section 12.24,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40" w:right="439" w:bottom="1440" w:gutter="0" w:footer="0" w:header="0"/>
        </w:sectPr>
      </w:pPr>
    </w:p>
    <w:bookmarkStart w:id="260" w:name="page261"/>
    <w:bookmarkEnd w:id="260"/>
    <w:p>
      <w:pPr>
        <w:ind w:left="680" w:right="120" w:firstLine="648"/>
        <w:spacing w:after="0" w:line="236" w:lineRule="auto"/>
        <w:rPr>
          <w:sz w:val="20"/>
          <w:szCs w:val="20"/>
          <w:color w:val="auto"/>
        </w:rPr>
      </w:pPr>
      <w:r>
        <w:rPr>
          <w:rFonts w:ascii="Arial" w:cs="Arial" w:eastAsia="Arial" w:hAnsi="Arial"/>
          <w:sz w:val="20"/>
          <w:szCs w:val="20"/>
          <w:color w:val="auto"/>
        </w:rPr>
        <w:t>“BHC Act Affiliate” of a party means an “affiliate” (as such term is defined under, and interpreted in accordance with, 12 U.S.C. 1841(k)) of such party.</w:t>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“Covered Entity” means any of the following:</w:t>
      </w:r>
    </w:p>
    <w:p>
      <w:pPr>
        <w:spacing w:after="0" w:line="283" w:lineRule="exact"/>
        <w:rPr>
          <w:sz w:val="20"/>
          <w:szCs w:val="20"/>
          <w:color w:val="auto"/>
        </w:rPr>
      </w:pPr>
    </w:p>
    <w:p>
      <w:pPr>
        <w:ind w:left="2540" w:hanging="558"/>
        <w:spacing w:after="0"/>
        <w:tabs>
          <w:tab w:leader="none" w:pos="25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38" w:lineRule="exact"/>
        <w:rPr>
          <w:rFonts w:ascii="Arial" w:cs="Arial" w:eastAsia="Arial" w:hAnsi="Arial"/>
          <w:sz w:val="18"/>
          <w:szCs w:val="18"/>
          <w:color w:val="auto"/>
        </w:rPr>
      </w:pPr>
    </w:p>
    <w:p>
      <w:pPr>
        <w:ind w:left="2540" w:hanging="558"/>
        <w:spacing w:after="0"/>
        <w:tabs>
          <w:tab w:leader="none" w:pos="25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52" w:lineRule="exact"/>
        <w:rPr>
          <w:rFonts w:ascii="Arial" w:cs="Arial" w:eastAsia="Arial" w:hAnsi="Arial"/>
          <w:sz w:val="18"/>
          <w:szCs w:val="18"/>
          <w:color w:val="auto"/>
        </w:rPr>
      </w:pPr>
    </w:p>
    <w:p>
      <w:pPr>
        <w:ind w:left="2540" w:hanging="559"/>
        <w:spacing w:after="0"/>
        <w:tabs>
          <w:tab w:leader="none" w:pos="2540" w:val="left"/>
        </w:tabs>
        <w:numPr>
          <w:ilvl w:val="0"/>
          <w:numId w:val="479"/>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27" w:lineRule="exact"/>
        <w:rPr>
          <w:sz w:val="20"/>
          <w:szCs w:val="20"/>
          <w:color w:val="auto"/>
        </w:rPr>
      </w:pPr>
    </w:p>
    <w:p>
      <w:pPr>
        <w:ind w:left="680" w:right="20" w:firstLine="648"/>
        <w:spacing w:after="0" w:line="229"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209" w:lineRule="exact"/>
        <w:rPr>
          <w:sz w:val="20"/>
          <w:szCs w:val="20"/>
          <w:color w:val="auto"/>
        </w:rPr>
      </w:pPr>
    </w:p>
    <w:p>
      <w:pPr>
        <w:ind w:left="680" w:right="100" w:firstLine="648"/>
        <w:spacing w:after="0" w:line="229" w:lineRule="auto"/>
        <w:rPr>
          <w:sz w:val="20"/>
          <w:szCs w:val="20"/>
          <w:color w:val="auto"/>
        </w:rPr>
      </w:pPr>
      <w:r>
        <w:rPr>
          <w:rFonts w:ascii="Arial" w:cs="Arial" w:eastAsia="Arial" w:hAnsi="Arial"/>
          <w:sz w:val="20"/>
          <w:szCs w:val="20"/>
          <w:color w:val="auto"/>
        </w:rPr>
        <w:t>“QFC” has the meaning assigned to the term “qualified financial contract” in, and shall be interpreted in accordance with, 12 U.S.C. 5390(c)(8)(D).</w:t>
      </w:r>
    </w:p>
    <w:p>
      <w:pPr>
        <w:spacing w:after="0" w:line="209" w:lineRule="exact"/>
        <w:rPr>
          <w:sz w:val="20"/>
          <w:szCs w:val="20"/>
          <w:color w:val="auto"/>
        </w:rPr>
      </w:pPr>
    </w:p>
    <w:p>
      <w:pPr>
        <w:ind w:left="680"/>
        <w:spacing w:after="0"/>
        <w:tabs>
          <w:tab w:leader="none" w:pos="2180" w:val="left"/>
        </w:tabs>
        <w:rPr>
          <w:sz w:val="20"/>
          <w:szCs w:val="20"/>
          <w:color w:val="auto"/>
        </w:rPr>
      </w:pPr>
      <w:r>
        <w:rPr>
          <w:rFonts w:ascii="Arial" w:cs="Arial" w:eastAsia="Arial" w:hAnsi="Arial"/>
          <w:sz w:val="20"/>
          <w:szCs w:val="20"/>
          <w:color w:val="auto"/>
        </w:rPr>
        <w:t>SECTION 12.25</w:t>
      </w:r>
      <w:r>
        <w:rPr>
          <w:sz w:val="20"/>
          <w:szCs w:val="20"/>
          <w:color w:val="auto"/>
        </w:rPr>
        <w:tab/>
      </w:r>
      <w:r>
        <w:rPr>
          <w:rFonts w:ascii="Arial" w:cs="Arial" w:eastAsia="Arial" w:hAnsi="Arial"/>
          <w:sz w:val="16"/>
          <w:szCs w:val="16"/>
          <w:color w:val="auto"/>
        </w:rPr>
        <w:t>Amendment and Restatement; No Novation</w:t>
      </w:r>
    </w:p>
    <w:p>
      <w:pPr>
        <w:spacing w:after="0" w:line="283" w:lineRule="exact"/>
        <w:rPr>
          <w:sz w:val="20"/>
          <w:szCs w:val="20"/>
          <w:color w:val="auto"/>
        </w:rPr>
      </w:pPr>
    </w:p>
    <w:p>
      <w:pPr>
        <w:jc w:val="both"/>
        <w:ind w:left="40" w:hanging="2"/>
        <w:spacing w:after="0" w:line="223" w:lineRule="auto"/>
        <w:tabs>
          <w:tab w:leader="none" w:pos="148" w:val="left"/>
        </w:tabs>
        <w:numPr>
          <w:ilvl w:val="0"/>
          <w:numId w:val="480"/>
        </w:numPr>
        <w:rPr>
          <w:rFonts w:ascii="Arial" w:cs="Arial" w:eastAsia="Arial" w:hAnsi="Arial"/>
          <w:sz w:val="19"/>
          <w:szCs w:val="19"/>
          <w:color w:val="auto"/>
        </w:rPr>
      </w:pPr>
      <w:r>
        <w:rPr>
          <w:rFonts w:ascii="Arial" w:cs="Arial" w:eastAsia="Arial" w:hAnsi="Arial"/>
          <w:sz w:val="19"/>
          <w:szCs w:val="19"/>
          <w:color w:val="auto"/>
        </w:rPr>
        <w:t>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Signature pages omitted</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Arial" w:cs="Arial" w:eastAsia="Arial" w:hAnsi="Arial"/>
          <w:sz w:val="14"/>
          <w:szCs w:val="14"/>
          <w:color w:val="FF0000"/>
          <w:strike w:val="1"/>
        </w:rPr>
        <w:t>146960219_6</w:t>
      </w:r>
    </w:p>
    <w:p>
      <w:pPr>
        <w:spacing w:after="0"/>
        <w:tabs>
          <w:tab w:leader="none" w:pos="4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3"/>
          <w:szCs w:val="13"/>
          <w:u w:val="single" w:color="auto"/>
          <w:color w:val="0000FF"/>
        </w:rPr>
        <w:t>165457743_4</w:t>
      </w:r>
    </w:p>
    <w:p>
      <w:pPr>
        <w:sectPr>
          <w:pgSz w:w="11900" w:h="16838" w:orient="portrait"/>
          <w:cols w:equalWidth="0" w:num="1">
            <w:col w:w="11080"/>
          </w:cols>
          <w:pgMar w:left="380" w:top="1405" w:right="439" w:bottom="1440" w:gutter="0" w:footer="0" w:header="0"/>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EXHIBIT B</w:t>
      </w:r>
    </w:p>
    <w:p>
      <w:pPr>
        <w:ind w:left="5500"/>
        <w:spacing w:after="0" w:line="211" w:lineRule="auto"/>
        <w:rPr>
          <w:sz w:val="20"/>
          <w:szCs w:val="20"/>
          <w:color w:val="auto"/>
        </w:rPr>
      </w:pPr>
      <w:r>
        <w:rPr>
          <w:rFonts w:ascii="Arial" w:cs="Arial" w:eastAsia="Arial" w:hAnsi="Arial"/>
          <w:sz w:val="20"/>
          <w:szCs w:val="20"/>
          <w:color w:val="auto"/>
        </w:rPr>
        <w:t>to</w:t>
      </w:r>
    </w:p>
    <w:p>
      <w:pPr>
        <w:ind w:left="2480"/>
        <w:spacing w:after="0" w:line="197" w:lineRule="auto"/>
        <w:rPr>
          <w:sz w:val="20"/>
          <w:szCs w:val="20"/>
          <w:color w:val="auto"/>
        </w:rPr>
      </w:pPr>
      <w:r>
        <w:rPr>
          <w:rFonts w:ascii="Arial" w:cs="Arial" w:eastAsia="Arial" w:hAnsi="Arial"/>
          <w:sz w:val="20"/>
          <w:szCs w:val="20"/>
          <w:color w:val="auto"/>
        </w:rPr>
        <w:t>Second Amended and Restated Credit Agreement dated as of August 27, 2021</w:t>
      </w:r>
    </w:p>
    <w:p>
      <w:pPr>
        <w:ind w:left="4220"/>
        <w:spacing w:after="0" w:line="211" w:lineRule="auto"/>
        <w:rPr>
          <w:sz w:val="20"/>
          <w:szCs w:val="20"/>
          <w:color w:val="auto"/>
        </w:rPr>
      </w:pPr>
      <w:r>
        <w:rPr>
          <w:rFonts w:ascii="Arial" w:cs="Arial" w:eastAsia="Arial" w:hAnsi="Arial"/>
          <w:sz w:val="20"/>
          <w:szCs w:val="20"/>
          <w:color w:val="auto"/>
        </w:rPr>
        <w:t>by and among Centuri Group, Inc.</w:t>
      </w:r>
    </w:p>
    <w:p>
      <w:pPr>
        <w:ind w:left="1760"/>
        <w:spacing w:after="0" w:line="223" w:lineRule="auto"/>
        <w:rPr>
          <w:sz w:val="20"/>
          <w:szCs w:val="20"/>
          <w:color w:val="auto"/>
        </w:rPr>
      </w:pPr>
      <w:r>
        <w:rPr>
          <w:rFonts w:ascii="Arial" w:cs="Arial" w:eastAsia="Arial" w:hAnsi="Arial"/>
          <w:sz w:val="19"/>
          <w:szCs w:val="19"/>
          <w:color w:val="auto"/>
        </w:rPr>
        <w:t>and each Additional Borrower that becomes a party thereto as a US Borrower, as US Borrowers,</w:t>
      </w:r>
    </w:p>
    <w:p>
      <w:pPr>
        <w:ind w:left="4420"/>
        <w:spacing w:after="0" w:line="197" w:lineRule="auto"/>
        <w:rPr>
          <w:sz w:val="20"/>
          <w:szCs w:val="20"/>
          <w:color w:val="auto"/>
        </w:rPr>
      </w:pPr>
      <w:r>
        <w:rPr>
          <w:rFonts w:ascii="Arial" w:cs="Arial" w:eastAsia="Arial" w:hAnsi="Arial"/>
          <w:sz w:val="20"/>
          <w:szCs w:val="20"/>
          <w:color w:val="auto"/>
        </w:rPr>
        <w:t>Centuri Canada Division Inc.</w:t>
      </w:r>
    </w:p>
    <w:p>
      <w:pPr>
        <w:jc w:val="right"/>
        <w:ind w:right="199"/>
        <w:spacing w:after="0" w:line="211" w:lineRule="auto"/>
        <w:rPr>
          <w:sz w:val="20"/>
          <w:szCs w:val="20"/>
          <w:color w:val="auto"/>
        </w:rPr>
      </w:pPr>
      <w:r>
        <w:rPr>
          <w:rFonts w:ascii="Arial" w:cs="Arial" w:eastAsia="Arial" w:hAnsi="Arial"/>
          <w:sz w:val="20"/>
          <w:szCs w:val="20"/>
          <w:color w:val="auto"/>
        </w:rPr>
        <w:t>and each Additional Borrower that becomes a party thereto as a Canadian Borrower, as Canadian Borrowers,</w:t>
      </w:r>
    </w:p>
    <w:p>
      <w:pPr>
        <w:ind w:left="4120"/>
        <w:spacing w:after="0" w:line="212" w:lineRule="auto"/>
        <w:rPr>
          <w:sz w:val="20"/>
          <w:szCs w:val="20"/>
          <w:color w:val="auto"/>
        </w:rPr>
      </w:pPr>
      <w:r>
        <w:rPr>
          <w:rFonts w:ascii="Arial" w:cs="Arial" w:eastAsia="Arial" w:hAnsi="Arial"/>
          <w:sz w:val="20"/>
          <w:szCs w:val="20"/>
          <w:color w:val="auto"/>
        </w:rPr>
        <w:t>the lenders party thereto, as Lenders,</w:t>
      </w:r>
    </w:p>
    <w:p>
      <w:pPr>
        <w:ind w:left="5440"/>
        <w:spacing w:after="0" w:line="197" w:lineRule="auto"/>
        <w:rPr>
          <w:sz w:val="20"/>
          <w:szCs w:val="20"/>
          <w:color w:val="auto"/>
        </w:rPr>
      </w:pPr>
      <w:r>
        <w:rPr>
          <w:rFonts w:ascii="Arial" w:cs="Arial" w:eastAsia="Arial" w:hAnsi="Arial"/>
          <w:sz w:val="20"/>
          <w:szCs w:val="20"/>
          <w:color w:val="auto"/>
        </w:rPr>
        <w:t>and</w:t>
      </w:r>
    </w:p>
    <w:p>
      <w:pPr>
        <w:jc w:val="center"/>
        <w:ind w:right="-1080"/>
        <w:spacing w:after="0"/>
        <w:rPr>
          <w:sz w:val="20"/>
          <w:szCs w:val="20"/>
          <w:color w:val="auto"/>
        </w:rPr>
      </w:pPr>
      <w:r>
        <w:rPr>
          <w:rFonts w:ascii="Arial" w:cs="Arial" w:eastAsia="Arial" w:hAnsi="Arial"/>
          <w:sz w:val="20"/>
          <w:szCs w:val="20"/>
          <w:color w:val="auto"/>
        </w:rPr>
        <w:t>Wells Fargo Bank, National Association, as Administrative Agent</w:t>
      </w:r>
    </w:p>
    <w:p>
      <w:pPr>
        <w:spacing w:after="0" w:line="20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FORM OF NOTICE OF BORROWING</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099"/>
          </w:cols>
          <w:pgMar w:left="360" w:top="1440" w:right="1440" w:bottom="1440" w:gutter="0" w:footer="0" w:header="0"/>
        </w:sectPr>
      </w:pPr>
    </w:p>
    <w:bookmarkStart w:id="262" w:name="page263"/>
    <w:bookmarkEnd w:id="262"/>
    <w:p>
      <w:pPr>
        <w:jc w:val="center"/>
        <w:ind w:right="-79"/>
        <w:spacing w:after="0"/>
        <w:rPr>
          <w:sz w:val="20"/>
          <w:szCs w:val="20"/>
          <w:color w:val="auto"/>
        </w:rPr>
      </w:pPr>
      <w:r>
        <w:rPr>
          <w:rFonts w:ascii="Arial" w:cs="Arial" w:eastAsia="Arial" w:hAnsi="Arial"/>
          <w:sz w:val="20"/>
          <w:szCs w:val="20"/>
          <w:color w:val="auto"/>
        </w:rPr>
        <w:t>NOTICE OF BORROWING</w:t>
      </w:r>
    </w:p>
    <w:p>
      <w:pPr>
        <w:spacing w:after="0" w:line="200" w:lineRule="exact"/>
        <w:rPr>
          <w:sz w:val="20"/>
          <w:szCs w:val="20"/>
          <w:color w:val="auto"/>
        </w:rPr>
      </w:pPr>
    </w:p>
    <w:p>
      <w:pPr>
        <w:spacing w:after="0" w:line="32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Dated as of:</w:t>
      </w:r>
    </w:p>
    <w:p>
      <w:pPr>
        <w:spacing w:after="0" w:line="2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Wells Fargo Bank, National Association, as Administrative Agent</w:t>
      </w:r>
    </w:p>
    <w:p>
      <w:pPr>
        <w:ind w:left="80"/>
        <w:spacing w:after="0" w:line="197" w:lineRule="auto"/>
        <w:rPr>
          <w:sz w:val="20"/>
          <w:szCs w:val="20"/>
          <w:color w:val="auto"/>
        </w:rPr>
      </w:pPr>
      <w:r>
        <w:rPr>
          <w:rFonts w:ascii="Arial" w:cs="Arial" w:eastAsia="Arial" w:hAnsi="Arial"/>
          <w:sz w:val="20"/>
          <w:szCs w:val="20"/>
          <w:color w:val="auto"/>
        </w:rPr>
        <w:t>MAC D 1109-019</w:t>
      </w:r>
    </w:p>
    <w:p>
      <w:pPr>
        <w:ind w:left="80"/>
        <w:spacing w:after="0"/>
        <w:rPr>
          <w:sz w:val="20"/>
          <w:szCs w:val="20"/>
          <w:color w:val="auto"/>
        </w:rPr>
      </w:pPr>
      <w:r>
        <w:rPr>
          <w:rFonts w:ascii="Arial" w:cs="Arial" w:eastAsia="Arial" w:hAnsi="Arial"/>
          <w:sz w:val="20"/>
          <w:szCs w:val="20"/>
          <w:color w:val="auto"/>
        </w:rPr>
        <w:t>1525 West W.T. Harris Blvd. Charlotte, North Carolina 28262</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Attention: Syndication Agency Services Ladies and Gentlemen:</w:t>
      </w:r>
    </w:p>
    <w:p>
      <w:pPr>
        <w:spacing w:after="0" w:line="108" w:lineRule="exact"/>
        <w:rPr>
          <w:sz w:val="20"/>
          <w:szCs w:val="20"/>
          <w:color w:val="auto"/>
        </w:rPr>
      </w:pPr>
    </w:p>
    <w:p>
      <w:pPr>
        <w:ind w:left="80" w:right="20" w:firstLine="648"/>
        <w:spacing w:after="0" w:line="236" w:lineRule="auto"/>
        <w:rPr>
          <w:sz w:val="20"/>
          <w:szCs w:val="20"/>
          <w:color w:val="auto"/>
        </w:rPr>
      </w:pPr>
      <w:r>
        <w:rPr>
          <w:rFonts w:ascii="Arial" w:cs="Arial" w:eastAsia="Arial" w:hAnsi="Arial"/>
          <w:sz w:val="18"/>
          <w:szCs w:val="18"/>
          <w:color w:val="auto"/>
        </w:rPr>
        <w:t>This irrevocable Notice of Borrowing is delivered to you pursuant to Section [2.3][5.13] of the Second Amended and Restated Credit Agreement, dated as of August 27, 2021 (as amended, amended and restated, supplemented or otherwise modified from time to</w:t>
      </w:r>
    </w:p>
    <w:p>
      <w:pPr>
        <w:ind w:left="80"/>
        <w:spacing w:after="0" w:line="235" w:lineRule="auto"/>
        <w:rPr>
          <w:sz w:val="20"/>
          <w:szCs w:val="20"/>
          <w:color w:val="auto"/>
        </w:rPr>
      </w:pPr>
      <w:r>
        <w:rPr>
          <w:rFonts w:ascii="Arial" w:cs="Arial" w:eastAsia="Arial" w:hAnsi="Arial"/>
          <w:sz w:val="18"/>
          <w:szCs w:val="18"/>
          <w:color w:val="auto"/>
        </w:rPr>
        <w:t>time, the “Credit Agreement”), by and among Centuri Group, Inc., a Nevada corporation (“Centuri”), and each Additional Borrower that</w:t>
      </w:r>
    </w:p>
    <w:p>
      <w:pPr>
        <w:ind w:left="80"/>
        <w:spacing w:after="0" w:line="226" w:lineRule="auto"/>
        <w:rPr>
          <w:sz w:val="20"/>
          <w:szCs w:val="20"/>
          <w:color w:val="auto"/>
        </w:rPr>
      </w:pPr>
      <w:r>
        <w:rPr>
          <w:rFonts w:ascii="Arial" w:cs="Arial" w:eastAsia="Arial" w:hAnsi="Arial"/>
          <w:sz w:val="18"/>
          <w:szCs w:val="18"/>
          <w:color w:val="auto"/>
        </w:rPr>
        <w:t>becomes a party thereto in accordance with Section 5.17 thereof (collectively, the “US Borrowers”), Centuri Canada Division Inc., a corporation organized under the laws of the Province of Ontario, Canada “Centuri Canada”), and each Additional Borrower that becomes a</w:t>
      </w:r>
    </w:p>
    <w:p>
      <w:pPr>
        <w:spacing w:after="0" w:line="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party thereto in accordance with Section 5.17 thereof (collectively, the “Canadian Borrowers”), the Lenders party thereto and Wells Fargo Bank, National Association, as Administrative Agent. Capitalized terms used herein and not defined herein shall have the meanings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assigned thereto in the Credit Agreement.</w:t>
      </w:r>
    </w:p>
    <w:p>
      <w:pPr>
        <w:spacing w:after="0" w:line="200" w:lineRule="exact"/>
        <w:rPr>
          <w:sz w:val="20"/>
          <w:szCs w:val="20"/>
          <w:color w:val="auto"/>
        </w:rPr>
      </w:pPr>
    </w:p>
    <w:p>
      <w:pPr>
        <w:jc w:val="both"/>
        <w:ind w:left="80" w:firstLine="644"/>
        <w:spacing w:after="0" w:line="218" w:lineRule="auto"/>
        <w:tabs>
          <w:tab w:leader="none" w:pos="1268" w:val="left"/>
        </w:tabs>
        <w:numPr>
          <w:ilvl w:val="0"/>
          <w:numId w:val="481"/>
        </w:numPr>
        <w:rPr>
          <w:rFonts w:ascii="Arial" w:cs="Arial" w:eastAsia="Arial" w:hAnsi="Arial"/>
          <w:sz w:val="20"/>
          <w:szCs w:val="20"/>
          <w:color w:val="auto"/>
        </w:rPr>
      </w:pPr>
      <w:r>
        <w:rPr>
          <w:rFonts w:ascii="Arial" w:cs="Arial" w:eastAsia="Arial" w:hAnsi="Arial"/>
          <w:sz w:val="20"/>
          <w:szCs w:val="20"/>
          <w:color w:val="auto"/>
        </w:rPr>
        <w:t xml:space="preserve">[Centuri][INSERT EACH ADDITIONAL US BORROWER][Centuri Canada][INSERT EACH ADDITIONAL CANADIAN BORROWER] hereby request[s] that the Lenders make [a US Revolving Credit Loan][a US Swingline Loan][a Canadian Revolving Credit Loan][a Canadian Swingline Loan][an Incremental Term Loan] to [Centuri][INSERT EACH ADDITIONAL US BORROWER][Centuri Canada][INSERT EACH ADDITIONAL CANADIAN BORROWER] in the aggregate principal amount of [$] [C$]_ . </w:t>
      </w:r>
      <w:r>
        <w:rPr>
          <w:rFonts w:ascii="Arial" w:cs="Arial" w:eastAsia="Arial" w:hAnsi="Arial"/>
          <w:sz w:val="16"/>
          <w:szCs w:val="16"/>
          <w:color w:val="auto"/>
        </w:rPr>
        <w:t>(Complete with an amount in accordance with</w:t>
      </w:r>
      <w:r>
        <w:rPr>
          <w:rFonts w:ascii="Arial" w:cs="Arial" w:eastAsia="Arial" w:hAnsi="Arial"/>
          <w:sz w:val="20"/>
          <w:szCs w:val="20"/>
          <w:color w:val="auto"/>
        </w:rPr>
        <w:t xml:space="preserve"> </w:t>
      </w:r>
      <w:r>
        <w:rPr>
          <w:rFonts w:ascii="Arial" w:cs="Arial" w:eastAsia="Arial" w:hAnsi="Arial"/>
          <w:sz w:val="16"/>
          <w:szCs w:val="16"/>
          <w:u w:val="single" w:color="auto"/>
          <w:color w:val="auto"/>
        </w:rPr>
        <w:t>Section 2.3</w:t>
      </w:r>
      <w:r>
        <w:rPr>
          <w:rFonts w:ascii="Arial" w:cs="Arial" w:eastAsia="Arial" w:hAnsi="Arial"/>
          <w:sz w:val="20"/>
          <w:szCs w:val="20"/>
          <w:color w:val="auto"/>
        </w:rPr>
        <w:t xml:space="preserve"> </w:t>
      </w:r>
      <w:r>
        <w:rPr>
          <w:rFonts w:ascii="Arial" w:cs="Arial" w:eastAsia="Arial" w:hAnsi="Arial"/>
          <w:sz w:val="16"/>
          <w:szCs w:val="16"/>
          <w:color w:val="auto"/>
        </w:rPr>
        <w:t>or</w:t>
      </w:r>
      <w:r>
        <w:rPr>
          <w:rFonts w:ascii="Arial" w:cs="Arial" w:eastAsia="Arial" w:hAnsi="Arial"/>
          <w:sz w:val="20"/>
          <w:szCs w:val="20"/>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color w:val="auto"/>
        </w:rPr>
        <w:t>3, as applicable, of the Credit Agreement.)</w:t>
      </w:r>
    </w:p>
    <w:p>
      <w:pPr>
        <w:spacing w:after="0" w:line="197" w:lineRule="exact"/>
        <w:rPr>
          <w:rFonts w:ascii="Arial" w:cs="Arial" w:eastAsia="Arial" w:hAnsi="Arial"/>
          <w:sz w:val="20"/>
          <w:szCs w:val="20"/>
          <w:color w:val="auto"/>
        </w:rPr>
      </w:pPr>
    </w:p>
    <w:p>
      <w:pPr>
        <w:ind w:left="80" w:right="20" w:firstLine="644"/>
        <w:spacing w:after="0" w:line="236" w:lineRule="auto"/>
        <w:tabs>
          <w:tab w:leader="none" w:pos="1268" w:val="left"/>
        </w:tabs>
        <w:numPr>
          <w:ilvl w:val="0"/>
          <w:numId w:val="481"/>
        </w:numPr>
        <w:rPr>
          <w:rFonts w:ascii="Arial" w:cs="Arial" w:eastAsia="Arial" w:hAnsi="Arial"/>
          <w:sz w:val="20"/>
          <w:szCs w:val="20"/>
          <w:color w:val="auto"/>
        </w:rPr>
      </w:pPr>
      <w:r>
        <w:rPr>
          <w:rFonts w:ascii="Arial" w:cs="Arial" w:eastAsia="Arial" w:hAnsi="Arial"/>
          <w:sz w:val="20"/>
          <w:szCs w:val="20"/>
          <w:color w:val="auto"/>
        </w:rPr>
        <w:t>[Centuri][INSERT EACH ADDITIONAL US BORROWER][Centuri Canada][INSERT EACH ADDITIONAL CANADIAN BORROWER] hereby request[s] that such Loan(s) be made on the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1100"/>
          </w:cols>
          <w:pgMar w:left="360" w:top="1405" w:right="439" w:bottom="1440" w:gutter="0" w:footer="0" w:header="0"/>
        </w:sectPr>
      </w:pPr>
    </w:p>
    <w:bookmarkStart w:id="263" w:name="page264"/>
    <w:bookmarkEnd w:id="263"/>
    <w:p>
      <w:pPr>
        <w:ind w:left="80"/>
        <w:spacing w:after="0"/>
        <w:tabs>
          <w:tab w:leader="none" w:pos="6800" w:val="left"/>
        </w:tabs>
        <w:rPr>
          <w:sz w:val="20"/>
          <w:szCs w:val="20"/>
          <w:color w:val="auto"/>
        </w:rPr>
      </w:pPr>
      <w:r>
        <w:rPr>
          <w:rFonts w:ascii="Arial" w:cs="Arial" w:eastAsia="Arial" w:hAnsi="Arial"/>
          <w:sz w:val="20"/>
          <w:szCs w:val="20"/>
          <w:color w:val="auto"/>
        </w:rPr>
        <w:t>following Business Day:</w:t>
      </w:r>
      <w:r>
        <w:rPr>
          <w:sz w:val="20"/>
          <w:szCs w:val="20"/>
          <w:color w:val="auto"/>
        </w:rPr>
        <w:tab/>
      </w:r>
      <w:r>
        <w:rPr>
          <w:rFonts w:ascii="Arial" w:cs="Arial" w:eastAsia="Arial" w:hAnsi="Arial"/>
          <w:sz w:val="18"/>
          <w:szCs w:val="18"/>
          <w:color w:val="auto"/>
        </w:rPr>
        <w:t xml:space="preserve">. </w:t>
      </w:r>
      <w:r>
        <w:rPr>
          <w:rFonts w:ascii="Arial" w:cs="Arial" w:eastAsia="Arial" w:hAnsi="Arial"/>
          <w:sz w:val="14"/>
          <w:szCs w:val="14"/>
          <w:color w:val="auto"/>
        </w:rPr>
        <w:t>(Complete with a Business Day in accordance with</w:t>
      </w:r>
      <w:r>
        <w:rPr>
          <w:rFonts w:ascii="Arial" w:cs="Arial" w:eastAsia="Arial" w:hAnsi="Arial"/>
          <w:sz w:val="18"/>
          <w:szCs w:val="18"/>
          <w:color w:val="auto"/>
        </w:rPr>
        <w:t xml:space="preserve"> </w:t>
      </w:r>
      <w:r>
        <w:rPr>
          <w:rFonts w:ascii="Arial" w:cs="Arial" w:eastAsia="Arial" w:hAnsi="Arial"/>
          <w:sz w:val="14"/>
          <w:szCs w:val="14"/>
          <w:u w:val="single" w:color="auto"/>
          <w:color w:val="auto"/>
        </w:rPr>
        <w:t>Section 2.3</w:t>
      </w:r>
    </w:p>
    <w:p>
      <w:pPr>
        <w:spacing w:after="0" w:line="223" w:lineRule="exact"/>
        <w:rPr>
          <w:sz w:val="20"/>
          <w:szCs w:val="20"/>
          <w:color w:val="auto"/>
        </w:rPr>
      </w:pPr>
    </w:p>
    <w:p>
      <w:pPr>
        <w:ind w:left="80" w:right="160"/>
        <w:spacing w:after="0"/>
        <w:rPr>
          <w:sz w:val="20"/>
          <w:szCs w:val="20"/>
          <w:color w:val="auto"/>
        </w:rPr>
      </w:pPr>
      <w:r>
        <w:rPr>
          <w:rFonts w:ascii="Arial" w:cs="Arial" w:eastAsia="Arial" w:hAnsi="Arial"/>
          <w:sz w:val="16"/>
          <w:szCs w:val="16"/>
          <w:color w:val="auto"/>
        </w:rPr>
        <w:t xml:space="preserve">of the Credit Agreement for US Revolving Credit Loans, Canadian Revolving Credit Loans, US Swingline Loans and Canadian Swingline Loans or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the Credit Agreement for an Incremental Term Loan).</w:t>
      </w:r>
    </w:p>
    <w:p>
      <w:pPr>
        <w:spacing w:after="0" w:line="260" w:lineRule="exact"/>
        <w:rPr>
          <w:sz w:val="20"/>
          <w:szCs w:val="20"/>
          <w:color w:val="auto"/>
        </w:rPr>
      </w:pPr>
    </w:p>
    <w:p>
      <w:pPr>
        <w:jc w:val="both"/>
        <w:ind w:left="80" w:firstLine="644"/>
        <w:spacing w:after="0" w:line="223" w:lineRule="auto"/>
        <w:tabs>
          <w:tab w:leader="none" w:pos="1268" w:val="left"/>
        </w:tabs>
        <w:numPr>
          <w:ilvl w:val="0"/>
          <w:numId w:val="482"/>
        </w:numPr>
        <w:rPr>
          <w:rFonts w:ascii="Arial" w:cs="Arial" w:eastAsia="Arial" w:hAnsi="Arial"/>
          <w:sz w:val="20"/>
          <w:szCs w:val="20"/>
          <w:color w:val="auto"/>
        </w:rPr>
      </w:pPr>
      <w:r>
        <w:rPr>
          <w:rFonts w:ascii="Arial" w:cs="Arial" w:eastAsia="Arial" w:hAnsi="Arial"/>
          <w:sz w:val="20"/>
          <w:szCs w:val="20"/>
          <w:color w:val="auto"/>
        </w:rPr>
        <w:t>[Centuri][INSERT EACH ADDITIONAL US BORROWER][Centuri Canada][INSERT EACH ADDITIONAL CANADIAN BORROWER] hereby request[s] that such Loan(s) bear interest at the following interest rate, plus the Applicable Margin, as set forth below:</w:t>
      </w:r>
    </w:p>
    <w:p>
      <w:pPr>
        <w:spacing w:after="0" w:line="172"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400" w:type="dxa"/>
            <w:vAlign w:val="bottom"/>
            <w:vMerge w:val="restart"/>
          </w:tcPr>
          <w:p>
            <w:pPr>
              <w:spacing w:after="0"/>
              <w:rPr>
                <w:sz w:val="20"/>
                <w:szCs w:val="20"/>
                <w:color w:val="auto"/>
              </w:rPr>
            </w:pPr>
            <w:r>
              <w:rPr>
                <w:rFonts w:ascii="Arial" w:cs="Arial" w:eastAsia="Arial" w:hAnsi="Arial"/>
                <w:sz w:val="20"/>
                <w:szCs w:val="20"/>
                <w:color w:val="auto"/>
              </w:rPr>
              <w:t>Component</w:t>
            </w:r>
          </w:p>
        </w:tc>
        <w:tc>
          <w:tcPr>
            <w:tcW w:w="5240" w:type="dxa"/>
            <w:vAlign w:val="bottom"/>
          </w:tcPr>
          <w:p>
            <w:pPr>
              <w:ind w:left="2580"/>
              <w:spacing w:after="0"/>
              <w:rPr>
                <w:sz w:val="20"/>
                <w:szCs w:val="20"/>
                <w:color w:val="auto"/>
              </w:rPr>
            </w:pPr>
            <w:r>
              <w:rPr>
                <w:rFonts w:ascii="Arial" w:cs="Arial" w:eastAsia="Arial" w:hAnsi="Arial"/>
                <w:sz w:val="20"/>
                <w:szCs w:val="20"/>
                <w:color w:val="auto"/>
              </w:rPr>
              <w:t>Interest Period</w:t>
            </w:r>
          </w:p>
        </w:tc>
        <w:tc>
          <w:tcPr>
            <w:tcW w:w="0" w:type="dxa"/>
            <w:vAlign w:val="bottom"/>
          </w:tcPr>
          <w:p>
            <w:pPr>
              <w:spacing w:after="0"/>
              <w:rPr>
                <w:sz w:val="1"/>
                <w:szCs w:val="1"/>
                <w:color w:val="auto"/>
              </w:rPr>
            </w:pPr>
          </w:p>
        </w:tc>
      </w:tr>
      <w:tr>
        <w:trPr>
          <w:trHeight w:val="126"/>
        </w:trPr>
        <w:tc>
          <w:tcPr>
            <w:tcW w:w="4400" w:type="dxa"/>
            <w:vAlign w:val="bottom"/>
            <w:vMerge w:val="continue"/>
          </w:tcPr>
          <w:p>
            <w:pPr>
              <w:spacing w:after="0"/>
              <w:rPr>
                <w:sz w:val="10"/>
                <w:szCs w:val="10"/>
                <w:color w:val="auto"/>
              </w:rPr>
            </w:pPr>
          </w:p>
        </w:tc>
        <w:tc>
          <w:tcPr>
            <w:tcW w:w="5240" w:type="dxa"/>
            <w:vAlign w:val="bottom"/>
            <w:vMerge w:val="restart"/>
          </w:tcPr>
          <w:p>
            <w:pPr>
              <w:ind w:left="2580"/>
              <w:spacing w:after="0"/>
              <w:rPr>
                <w:sz w:val="20"/>
                <w:szCs w:val="20"/>
                <w:color w:val="auto"/>
              </w:rPr>
            </w:pPr>
            <w:r>
              <w:rPr>
                <w:rFonts w:ascii="Arial" w:cs="Arial" w:eastAsia="Arial" w:hAnsi="Arial"/>
                <w:sz w:val="20"/>
                <w:szCs w:val="20"/>
                <w:color w:val="auto"/>
                <w:w w:val="89"/>
              </w:rPr>
              <w:t>(Term SOFR and/or CDOR Rate)</w:t>
            </w:r>
          </w:p>
        </w:tc>
        <w:tc>
          <w:tcPr>
            <w:tcW w:w="0" w:type="dxa"/>
            <w:vAlign w:val="bottom"/>
          </w:tcPr>
          <w:p>
            <w:pPr>
              <w:spacing w:after="0"/>
              <w:rPr>
                <w:sz w:val="1"/>
                <w:szCs w:val="1"/>
                <w:color w:val="auto"/>
              </w:rPr>
            </w:pPr>
          </w:p>
        </w:tc>
      </w:tr>
      <w:tr>
        <w:trPr>
          <w:trHeight w:val="125"/>
        </w:trPr>
        <w:tc>
          <w:tcPr>
            <w:tcW w:w="4400" w:type="dxa"/>
            <w:vAlign w:val="bottom"/>
            <w:vMerge w:val="restart"/>
          </w:tcPr>
          <w:p>
            <w:pPr>
              <w:spacing w:after="0"/>
              <w:rPr>
                <w:sz w:val="20"/>
                <w:szCs w:val="20"/>
                <w:color w:val="auto"/>
              </w:rPr>
            </w:pPr>
            <w:r>
              <w:rPr>
                <w:rFonts w:ascii="Arial" w:cs="Arial" w:eastAsia="Arial" w:hAnsi="Arial"/>
                <w:sz w:val="20"/>
                <w:szCs w:val="20"/>
                <w:color w:val="auto"/>
              </w:rPr>
              <w:t>of Loan</w:t>
            </w:r>
            <w:r>
              <w:rPr>
                <w:rFonts w:ascii="Arial" w:cs="Arial" w:eastAsia="Arial" w:hAnsi="Arial"/>
                <w:sz w:val="12"/>
                <w:szCs w:val="12"/>
                <w:color w:val="auto"/>
              </w:rPr>
              <w:t>1</w:t>
            </w:r>
            <w:r>
              <w:rPr>
                <w:rFonts w:ascii="Arial" w:cs="Arial" w:eastAsia="Arial" w:hAnsi="Arial"/>
                <w:sz w:val="20"/>
                <w:szCs w:val="20"/>
                <w:color w:val="auto"/>
              </w:rPr>
              <w:t xml:space="preserve">  Interest Rate</w:t>
            </w: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400" w:type="dxa"/>
            <w:vAlign w:val="bottom"/>
            <w:vMerge w:val="continue"/>
          </w:tcPr>
          <w:p>
            <w:pPr>
              <w:spacing w:after="0"/>
              <w:rPr>
                <w:sz w:val="11"/>
                <w:szCs w:val="11"/>
                <w:color w:val="auto"/>
              </w:rPr>
            </w:pPr>
          </w:p>
        </w:tc>
        <w:tc>
          <w:tcPr>
            <w:tcW w:w="5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675005</wp:posOffset>
            </wp:positionV>
            <wp:extent cx="16459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Complete with the Dollar amount of that portion of the overall Loan requested that is to bear interest at the selected interest rate and/or Interest Period</w:t>
      </w:r>
    </w:p>
    <w:p>
      <w:pPr>
        <w:spacing w:after="0" w:line="21"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(e.g., for a $20,000,000 loan, $5,000,000 may be requested at Base Rate, $8,000,000 may be requested at Term SOFR with an interest period of three months and $7,000,000 may be requested at Term SOFR with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1100"/>
          </w:cols>
          <w:pgMar w:left="360" w:top="757" w:right="439" w:bottom="1440" w:gutter="0" w:footer="0" w:header="0"/>
        </w:sectPr>
      </w:pPr>
    </w:p>
    <w:bookmarkStart w:id="264" w:name="page265"/>
    <w:bookmarkEnd w:id="264"/>
    <w:p>
      <w:pPr>
        <w:ind w:left="148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Base Rate][Canadian Base Rate][Adjusted Term SOFR][CDOR Rate]</w:t>
      </w:r>
      <w:r>
        <w:rPr>
          <w:rFonts w:ascii="Arial" w:cs="Arial" w:eastAsia="Arial" w:hAnsi="Arial"/>
          <w:sz w:val="12"/>
          <w:szCs w:val="12"/>
          <w:color w:val="auto"/>
        </w:rPr>
        <w:t>2</w:t>
      </w:r>
    </w:p>
    <w:p>
      <w:pPr>
        <w:spacing w:after="0" w:line="222" w:lineRule="exact"/>
        <w:rPr>
          <w:sz w:val="20"/>
          <w:szCs w:val="20"/>
          <w:color w:val="auto"/>
        </w:rPr>
      </w:pPr>
    </w:p>
    <w:p>
      <w:pPr>
        <w:ind w:left="80" w:firstLine="644"/>
        <w:spacing w:after="0" w:line="285" w:lineRule="auto"/>
        <w:tabs>
          <w:tab w:leader="none" w:pos="126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aggregate principal amount of all Loans and L/C Obligations outstanding as of the date hereof (including the Loan(s) requested herein) does not exceed the maximum amount permitted to be outstanding pursuant to the terms of the Credit Agreement.</w:t>
      </w:r>
    </w:p>
    <w:p>
      <w:pPr>
        <w:spacing w:after="0" w:line="156" w:lineRule="exact"/>
        <w:rPr>
          <w:rFonts w:ascii="Arial" w:cs="Arial" w:eastAsia="Arial" w:hAnsi="Arial"/>
          <w:sz w:val="18"/>
          <w:szCs w:val="18"/>
          <w:color w:val="auto"/>
        </w:rPr>
      </w:pPr>
    </w:p>
    <w:p>
      <w:pPr>
        <w:ind w:left="80" w:right="20" w:firstLine="644"/>
        <w:spacing w:after="0" w:line="236" w:lineRule="auto"/>
        <w:tabs>
          <w:tab w:leader="none" w:pos="1268" w:val="left"/>
        </w:tabs>
        <w:numPr>
          <w:ilvl w:val="0"/>
          <w:numId w:val="483"/>
        </w:numPr>
        <w:rPr>
          <w:rFonts w:ascii="Arial" w:cs="Arial" w:eastAsia="Arial" w:hAnsi="Arial"/>
          <w:sz w:val="20"/>
          <w:szCs w:val="20"/>
          <w:color w:val="auto"/>
        </w:rPr>
      </w:pPr>
      <w:r>
        <w:rPr>
          <w:rFonts w:ascii="Arial" w:cs="Arial" w:eastAsia="Arial" w:hAnsi="Arial"/>
          <w:sz w:val="20"/>
          <w:szCs w:val="20"/>
          <w:color w:val="auto"/>
        </w:rPr>
        <w:t>All of the conditions applicable to the Loan(s) requested herein as set forth in the Credit Agreement have been satisfied as of the date hereof and will remain satisfied to the date of such Loan.</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6019800</wp:posOffset>
            </wp:positionV>
            <wp:extent cx="16459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
        <w:spacing w:after="0" w:line="248" w:lineRule="auto"/>
        <w:rPr>
          <w:sz w:val="20"/>
          <w:szCs w:val="20"/>
          <w:color w:val="auto"/>
        </w:rPr>
      </w:pPr>
      <w:r>
        <w:rPr>
          <w:rFonts w:ascii="Arial" w:cs="Arial" w:eastAsia="Arial" w:hAnsi="Arial"/>
          <w:sz w:val="11"/>
          <w:szCs w:val="11"/>
          <w:color w:val="auto"/>
        </w:rPr>
        <w:t xml:space="preserve">2 </w:t>
      </w:r>
      <w:r>
        <w:rPr>
          <w:rFonts w:ascii="Arial" w:cs="Arial" w:eastAsia="Arial" w:hAnsi="Arial"/>
          <w:sz w:val="16"/>
          <w:szCs w:val="16"/>
          <w:color w:val="auto"/>
        </w:rPr>
        <w:t>Complete with (i) the Base Rate or Adjusted Term SOFR for US Revolving Credit Loans, (ii) the Canadian Base Rate or CDOR Rate for Canadian</w:t>
      </w:r>
      <w:r>
        <w:rPr>
          <w:rFonts w:ascii="Arial" w:cs="Arial" w:eastAsia="Arial" w:hAnsi="Arial"/>
          <w:sz w:val="11"/>
          <w:szCs w:val="11"/>
          <w:color w:val="auto"/>
        </w:rPr>
        <w:t xml:space="preserve"> </w:t>
      </w:r>
      <w:r>
        <w:rPr>
          <w:rFonts w:ascii="Arial" w:cs="Arial" w:eastAsia="Arial" w:hAnsi="Arial"/>
          <w:sz w:val="16"/>
          <w:szCs w:val="16"/>
          <w:color w:val="auto"/>
        </w:rPr>
        <w:t>Revolving Credit Loans, (iii) the Base Rate, Canadian Base Rate, Adjusted Term SOFR or CDOR Rate for any Incremental Term Loan, (v) the Base</w:t>
      </w:r>
    </w:p>
    <w:p>
      <w:pPr>
        <w:ind w:left="80"/>
        <w:spacing w:after="0"/>
        <w:rPr>
          <w:sz w:val="20"/>
          <w:szCs w:val="20"/>
          <w:color w:val="auto"/>
        </w:rPr>
      </w:pPr>
      <w:r>
        <w:rPr>
          <w:rFonts w:ascii="Arial" w:cs="Arial" w:eastAsia="Arial" w:hAnsi="Arial"/>
          <w:sz w:val="18"/>
          <w:szCs w:val="18"/>
          <w:color w:val="auto"/>
        </w:rPr>
        <w:t>Rate for US Swingline Loans and (vi) the Canadian Base Rate for Canadian Swingline Loans.</w:t>
      </w:r>
    </w:p>
    <w:p>
      <w:pPr>
        <w:sectPr>
          <w:pgSz w:w="11900" w:h="16838" w:orient="portrait"/>
          <w:cols w:equalWidth="0" w:num="1">
            <w:col w:w="11100"/>
          </w:cols>
          <w:pgMar w:left="360" w:top="1426" w:right="4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color w:val="auto"/>
        </w:rPr>
        <w:t>166115119_2</w:t>
      </w:r>
    </w:p>
    <w:p>
      <w:pPr>
        <w:sectPr>
          <w:pgSz w:w="11900" w:h="16838" w:orient="portrait"/>
          <w:cols w:equalWidth="0" w:num="1">
            <w:col w:w="11100"/>
          </w:cols>
          <w:pgMar w:left="360" w:top="1426" w:right="439" w:bottom="1440" w:gutter="0" w:footer="0" w:header="0"/>
          <w:type w:val="continuous"/>
        </w:sectPr>
      </w:pPr>
    </w:p>
    <w:bookmarkStart w:id="265" w:name="page266"/>
    <w:bookmarkEnd w:id="265"/>
    <w:p>
      <w:pPr>
        <w:ind w:left="720"/>
        <w:spacing w:after="0"/>
        <w:rPr>
          <w:sz w:val="20"/>
          <w:szCs w:val="20"/>
          <w:color w:val="auto"/>
        </w:rPr>
      </w:pPr>
      <w:r>
        <w:rPr>
          <w:rFonts w:ascii="Arial" w:cs="Arial" w:eastAsia="Arial" w:hAnsi="Arial"/>
          <w:sz w:val="18"/>
          <w:szCs w:val="18"/>
          <w:color w:val="auto"/>
        </w:rPr>
        <w:t>IN WITNESS WHEREOF, the undersigned has executed this Notice of Borrowing as of the day and year first written above.</w:t>
      </w:r>
    </w:p>
    <w:p>
      <w:pPr>
        <w:spacing w:after="0" w:line="200" w:lineRule="exact"/>
        <w:rPr>
          <w:sz w:val="20"/>
          <w:szCs w:val="20"/>
          <w:color w:val="auto"/>
        </w:rPr>
      </w:pPr>
    </w:p>
    <w:p>
      <w:pPr>
        <w:spacing w:after="0" w:line="28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[CENTURI GROUP, INC., as [a] US Borrower</w:t>
      </w:r>
    </w:p>
    <w:p>
      <w:pPr>
        <w:spacing w:after="0" w:line="200" w:lineRule="exact"/>
        <w:rPr>
          <w:sz w:val="20"/>
          <w:szCs w:val="20"/>
          <w:color w:val="auto"/>
        </w:rPr>
      </w:pPr>
    </w:p>
    <w:p>
      <w:pPr>
        <w:spacing w:after="0" w:line="2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 Name:</w:t>
      </w:r>
    </w:p>
    <w:p>
      <w:pPr>
        <w:ind w:left="4080"/>
        <w:spacing w:after="0"/>
        <w:tabs>
          <w:tab w:leader="none" w:pos="468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8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[[INSERT EACH ADDITIONAL US BORROWER],</w:t>
      </w:r>
    </w:p>
    <w:p>
      <w:pPr>
        <w:ind w:left="4080"/>
        <w:spacing w:after="0"/>
        <w:rPr>
          <w:sz w:val="20"/>
          <w:szCs w:val="20"/>
          <w:color w:val="auto"/>
        </w:rPr>
      </w:pPr>
      <w:r>
        <w:rPr>
          <w:rFonts w:ascii="Arial" w:cs="Arial" w:eastAsia="Arial" w:hAnsi="Arial"/>
          <w:sz w:val="20"/>
          <w:szCs w:val="20"/>
          <w:color w:val="auto"/>
        </w:rPr>
        <w:t>as a US Borrower</w:t>
      </w: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 Name:</w:t>
      </w:r>
    </w:p>
    <w:p>
      <w:pPr>
        <w:ind w:left="4080"/>
        <w:spacing w:after="0"/>
        <w:tabs>
          <w:tab w:leader="none" w:pos="468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9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[CENTURI CANADA DIVISION INC., as [a]</w:t>
      </w:r>
    </w:p>
    <w:p>
      <w:pPr>
        <w:ind w:left="4080"/>
        <w:spacing w:after="0"/>
        <w:rPr>
          <w:sz w:val="20"/>
          <w:szCs w:val="20"/>
          <w:color w:val="auto"/>
        </w:rPr>
      </w:pPr>
      <w:r>
        <w:rPr>
          <w:rFonts w:ascii="Arial" w:cs="Arial" w:eastAsia="Arial" w:hAnsi="Arial"/>
          <w:sz w:val="20"/>
          <w:szCs w:val="20"/>
          <w:color w:val="auto"/>
        </w:rPr>
        <w:t>Canadian Borrower</w:t>
      </w:r>
    </w:p>
    <w:p>
      <w:pPr>
        <w:spacing w:after="0" w:line="200" w:lineRule="exact"/>
        <w:rPr>
          <w:sz w:val="20"/>
          <w:szCs w:val="20"/>
          <w:color w:val="auto"/>
        </w:rPr>
      </w:pPr>
    </w:p>
    <w:p>
      <w:pPr>
        <w:spacing w:after="0" w:line="21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 Name:</w:t>
      </w:r>
    </w:p>
    <w:p>
      <w:pPr>
        <w:ind w:left="4080"/>
        <w:spacing w:after="0"/>
        <w:tabs>
          <w:tab w:leader="none" w:pos="468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32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[[INSERT EACH ADDITIONAL CANADIAN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BORROWER], as a Canadian Borrower</w:t>
      </w:r>
    </w:p>
    <w:p>
      <w:pPr>
        <w:spacing w:after="0" w:line="200" w:lineRule="exact"/>
        <w:rPr>
          <w:sz w:val="20"/>
          <w:szCs w:val="20"/>
          <w:color w:val="auto"/>
        </w:rPr>
      </w:pPr>
    </w:p>
    <w:p>
      <w:pPr>
        <w:spacing w:after="0" w:line="24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 Name:</w:t>
      </w:r>
    </w:p>
    <w:p>
      <w:pPr>
        <w:ind w:left="4080"/>
        <w:spacing w:after="0"/>
        <w:tabs>
          <w:tab w:leader="none" w:pos="468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620"/>
          </w:cols>
          <w:pgMar w:left="360" w:top="1405" w:right="919" w:bottom="1440" w:gutter="0" w:footer="0" w:header="0"/>
        </w:sectPr>
      </w:pPr>
    </w:p>
    <w:bookmarkStart w:id="266" w:name="page267"/>
    <w:bookmarkEnd w:id="266"/>
    <w:p>
      <w:pPr>
        <w:ind w:left="5100"/>
        <w:spacing w:after="0"/>
        <w:rPr>
          <w:sz w:val="20"/>
          <w:szCs w:val="20"/>
          <w:color w:val="auto"/>
        </w:rPr>
      </w:pPr>
      <w:r>
        <w:rPr>
          <w:rFonts w:ascii="Arial" w:cs="Arial" w:eastAsia="Arial" w:hAnsi="Arial"/>
          <w:sz w:val="20"/>
          <w:szCs w:val="20"/>
          <w:color w:val="auto"/>
        </w:rPr>
        <w:t>EXHIBIT D</w:t>
      </w:r>
    </w:p>
    <w:p>
      <w:pPr>
        <w:ind w:left="5500"/>
        <w:spacing w:after="0" w:line="227" w:lineRule="auto"/>
        <w:rPr>
          <w:sz w:val="20"/>
          <w:szCs w:val="20"/>
          <w:color w:val="auto"/>
        </w:rPr>
      </w:pPr>
      <w:r>
        <w:rPr>
          <w:rFonts w:ascii="Arial" w:cs="Arial" w:eastAsia="Arial" w:hAnsi="Arial"/>
          <w:sz w:val="20"/>
          <w:szCs w:val="20"/>
          <w:color w:val="auto"/>
        </w:rPr>
        <w:t>to</w:t>
      </w:r>
    </w:p>
    <w:p>
      <w:pPr>
        <w:ind w:left="2480"/>
        <w:spacing w:after="0" w:line="197" w:lineRule="auto"/>
        <w:rPr>
          <w:sz w:val="20"/>
          <w:szCs w:val="20"/>
          <w:color w:val="auto"/>
        </w:rPr>
      </w:pPr>
      <w:r>
        <w:rPr>
          <w:rFonts w:ascii="Arial" w:cs="Arial" w:eastAsia="Arial" w:hAnsi="Arial"/>
          <w:sz w:val="20"/>
          <w:szCs w:val="20"/>
          <w:color w:val="auto"/>
        </w:rPr>
        <w:t>Second Amended and Restated Credit Agreement dated as of August 27, 2021</w:t>
      </w:r>
    </w:p>
    <w:p>
      <w:pPr>
        <w:jc w:val="center"/>
        <w:ind w:right="-1080"/>
        <w:spacing w:after="0" w:line="212" w:lineRule="auto"/>
        <w:rPr>
          <w:sz w:val="20"/>
          <w:szCs w:val="20"/>
          <w:color w:val="auto"/>
        </w:rPr>
      </w:pPr>
      <w:r>
        <w:rPr>
          <w:rFonts w:ascii="Arial" w:cs="Arial" w:eastAsia="Arial" w:hAnsi="Arial"/>
          <w:sz w:val="20"/>
          <w:szCs w:val="20"/>
          <w:color w:val="auto"/>
        </w:rPr>
        <w:t>by and among Centuri Group, Inc.</w:t>
      </w:r>
    </w:p>
    <w:p>
      <w:pPr>
        <w:jc w:val="center"/>
        <w:ind w:right="-1080"/>
        <w:spacing w:after="0" w:line="225" w:lineRule="auto"/>
        <w:rPr>
          <w:sz w:val="20"/>
          <w:szCs w:val="20"/>
          <w:color w:val="auto"/>
        </w:rPr>
      </w:pPr>
      <w:r>
        <w:rPr>
          <w:rFonts w:ascii="Arial" w:cs="Arial" w:eastAsia="Arial" w:hAnsi="Arial"/>
          <w:sz w:val="20"/>
          <w:szCs w:val="20"/>
          <w:color w:val="auto"/>
        </w:rPr>
        <w:t>and each Additional Borrower that becomes a party thereto as a US Borrower, as US Borrowers,</w:t>
      </w:r>
    </w:p>
    <w:p>
      <w:pPr>
        <w:ind w:left="4420"/>
        <w:spacing w:after="0" w:line="225" w:lineRule="auto"/>
        <w:rPr>
          <w:sz w:val="20"/>
          <w:szCs w:val="20"/>
          <w:color w:val="auto"/>
        </w:rPr>
      </w:pPr>
      <w:r>
        <w:rPr>
          <w:rFonts w:ascii="Arial" w:cs="Arial" w:eastAsia="Arial" w:hAnsi="Arial"/>
          <w:sz w:val="20"/>
          <w:szCs w:val="20"/>
          <w:color w:val="auto"/>
        </w:rPr>
        <w:t>Centuri Canada Division Inc.</w:t>
      </w:r>
    </w:p>
    <w:p>
      <w:pPr>
        <w:jc w:val="right"/>
        <w:ind w:right="199"/>
        <w:spacing w:after="0" w:line="198" w:lineRule="auto"/>
        <w:rPr>
          <w:sz w:val="20"/>
          <w:szCs w:val="20"/>
          <w:color w:val="auto"/>
        </w:rPr>
      </w:pPr>
      <w:r>
        <w:rPr>
          <w:rFonts w:ascii="Arial" w:cs="Arial" w:eastAsia="Arial" w:hAnsi="Arial"/>
          <w:sz w:val="20"/>
          <w:szCs w:val="20"/>
          <w:color w:val="auto"/>
        </w:rPr>
        <w:t>and each Additional Borrower that becomes a party thereto as a Canadian Borrower, as Canadian Borrowers,</w:t>
      </w:r>
    </w:p>
    <w:p>
      <w:pPr>
        <w:jc w:val="center"/>
        <w:ind w:right="-1080"/>
        <w:spacing w:after="0" w:line="225" w:lineRule="auto"/>
        <w:rPr>
          <w:sz w:val="20"/>
          <w:szCs w:val="20"/>
          <w:color w:val="auto"/>
        </w:rPr>
      </w:pPr>
      <w:r>
        <w:rPr>
          <w:rFonts w:ascii="Arial" w:cs="Arial" w:eastAsia="Arial" w:hAnsi="Arial"/>
          <w:sz w:val="20"/>
          <w:szCs w:val="20"/>
          <w:color w:val="auto"/>
        </w:rPr>
        <w:t>the lenders party thereto, as Lenders,</w:t>
      </w:r>
    </w:p>
    <w:p>
      <w:pPr>
        <w:jc w:val="center"/>
        <w:ind w:right="-1080"/>
        <w:spacing w:after="0" w:line="225" w:lineRule="auto"/>
        <w:rPr>
          <w:sz w:val="20"/>
          <w:szCs w:val="20"/>
          <w:color w:val="auto"/>
        </w:rPr>
      </w:pPr>
      <w:r>
        <w:rPr>
          <w:rFonts w:ascii="Arial" w:cs="Arial" w:eastAsia="Arial" w:hAnsi="Arial"/>
          <w:sz w:val="20"/>
          <w:szCs w:val="20"/>
          <w:color w:val="auto"/>
        </w:rPr>
        <w:t>and</w:t>
      </w:r>
    </w:p>
    <w:p>
      <w:pPr>
        <w:spacing w:after="0" w:line="1"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Wells Fargo Bank, National Association, as Administrative Agent</w:t>
      </w:r>
    </w:p>
    <w:p>
      <w:pPr>
        <w:spacing w:after="0" w:line="200" w:lineRule="exact"/>
        <w:rPr>
          <w:sz w:val="20"/>
          <w:szCs w:val="20"/>
          <w:color w:val="auto"/>
        </w:rPr>
      </w:pPr>
    </w:p>
    <w:p>
      <w:pPr>
        <w:spacing w:after="0" w:line="229"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FORM OF NOTICE OF PREPAYMENT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099"/>
          </w:cols>
          <w:pgMar w:left="360" w:top="1405" w:right="1440" w:bottom="1440" w:gutter="0" w:footer="0" w:header="0"/>
        </w:sectPr>
      </w:pPr>
    </w:p>
    <w:bookmarkStart w:id="267" w:name="page268"/>
    <w:bookmarkEnd w:id="267"/>
    <w:p>
      <w:pPr>
        <w:jc w:val="center"/>
        <w:ind w:right="-79"/>
        <w:spacing w:after="0"/>
        <w:rPr>
          <w:sz w:val="20"/>
          <w:szCs w:val="20"/>
          <w:color w:val="auto"/>
        </w:rPr>
      </w:pPr>
      <w:r>
        <w:rPr>
          <w:rFonts w:ascii="Arial" w:cs="Arial" w:eastAsia="Arial" w:hAnsi="Arial"/>
          <w:sz w:val="20"/>
          <w:szCs w:val="20"/>
          <w:color w:val="auto"/>
        </w:rPr>
        <w:t>NOTICE OF PREPAYMENT</w:t>
      </w:r>
    </w:p>
    <w:p>
      <w:pPr>
        <w:spacing w:after="0" w:line="200" w:lineRule="exact"/>
        <w:rPr>
          <w:sz w:val="20"/>
          <w:szCs w:val="20"/>
          <w:color w:val="auto"/>
        </w:rPr>
      </w:pPr>
    </w:p>
    <w:p>
      <w:pPr>
        <w:spacing w:after="0" w:line="32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Dated as of:</w:t>
      </w:r>
    </w:p>
    <w:p>
      <w:pPr>
        <w:spacing w:after="0" w:line="2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Wells Fargo Bank, National Association, as Administrative Agent</w:t>
      </w:r>
    </w:p>
    <w:p>
      <w:pPr>
        <w:ind w:left="80"/>
        <w:spacing w:after="0" w:line="197" w:lineRule="auto"/>
        <w:rPr>
          <w:sz w:val="20"/>
          <w:szCs w:val="20"/>
          <w:color w:val="auto"/>
        </w:rPr>
      </w:pPr>
      <w:r>
        <w:rPr>
          <w:rFonts w:ascii="Arial" w:cs="Arial" w:eastAsia="Arial" w:hAnsi="Arial"/>
          <w:sz w:val="20"/>
          <w:szCs w:val="20"/>
          <w:color w:val="auto"/>
        </w:rPr>
        <w:t>MAC D 1109-019</w:t>
      </w:r>
    </w:p>
    <w:p>
      <w:pPr>
        <w:ind w:left="80"/>
        <w:spacing w:after="0"/>
        <w:rPr>
          <w:sz w:val="20"/>
          <w:szCs w:val="20"/>
          <w:color w:val="auto"/>
        </w:rPr>
      </w:pPr>
      <w:r>
        <w:rPr>
          <w:rFonts w:ascii="Arial" w:cs="Arial" w:eastAsia="Arial" w:hAnsi="Arial"/>
          <w:sz w:val="20"/>
          <w:szCs w:val="20"/>
          <w:color w:val="auto"/>
        </w:rPr>
        <w:t>1525 West W.T. Harris Blvd. Charlotte, North Carolina 28262</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Attention: Syndication Agency Services Ladies and Gentlemen:</w:t>
      </w:r>
    </w:p>
    <w:p>
      <w:pPr>
        <w:spacing w:after="0" w:line="102" w:lineRule="exact"/>
        <w:rPr>
          <w:sz w:val="20"/>
          <w:szCs w:val="20"/>
          <w:color w:val="auto"/>
        </w:rPr>
      </w:pPr>
    </w:p>
    <w:p>
      <w:pPr>
        <w:ind w:left="80" w:firstLine="648"/>
        <w:spacing w:after="0" w:line="239" w:lineRule="auto"/>
        <w:rPr>
          <w:sz w:val="20"/>
          <w:szCs w:val="20"/>
          <w:color w:val="auto"/>
        </w:rPr>
      </w:pPr>
      <w:r>
        <w:rPr>
          <w:rFonts w:ascii="Arial" w:cs="Arial" w:eastAsia="Arial" w:hAnsi="Arial"/>
          <w:sz w:val="18"/>
          <w:szCs w:val="18"/>
          <w:color w:val="auto"/>
        </w:rPr>
        <w:t xml:space="preserve">This irrevocable Notice of Prepayment is delivered to you pursuant to Section </w:t>
      </w:r>
      <w:r>
        <w:rPr>
          <w:rFonts w:ascii="Arial" w:cs="Arial" w:eastAsia="Arial" w:hAnsi="Arial"/>
          <w:sz w:val="18"/>
          <w:szCs w:val="18"/>
          <w:b w:val="1"/>
          <w:bCs w:val="1"/>
          <w:color w:val="auto"/>
        </w:rPr>
        <w:t>[</w:t>
      </w:r>
      <w:r>
        <w:rPr>
          <w:rFonts w:ascii="Arial" w:cs="Arial" w:eastAsia="Arial" w:hAnsi="Arial"/>
          <w:sz w:val="18"/>
          <w:szCs w:val="18"/>
          <w:color w:val="auto"/>
        </w:rPr>
        <w:t>2.4(c)</w:t>
      </w:r>
      <w:r>
        <w:rPr>
          <w:rFonts w:ascii="Arial" w:cs="Arial" w:eastAsia="Arial" w:hAnsi="Arial"/>
          <w:sz w:val="18"/>
          <w:szCs w:val="18"/>
          <w:b w:val="1"/>
          <w:bCs w:val="1"/>
          <w:color w:val="auto"/>
        </w:rPr>
        <w:t>] [</w:t>
      </w:r>
      <w:r>
        <w:rPr>
          <w:rFonts w:ascii="Arial" w:cs="Arial" w:eastAsia="Arial" w:hAnsi="Arial"/>
          <w:sz w:val="18"/>
          <w:szCs w:val="18"/>
          <w:color w:val="auto"/>
        </w:rPr>
        <w:t>4.4(a)</w:t>
      </w:r>
      <w:r>
        <w:rPr>
          <w:rFonts w:ascii="Arial" w:cs="Arial" w:eastAsia="Arial" w:hAnsi="Arial"/>
          <w:sz w:val="18"/>
          <w:szCs w:val="18"/>
          <w:b w:val="1"/>
          <w:bCs w:val="1"/>
          <w:color w:val="auto"/>
        </w:rPr>
        <w:t>]</w:t>
      </w:r>
      <w:r>
        <w:rPr>
          <w:rFonts w:ascii="Arial" w:cs="Arial" w:eastAsia="Arial" w:hAnsi="Arial"/>
          <w:sz w:val="18"/>
          <w:szCs w:val="18"/>
          <w:color w:val="auto"/>
        </w:rPr>
        <w:t xml:space="preserve"> of the Second Amended and Restated Credit Agreement, dated as of August 27, 2021 (as amended, amended and restated, supplemented or otherwise modified from</w:t>
      </w:r>
    </w:p>
    <w:p>
      <w:pPr>
        <w:ind w:left="80"/>
        <w:spacing w:after="0" w:line="223" w:lineRule="auto"/>
        <w:rPr>
          <w:sz w:val="20"/>
          <w:szCs w:val="20"/>
          <w:color w:val="auto"/>
        </w:rPr>
      </w:pPr>
      <w:r>
        <w:rPr>
          <w:rFonts w:ascii="Arial" w:cs="Arial" w:eastAsia="Arial" w:hAnsi="Arial"/>
          <w:sz w:val="19"/>
          <w:szCs w:val="19"/>
          <w:color w:val="auto"/>
        </w:rPr>
        <w:t>time to time, the “Credit Agreement”), by and among Centuri Group, Inc., a Nevada corporation (“Centuri”), and each Additional</w:t>
      </w:r>
    </w:p>
    <w:p>
      <w:pPr>
        <w:spacing w:after="0" w:line="1" w:lineRule="exact"/>
        <w:rPr>
          <w:sz w:val="20"/>
          <w:szCs w:val="20"/>
          <w:color w:val="auto"/>
        </w:rPr>
      </w:pPr>
    </w:p>
    <w:p>
      <w:pPr>
        <w:ind w:left="80"/>
        <w:spacing w:after="0" w:line="215" w:lineRule="auto"/>
        <w:rPr>
          <w:sz w:val="20"/>
          <w:szCs w:val="20"/>
          <w:color w:val="auto"/>
        </w:rPr>
      </w:pPr>
      <w:r>
        <w:rPr>
          <w:rFonts w:ascii="Arial" w:cs="Arial" w:eastAsia="Arial" w:hAnsi="Arial"/>
          <w:sz w:val="19"/>
          <w:szCs w:val="19"/>
          <w:color w:val="auto"/>
        </w:rPr>
        <w:t>Borrower that becomes a party thereto in accordance with Section 5.17 thereof (collectively, the “US Borrowers”), Centuri Canada Division Inc., a corporation organized under the laws of the Province of Ontario (“Centuri Canada”), Canada, and each Additional</w:t>
      </w:r>
    </w:p>
    <w:p>
      <w:pPr>
        <w:ind w:left="80"/>
        <w:spacing w:after="0" w:line="226" w:lineRule="auto"/>
        <w:rPr>
          <w:sz w:val="20"/>
          <w:szCs w:val="20"/>
          <w:color w:val="auto"/>
        </w:rPr>
      </w:pPr>
      <w:r>
        <w:rPr>
          <w:rFonts w:ascii="Arial" w:cs="Arial" w:eastAsia="Arial" w:hAnsi="Arial"/>
          <w:sz w:val="18"/>
          <w:szCs w:val="18"/>
          <w:color w:val="auto"/>
        </w:rPr>
        <w:t>Borrower that becomes a party thereto in accordance with Section 5.17 thereof (collectively, the “Canadian Borrowers”), the Lenders party thereto and Wells Fargo Bank, National Association, as Administrative Agent. Capitalized terms used herein and not defined herein shall</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have the meanings assigned thereto in the Credit Agreement.</w:t>
      </w:r>
    </w:p>
    <w:p>
      <w:pPr>
        <w:spacing w:after="0" w:line="200" w:lineRule="exact"/>
        <w:rPr>
          <w:sz w:val="20"/>
          <w:szCs w:val="20"/>
          <w:color w:val="auto"/>
        </w:rPr>
      </w:pPr>
    </w:p>
    <w:p>
      <w:pPr>
        <w:jc w:val="both"/>
        <w:ind w:left="80" w:firstLine="644"/>
        <w:spacing w:after="0" w:line="227" w:lineRule="auto"/>
        <w:tabs>
          <w:tab w:leader="none" w:pos="1268" w:val="left"/>
        </w:tabs>
        <w:numPr>
          <w:ilvl w:val="0"/>
          <w:numId w:val="484"/>
        </w:numPr>
        <w:rPr>
          <w:rFonts w:ascii="Arial" w:cs="Arial" w:eastAsia="Arial" w:hAnsi="Arial"/>
          <w:sz w:val="20"/>
          <w:szCs w:val="20"/>
          <w:color w:val="auto"/>
        </w:rPr>
      </w:pPr>
      <w:r>
        <w:rPr>
          <w:rFonts w:ascii="Arial" w:cs="Arial" w:eastAsia="Arial" w:hAnsi="Arial"/>
          <w:sz w:val="20"/>
          <w:szCs w:val="20"/>
          <w:color w:val="auto"/>
        </w:rPr>
        <w:t>[Centuri][INSERT EACH ADDITIONAL US BORROWER][Centuri Canada][INSERT EACH ADDITIONAL CANADIAN BORROWER] hereby provide[s] notice to the Administrative Agent that it shall prepay the following [Base Rate Loans] [LIBOR Rate Loans] [SOFR Loans] [Canadian Base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1100"/>
          </w:cols>
          <w:pgMar w:left="360" w:top="1405" w:right="439" w:bottom="1440" w:gutter="0" w:footer="0" w:header="0"/>
        </w:sectPr>
      </w:pPr>
    </w:p>
    <w:bookmarkStart w:id="268" w:name="page269"/>
    <w:bookmarkEnd w:id="268"/>
    <w:p>
      <w:pPr>
        <w:ind w:left="80" w:right="940"/>
        <w:spacing w:after="0" w:line="242" w:lineRule="auto"/>
        <w:rPr>
          <w:sz w:val="20"/>
          <w:szCs w:val="20"/>
          <w:color w:val="auto"/>
        </w:rPr>
      </w:pPr>
      <w:r>
        <w:rPr>
          <w:rFonts w:ascii="Arial" w:cs="Arial" w:eastAsia="Arial" w:hAnsi="Arial"/>
          <w:sz w:val="20"/>
          <w:szCs w:val="20"/>
          <w:color w:val="auto"/>
        </w:rPr>
        <w:t xml:space="preserve">Rate Loans] and/or [CDOR Rate Loans]: _. </w:t>
      </w:r>
      <w:r>
        <w:rPr>
          <w:rFonts w:ascii="Arial" w:cs="Arial" w:eastAsia="Arial" w:hAnsi="Arial"/>
          <w:sz w:val="16"/>
          <w:szCs w:val="16"/>
          <w:color w:val="auto"/>
        </w:rPr>
        <w:t>(Complete with an amount in accordance with</w:t>
      </w:r>
      <w:r>
        <w:rPr>
          <w:rFonts w:ascii="Arial" w:cs="Arial" w:eastAsia="Arial" w:hAnsi="Arial"/>
          <w:sz w:val="20"/>
          <w:szCs w:val="20"/>
          <w:color w:val="auto"/>
        </w:rPr>
        <w:t xml:space="preserve"> </w:t>
      </w:r>
      <w:r>
        <w:rPr>
          <w:rFonts w:ascii="Arial" w:cs="Arial" w:eastAsia="Arial" w:hAnsi="Arial"/>
          <w:sz w:val="16"/>
          <w:szCs w:val="16"/>
          <w:u w:val="single" w:color="auto"/>
          <w:color w:val="auto"/>
        </w:rPr>
        <w:t>Section</w:t>
      </w:r>
      <w:r>
        <w:rPr>
          <w:rFonts w:ascii="Arial" w:cs="Arial" w:eastAsia="Arial" w:hAnsi="Arial"/>
          <w:sz w:val="20"/>
          <w:szCs w:val="20"/>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of the Credit Agreement.)</w:t>
      </w:r>
    </w:p>
    <w:p>
      <w:pPr>
        <w:spacing w:after="0" w:line="200" w:lineRule="exact"/>
        <w:rPr>
          <w:sz w:val="20"/>
          <w:szCs w:val="20"/>
          <w:color w:val="auto"/>
        </w:rPr>
      </w:pPr>
    </w:p>
    <w:p>
      <w:pPr>
        <w:spacing w:after="0" w:line="295" w:lineRule="exact"/>
        <w:rPr>
          <w:sz w:val="20"/>
          <w:szCs w:val="20"/>
          <w:color w:val="auto"/>
        </w:rPr>
      </w:pPr>
    </w:p>
    <w:p>
      <w:pPr>
        <w:ind w:left="1360" w:hanging="636"/>
        <w:spacing w:after="0"/>
        <w:tabs>
          <w:tab w:leader="none" w:pos="1360" w:val="left"/>
        </w:tabs>
        <w:numPr>
          <w:ilvl w:val="0"/>
          <w:numId w:val="485"/>
        </w:numPr>
        <w:rPr>
          <w:rFonts w:ascii="Arial" w:cs="Arial" w:eastAsia="Arial" w:hAnsi="Arial"/>
          <w:sz w:val="20"/>
          <w:szCs w:val="20"/>
          <w:color w:val="auto"/>
        </w:rPr>
      </w:pPr>
      <w:r>
        <w:rPr>
          <w:rFonts w:ascii="Arial" w:cs="Arial" w:eastAsia="Arial" w:hAnsi="Arial"/>
          <w:sz w:val="20"/>
          <w:szCs w:val="20"/>
          <w:color w:val="auto"/>
        </w:rPr>
        <w:t xml:space="preserve">The Loan(s) to be prepaid consist of: </w:t>
      </w:r>
      <w:r>
        <w:rPr>
          <w:rFonts w:ascii="Arial" w:cs="Arial" w:eastAsia="Arial" w:hAnsi="Arial"/>
          <w:sz w:val="20"/>
          <w:szCs w:val="20"/>
          <w:b w:val="1"/>
          <w:bCs w:val="1"/>
          <w:color w:val="auto"/>
        </w:rPr>
        <w:t>[</w:t>
      </w:r>
      <w:r>
        <w:rPr>
          <w:rFonts w:ascii="Arial" w:cs="Arial" w:eastAsia="Arial" w:hAnsi="Arial"/>
          <w:sz w:val="20"/>
          <w:szCs w:val="20"/>
          <w:color w:val="auto"/>
        </w:rPr>
        <w:t>check each applicable box</w:t>
      </w:r>
      <w:r>
        <w:rPr>
          <w:rFonts w:ascii="Arial" w:cs="Arial" w:eastAsia="Arial" w:hAnsi="Arial"/>
          <w:sz w:val="20"/>
          <w:szCs w:val="20"/>
          <w:b w:val="1"/>
          <w:bCs w:val="1"/>
          <w:color w:val="auto"/>
        </w:rPr>
        <w:t>]</w:t>
      </w:r>
    </w:p>
    <w:p>
      <w:pPr>
        <w:spacing w:after="0" w:line="319" w:lineRule="exact"/>
        <w:rPr>
          <w:rFonts w:ascii="Arial" w:cs="Arial" w:eastAsia="Arial" w:hAnsi="Arial"/>
          <w:sz w:val="20"/>
          <w:szCs w:val="20"/>
          <w:color w:val="auto"/>
        </w:rPr>
      </w:pPr>
    </w:p>
    <w:p>
      <w:pPr>
        <w:ind w:left="2020"/>
        <w:spacing w:after="0"/>
        <w:rPr>
          <w:rFonts w:ascii="Arial" w:cs="Arial" w:eastAsia="Arial" w:hAnsi="Arial"/>
          <w:sz w:val="20"/>
          <w:szCs w:val="20"/>
          <w:color w:val="auto"/>
        </w:rPr>
      </w:pPr>
      <w:r>
        <w:rPr>
          <w:rFonts w:ascii="Arial" w:cs="Arial" w:eastAsia="Arial" w:hAnsi="Arial"/>
          <w:sz w:val="1"/>
          <w:szCs w:val="1"/>
          <w:color w:val="auto"/>
        </w:rPr>
        <w:drawing>
          <wp:inline distT="0" distB="0" distL="0" distR="0">
            <wp:extent cx="111125" cy="1111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2">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a US Swingline Loan</w:t>
      </w:r>
    </w:p>
    <w:p>
      <w:pPr>
        <w:spacing w:after="0" w:line="350" w:lineRule="exact"/>
        <w:rPr>
          <w:rFonts w:ascii="Arial" w:cs="Arial" w:eastAsia="Arial" w:hAnsi="Arial"/>
          <w:sz w:val="20"/>
          <w:szCs w:val="20"/>
          <w:color w:val="auto"/>
        </w:rPr>
      </w:pPr>
    </w:p>
    <w:p>
      <w:pPr>
        <w:ind w:left="2020"/>
        <w:spacing w:after="0"/>
        <w:rPr>
          <w:rFonts w:ascii="Arial" w:cs="Arial" w:eastAsia="Arial" w:hAnsi="Arial"/>
          <w:sz w:val="20"/>
          <w:szCs w:val="20"/>
          <w:color w:val="auto"/>
        </w:rPr>
      </w:pPr>
      <w:r>
        <w:rPr>
          <w:rFonts w:ascii="Arial" w:cs="Arial" w:eastAsia="Arial" w:hAnsi="Arial"/>
          <w:sz w:val="1"/>
          <w:szCs w:val="1"/>
          <w:color w:val="auto"/>
        </w:rPr>
        <w:drawing>
          <wp:inline distT="0" distB="0" distL="0" distR="0">
            <wp:extent cx="111125" cy="1117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3">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0"/>
          <w:szCs w:val="20"/>
          <w:color w:val="auto"/>
        </w:rPr>
        <w:t>a Canadian Swingline Loan</w:t>
      </w:r>
    </w:p>
    <w:p>
      <w:pPr>
        <w:spacing w:after="0" w:line="350" w:lineRule="exact"/>
        <w:rPr>
          <w:rFonts w:ascii="Arial" w:cs="Arial" w:eastAsia="Arial" w:hAnsi="Arial"/>
          <w:sz w:val="20"/>
          <w:szCs w:val="20"/>
          <w:color w:val="auto"/>
        </w:rPr>
      </w:pPr>
    </w:p>
    <w:p>
      <w:pPr>
        <w:ind w:left="2020"/>
        <w:spacing w:after="0"/>
        <w:rPr>
          <w:rFonts w:ascii="Arial" w:cs="Arial" w:eastAsia="Arial" w:hAnsi="Arial"/>
          <w:sz w:val="20"/>
          <w:szCs w:val="20"/>
          <w:color w:val="auto"/>
        </w:rPr>
      </w:pPr>
      <w:r>
        <w:rPr>
          <w:rFonts w:ascii="Arial" w:cs="Arial" w:eastAsia="Arial" w:hAnsi="Arial"/>
          <w:sz w:val="1"/>
          <w:szCs w:val="1"/>
          <w:color w:val="auto"/>
        </w:rPr>
        <w:drawing>
          <wp:inline distT="0" distB="0" distL="0" distR="0">
            <wp:extent cx="111125" cy="1111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a US Revolving Credit Loan</w:t>
      </w:r>
    </w:p>
    <w:p>
      <w:pPr>
        <w:spacing w:after="0" w:line="350" w:lineRule="exact"/>
        <w:rPr>
          <w:rFonts w:ascii="Arial" w:cs="Arial" w:eastAsia="Arial" w:hAnsi="Arial"/>
          <w:sz w:val="20"/>
          <w:szCs w:val="20"/>
          <w:color w:val="auto"/>
        </w:rPr>
      </w:pPr>
    </w:p>
    <w:p>
      <w:pPr>
        <w:ind w:left="2020"/>
        <w:spacing w:after="0"/>
        <w:rPr>
          <w:rFonts w:ascii="Arial" w:cs="Arial" w:eastAsia="Arial" w:hAnsi="Arial"/>
          <w:sz w:val="20"/>
          <w:szCs w:val="20"/>
          <w:color w:val="auto"/>
        </w:rPr>
      </w:pPr>
      <w:r>
        <w:rPr>
          <w:rFonts w:ascii="Arial" w:cs="Arial" w:eastAsia="Arial" w:hAnsi="Arial"/>
          <w:sz w:val="1"/>
          <w:szCs w:val="1"/>
          <w:color w:val="auto"/>
        </w:rPr>
        <w:drawing>
          <wp:inline distT="0" distB="0" distL="0" distR="0">
            <wp:extent cx="111125" cy="1117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5">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0"/>
          <w:szCs w:val="20"/>
          <w:color w:val="auto"/>
        </w:rPr>
        <w:t>a Canadian Revolving Credit Loan</w:t>
      </w:r>
    </w:p>
    <w:p>
      <w:pPr>
        <w:spacing w:after="0" w:line="351" w:lineRule="exact"/>
        <w:rPr>
          <w:sz w:val="20"/>
          <w:szCs w:val="20"/>
          <w:color w:val="auto"/>
        </w:rPr>
      </w:pPr>
    </w:p>
    <w:p>
      <w:pPr>
        <w:ind w:left="2020"/>
        <w:spacing w:after="0"/>
        <w:rPr>
          <w:sz w:val="20"/>
          <w:szCs w:val="20"/>
          <w:color w:val="auto"/>
        </w:rPr>
      </w:pPr>
      <w:r>
        <w:rPr>
          <w:sz w:val="1"/>
          <w:szCs w:val="1"/>
          <w:color w:val="auto"/>
        </w:rPr>
        <w:drawing>
          <wp:inline distT="0" distB="0" distL="0" distR="0">
            <wp:extent cx="111125" cy="1117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6">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0"/>
          <w:szCs w:val="20"/>
          <w:color w:val="auto"/>
        </w:rPr>
        <w:t>the Initial Term Loan</w:t>
      </w:r>
    </w:p>
    <w:p>
      <w:pPr>
        <w:spacing w:after="0" w:line="351" w:lineRule="exact"/>
        <w:rPr>
          <w:sz w:val="20"/>
          <w:szCs w:val="20"/>
          <w:color w:val="auto"/>
        </w:rPr>
      </w:pPr>
    </w:p>
    <w:p>
      <w:pPr>
        <w:ind w:left="2020"/>
        <w:spacing w:after="0"/>
        <w:rPr>
          <w:sz w:val="20"/>
          <w:szCs w:val="20"/>
          <w:color w:val="auto"/>
        </w:rPr>
      </w:pPr>
      <w:r>
        <w:rPr>
          <w:sz w:val="1"/>
          <w:szCs w:val="1"/>
          <w:color w:val="auto"/>
        </w:rPr>
        <w:drawing>
          <wp:inline distT="0" distB="0" distL="0" distR="0">
            <wp:extent cx="111125" cy="1111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an Incremental Term Loan</w:t>
      </w:r>
    </w:p>
    <w:p>
      <w:pPr>
        <w:spacing w:after="0" w:line="253" w:lineRule="exact"/>
        <w:rPr>
          <w:sz w:val="20"/>
          <w:szCs w:val="20"/>
          <w:color w:val="auto"/>
        </w:rPr>
      </w:pPr>
    </w:p>
    <w:p>
      <w:pPr>
        <w:ind w:left="80" w:right="920" w:firstLine="644"/>
        <w:spacing w:after="0" w:line="212" w:lineRule="auto"/>
        <w:tabs>
          <w:tab w:leader="none" w:pos="1268" w:val="left"/>
        </w:tabs>
        <w:numPr>
          <w:ilvl w:val="0"/>
          <w:numId w:val="486"/>
        </w:numPr>
        <w:rPr>
          <w:rFonts w:ascii="Arial" w:cs="Arial" w:eastAsia="Arial" w:hAnsi="Arial"/>
          <w:sz w:val="20"/>
          <w:szCs w:val="20"/>
          <w:color w:val="auto"/>
        </w:rPr>
      </w:pPr>
      <w:r>
        <w:rPr>
          <w:rFonts w:ascii="Arial" w:cs="Arial" w:eastAsia="Arial" w:hAnsi="Arial"/>
          <w:sz w:val="20"/>
          <w:szCs w:val="20"/>
          <w:color w:val="auto"/>
        </w:rPr>
        <w:t>[Centuri][INSERT EACH ADDITIONAL US BORROWER][Centuri Canada][INSERT EACH ADDITIONAL CANADIAN BORROWER] shall repay the above-referenced Loans on the</w:t>
      </w:r>
    </w:p>
    <w:p>
      <w:pPr>
        <w:spacing w:after="0" w:line="1" w:lineRule="exact"/>
        <w:rPr>
          <w:sz w:val="20"/>
          <w:szCs w:val="20"/>
          <w:color w:val="auto"/>
        </w:rPr>
      </w:pPr>
    </w:p>
    <w:p>
      <w:pPr>
        <w:ind w:left="6440" w:hanging="6366"/>
        <w:spacing w:after="0" w:line="208" w:lineRule="auto"/>
        <w:tabs>
          <w:tab w:leader="none" w:pos="6420" w:val="left"/>
        </w:tabs>
        <w:rPr>
          <w:sz w:val="20"/>
          <w:szCs w:val="20"/>
          <w:color w:val="auto"/>
        </w:rPr>
      </w:pPr>
      <w:r>
        <w:rPr>
          <w:rFonts w:ascii="Arial" w:cs="Arial" w:eastAsia="Arial" w:hAnsi="Arial"/>
          <w:sz w:val="20"/>
          <w:szCs w:val="20"/>
          <w:color w:val="auto"/>
        </w:rPr>
        <w:t>following Business Day:</w:t>
      </w:r>
      <w:r>
        <w:rPr>
          <w:sz w:val="20"/>
          <w:szCs w:val="20"/>
          <w:color w:val="auto"/>
        </w:rPr>
        <w:tab/>
      </w:r>
      <w:r>
        <w:rPr>
          <w:rFonts w:ascii="Arial" w:cs="Arial" w:eastAsia="Arial" w:hAnsi="Arial"/>
          <w:sz w:val="20"/>
          <w:szCs w:val="20"/>
          <w:color w:val="auto"/>
        </w:rPr>
        <w:t xml:space="preserve">. </w:t>
      </w:r>
      <w:r>
        <w:rPr>
          <w:rFonts w:ascii="Arial" w:cs="Arial" w:eastAsia="Arial" w:hAnsi="Arial"/>
          <w:sz w:val="16"/>
          <w:szCs w:val="16"/>
          <w:color w:val="auto"/>
        </w:rPr>
        <w:t>(Complete with a date no earlier than (i) the same Business Day as of</w:t>
      </w:r>
      <w:r>
        <w:rPr>
          <w:rFonts w:ascii="Arial" w:cs="Arial" w:eastAsia="Arial" w:hAnsi="Arial"/>
          <w:sz w:val="20"/>
          <w:szCs w:val="20"/>
          <w:color w:val="auto"/>
        </w:rPr>
        <w:t xml:space="preserve"> </w:t>
      </w:r>
      <w:r>
        <w:rPr>
          <w:rFonts w:ascii="Arial" w:cs="Arial" w:eastAsia="Arial" w:hAnsi="Arial"/>
          <w:sz w:val="16"/>
          <w:szCs w:val="16"/>
          <w:color w:val="auto"/>
        </w:rPr>
        <w:t>the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6"/>
          <w:szCs w:val="16"/>
          <w:color w:val="auto"/>
        </w:rPr>
        <w:t>date of this Notice of Prepayment with respect to any US Swingline Loan, Canadian Swingline Loan or Base Rate Loan, (ii) one</w:t>
      </w:r>
    </w:p>
    <w:p>
      <w:pPr>
        <w:spacing w:after="0" w:line="19" w:lineRule="exact"/>
        <w:rPr>
          <w:sz w:val="20"/>
          <w:szCs w:val="20"/>
          <w:color w:val="auto"/>
        </w:rPr>
      </w:pPr>
    </w:p>
    <w:p>
      <w:pPr>
        <w:ind w:left="80" w:right="20" w:hanging="4"/>
        <w:spacing w:after="0" w:line="231" w:lineRule="auto"/>
        <w:tabs>
          <w:tab w:leader="none" w:pos="62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Business Day subsequent to the date of this Notice of Prepayment with respect to each Canadian Base Rate Loan, (iii) three (3) Business Days subsequent to the date of this Notice of Prepayment with respect to any LIBOR Rate Loan (iv) three (3) U.S.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1040"/>
          </w:cols>
          <w:pgMar w:left="360" w:top="757" w:right="499" w:bottom="1440" w:gutter="0" w:footer="0" w:header="0"/>
        </w:sectPr>
      </w:pPr>
    </w:p>
    <w:bookmarkStart w:id="269" w:name="page270"/>
    <w:bookmarkEnd w:id="269"/>
    <w:p>
      <w:pPr>
        <w:ind w:left="60"/>
        <w:spacing w:after="0"/>
        <w:rPr>
          <w:sz w:val="20"/>
          <w:szCs w:val="20"/>
          <w:color w:val="auto"/>
        </w:rPr>
      </w:pPr>
      <w:r>
        <w:rPr>
          <w:rFonts w:ascii="Arial" w:cs="Arial" w:eastAsia="Arial" w:hAnsi="Arial"/>
          <w:sz w:val="16"/>
          <w:szCs w:val="16"/>
          <w:color w:val="auto"/>
        </w:rPr>
        <w:t>Government Securities Business Days subsequent to the date of this Notice of Prepayment with respect to any SOFR Loan and (v) four (4) Business days subsequent to the date of this Notice of Prepayment with respect to any CDOR Rate Loan.)</w:t>
      </w: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940"/>
          </w:cols>
          <w:pgMar w:left="360" w:top="1412" w:right="599" w:bottom="1440" w:gutter="0" w:footer="0" w:header="0"/>
        </w:sectPr>
      </w:pPr>
    </w:p>
    <w:bookmarkStart w:id="270" w:name="page271"/>
    <w:bookmarkEnd w:id="270"/>
    <w:p>
      <w:pPr>
        <w:ind w:left="700"/>
        <w:spacing w:after="0"/>
        <w:rPr>
          <w:sz w:val="20"/>
          <w:szCs w:val="20"/>
          <w:color w:val="auto"/>
        </w:rPr>
      </w:pPr>
      <w:r>
        <w:rPr>
          <w:rFonts w:ascii="Arial" w:cs="Arial" w:eastAsia="Arial" w:hAnsi="Arial"/>
          <w:sz w:val="16"/>
          <w:szCs w:val="16"/>
          <w:color w:val="auto"/>
        </w:rPr>
        <w:t>IN WITNESS WHEREOF, the undersigned has executed this Notice of Prepayment as of the day and year first written above.</w:t>
      </w:r>
    </w:p>
    <w:p>
      <w:pPr>
        <w:spacing w:after="0" w:line="200" w:lineRule="exact"/>
        <w:rPr>
          <w:sz w:val="20"/>
          <w:szCs w:val="20"/>
          <w:color w:val="auto"/>
        </w:rPr>
      </w:pPr>
    </w:p>
    <w:p>
      <w:pPr>
        <w:spacing w:after="0" w:line="30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[CENTURI GROUP, INC., as [a] US Borrower</w:t>
      </w:r>
    </w:p>
    <w:p>
      <w:pPr>
        <w:spacing w:after="0" w:line="200" w:lineRule="exact"/>
        <w:rPr>
          <w:sz w:val="20"/>
          <w:szCs w:val="20"/>
          <w:color w:val="auto"/>
        </w:rPr>
      </w:pPr>
    </w:p>
    <w:p>
      <w:pPr>
        <w:spacing w:after="0" w:line="247"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8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[[INSERT EACH ADDITIONAL US BORROWER],</w:t>
      </w:r>
    </w:p>
    <w:p>
      <w:pPr>
        <w:ind w:left="4060"/>
        <w:spacing w:after="0"/>
        <w:rPr>
          <w:sz w:val="20"/>
          <w:szCs w:val="20"/>
          <w:color w:val="auto"/>
        </w:rPr>
      </w:pPr>
      <w:r>
        <w:rPr>
          <w:rFonts w:ascii="Arial" w:cs="Arial" w:eastAsia="Arial" w:hAnsi="Arial"/>
          <w:sz w:val="20"/>
          <w:szCs w:val="20"/>
          <w:color w:val="auto"/>
        </w:rPr>
        <w:t>as a US Borrower</w:t>
      </w:r>
    </w:p>
    <w:p>
      <w:pPr>
        <w:spacing w:after="0" w:line="200" w:lineRule="exact"/>
        <w:rPr>
          <w:sz w:val="20"/>
          <w:szCs w:val="20"/>
          <w:color w:val="auto"/>
        </w:rPr>
      </w:pPr>
    </w:p>
    <w:p>
      <w:pPr>
        <w:spacing w:after="0" w:line="23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99"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[CENTURI CANADA DIVISION INC., as [a]</w:t>
      </w:r>
    </w:p>
    <w:p>
      <w:pPr>
        <w:ind w:left="4060"/>
        <w:spacing w:after="0"/>
        <w:rPr>
          <w:sz w:val="20"/>
          <w:szCs w:val="20"/>
          <w:color w:val="auto"/>
        </w:rPr>
      </w:pPr>
      <w:r>
        <w:rPr>
          <w:rFonts w:ascii="Arial" w:cs="Arial" w:eastAsia="Arial" w:hAnsi="Arial"/>
          <w:sz w:val="20"/>
          <w:szCs w:val="20"/>
          <w:color w:val="auto"/>
        </w:rPr>
        <w:t>Canadian Borrower</w:t>
      </w:r>
    </w:p>
    <w:p>
      <w:pPr>
        <w:spacing w:after="0" w:line="200" w:lineRule="exact"/>
        <w:rPr>
          <w:sz w:val="20"/>
          <w:szCs w:val="20"/>
          <w:color w:val="auto"/>
        </w:rPr>
      </w:pPr>
    </w:p>
    <w:p>
      <w:pPr>
        <w:spacing w:after="0" w:line="218"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324"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[[INSERT EACH ADDITIONAL CANADIAN</w:t>
      </w:r>
    </w:p>
    <w:p>
      <w:pPr>
        <w:spacing w:after="0" w:line="1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BORROWER], as a Canadian Borrower</w:t>
      </w:r>
    </w:p>
    <w:p>
      <w:pPr>
        <w:spacing w:after="0" w:line="200" w:lineRule="exact"/>
        <w:rPr>
          <w:sz w:val="20"/>
          <w:szCs w:val="20"/>
          <w:color w:val="auto"/>
        </w:rPr>
      </w:pPr>
    </w:p>
    <w:p>
      <w:pPr>
        <w:spacing w:after="0" w:line="24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680"/>
          </w:cols>
          <w:pgMar w:left="360" w:top="1405" w:right="859" w:bottom="1440" w:gutter="0" w:footer="0" w:header="0"/>
        </w:sectPr>
      </w:pPr>
    </w:p>
    <w:bookmarkStart w:id="271" w:name="page272"/>
    <w:bookmarkEnd w:id="271"/>
    <w:p>
      <w:pPr>
        <w:ind w:left="5100"/>
        <w:spacing w:after="0"/>
        <w:rPr>
          <w:sz w:val="20"/>
          <w:szCs w:val="20"/>
          <w:color w:val="auto"/>
        </w:rPr>
      </w:pPr>
      <w:r>
        <w:rPr>
          <w:rFonts w:ascii="Arial" w:cs="Arial" w:eastAsia="Arial" w:hAnsi="Arial"/>
          <w:sz w:val="20"/>
          <w:szCs w:val="20"/>
          <w:color w:val="auto"/>
        </w:rPr>
        <w:t>EXHIBIT E</w:t>
      </w:r>
    </w:p>
    <w:p>
      <w:pPr>
        <w:ind w:left="5500"/>
        <w:spacing w:after="0" w:line="227" w:lineRule="auto"/>
        <w:rPr>
          <w:sz w:val="20"/>
          <w:szCs w:val="20"/>
          <w:color w:val="auto"/>
        </w:rPr>
      </w:pPr>
      <w:r>
        <w:rPr>
          <w:rFonts w:ascii="Arial" w:cs="Arial" w:eastAsia="Arial" w:hAnsi="Arial"/>
          <w:sz w:val="20"/>
          <w:szCs w:val="20"/>
          <w:color w:val="auto"/>
        </w:rPr>
        <w:t>to</w:t>
      </w:r>
    </w:p>
    <w:p>
      <w:pPr>
        <w:ind w:left="2480"/>
        <w:spacing w:after="0" w:line="197" w:lineRule="auto"/>
        <w:rPr>
          <w:sz w:val="20"/>
          <w:szCs w:val="20"/>
          <w:color w:val="auto"/>
        </w:rPr>
      </w:pPr>
      <w:r>
        <w:rPr>
          <w:rFonts w:ascii="Arial" w:cs="Arial" w:eastAsia="Arial" w:hAnsi="Arial"/>
          <w:sz w:val="20"/>
          <w:szCs w:val="20"/>
          <w:color w:val="auto"/>
        </w:rPr>
        <w:t>Second Amended and Restated Credit Agreement dated as of August 27, 2021</w:t>
      </w:r>
    </w:p>
    <w:p>
      <w:pPr>
        <w:jc w:val="center"/>
        <w:ind w:right="-1080"/>
        <w:spacing w:after="0" w:line="212" w:lineRule="auto"/>
        <w:rPr>
          <w:sz w:val="20"/>
          <w:szCs w:val="20"/>
          <w:color w:val="auto"/>
        </w:rPr>
      </w:pPr>
      <w:r>
        <w:rPr>
          <w:rFonts w:ascii="Arial" w:cs="Arial" w:eastAsia="Arial" w:hAnsi="Arial"/>
          <w:sz w:val="20"/>
          <w:szCs w:val="20"/>
          <w:color w:val="auto"/>
        </w:rPr>
        <w:t>by and among Centuri Group, Inc.</w:t>
      </w:r>
    </w:p>
    <w:p>
      <w:pPr>
        <w:jc w:val="center"/>
        <w:ind w:right="-1080"/>
        <w:spacing w:after="0" w:line="225" w:lineRule="auto"/>
        <w:rPr>
          <w:sz w:val="20"/>
          <w:szCs w:val="20"/>
          <w:color w:val="auto"/>
        </w:rPr>
      </w:pPr>
      <w:r>
        <w:rPr>
          <w:rFonts w:ascii="Arial" w:cs="Arial" w:eastAsia="Arial" w:hAnsi="Arial"/>
          <w:sz w:val="20"/>
          <w:szCs w:val="20"/>
          <w:color w:val="auto"/>
        </w:rPr>
        <w:t>and each Additional Borrower that becomes a party thereto as a US Borrower, as US Borrowers,</w:t>
      </w:r>
    </w:p>
    <w:p>
      <w:pPr>
        <w:ind w:left="4420"/>
        <w:spacing w:after="0" w:line="225" w:lineRule="auto"/>
        <w:rPr>
          <w:sz w:val="20"/>
          <w:szCs w:val="20"/>
          <w:color w:val="auto"/>
        </w:rPr>
      </w:pPr>
      <w:r>
        <w:rPr>
          <w:rFonts w:ascii="Arial" w:cs="Arial" w:eastAsia="Arial" w:hAnsi="Arial"/>
          <w:sz w:val="20"/>
          <w:szCs w:val="20"/>
          <w:color w:val="auto"/>
        </w:rPr>
        <w:t>Centuri Canada Division Inc.</w:t>
      </w:r>
    </w:p>
    <w:p>
      <w:pPr>
        <w:jc w:val="right"/>
        <w:ind w:right="199"/>
        <w:spacing w:after="0" w:line="198" w:lineRule="auto"/>
        <w:rPr>
          <w:sz w:val="20"/>
          <w:szCs w:val="20"/>
          <w:color w:val="auto"/>
        </w:rPr>
      </w:pPr>
      <w:r>
        <w:rPr>
          <w:rFonts w:ascii="Arial" w:cs="Arial" w:eastAsia="Arial" w:hAnsi="Arial"/>
          <w:sz w:val="20"/>
          <w:szCs w:val="20"/>
          <w:color w:val="auto"/>
        </w:rPr>
        <w:t>and each Additional Borrower that becomes a party thereto as a Canadian Borrower, as Canadian Borrowers,</w:t>
      </w:r>
    </w:p>
    <w:p>
      <w:pPr>
        <w:jc w:val="center"/>
        <w:ind w:right="-1080"/>
        <w:spacing w:after="0" w:line="225" w:lineRule="auto"/>
        <w:rPr>
          <w:sz w:val="20"/>
          <w:szCs w:val="20"/>
          <w:color w:val="auto"/>
        </w:rPr>
      </w:pPr>
      <w:r>
        <w:rPr>
          <w:rFonts w:ascii="Arial" w:cs="Arial" w:eastAsia="Arial" w:hAnsi="Arial"/>
          <w:sz w:val="20"/>
          <w:szCs w:val="20"/>
          <w:color w:val="auto"/>
        </w:rPr>
        <w:t>the lenders party thereto, as Lenders,</w:t>
      </w:r>
    </w:p>
    <w:p>
      <w:pPr>
        <w:jc w:val="center"/>
        <w:ind w:right="-1080"/>
        <w:spacing w:after="0" w:line="225" w:lineRule="auto"/>
        <w:rPr>
          <w:sz w:val="20"/>
          <w:szCs w:val="20"/>
          <w:color w:val="auto"/>
        </w:rPr>
      </w:pPr>
      <w:r>
        <w:rPr>
          <w:rFonts w:ascii="Arial" w:cs="Arial" w:eastAsia="Arial" w:hAnsi="Arial"/>
          <w:sz w:val="20"/>
          <w:szCs w:val="20"/>
          <w:color w:val="auto"/>
        </w:rPr>
        <w:t>and</w:t>
      </w:r>
    </w:p>
    <w:p>
      <w:pPr>
        <w:spacing w:after="0" w:line="1"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Wells Fargo Bank, National Association, as Administrative Agent</w:t>
      </w:r>
    </w:p>
    <w:p>
      <w:pPr>
        <w:spacing w:after="0" w:line="18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FORM OF NOTICE OF CONVERSION/CONTINUATION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099"/>
          </w:cols>
          <w:pgMar w:left="360" w:top="1405" w:right="1440" w:bottom="1440" w:gutter="0" w:footer="0" w:header="0"/>
        </w:sectPr>
      </w:pPr>
    </w:p>
    <w:bookmarkStart w:id="272" w:name="page273"/>
    <w:bookmarkEnd w:id="272"/>
    <w:p>
      <w:pPr>
        <w:ind w:left="2320"/>
        <w:spacing w:after="0"/>
        <w:rPr>
          <w:sz w:val="20"/>
          <w:szCs w:val="20"/>
          <w:color w:val="auto"/>
        </w:rPr>
      </w:pPr>
      <w:r>
        <w:rPr>
          <w:rFonts w:ascii="Arial" w:cs="Arial" w:eastAsia="Arial" w:hAnsi="Arial"/>
          <w:sz w:val="20"/>
          <w:szCs w:val="20"/>
          <w:color w:val="auto"/>
        </w:rPr>
        <w:t>NOTICE OF CONVERSION/CONTINUATION</w:t>
      </w:r>
    </w:p>
    <w:p>
      <w:pPr>
        <w:spacing w:after="0" w:line="200" w:lineRule="exact"/>
        <w:rPr>
          <w:sz w:val="20"/>
          <w:szCs w:val="20"/>
          <w:color w:val="auto"/>
        </w:rPr>
      </w:pPr>
    </w:p>
    <w:p>
      <w:pPr>
        <w:spacing w:after="0" w:line="32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Dated as of:</w:t>
      </w:r>
    </w:p>
    <w:p>
      <w:pPr>
        <w:spacing w:after="0" w:line="2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Wells Fargo Bank, National Association, as Administrative Agent</w:t>
      </w:r>
    </w:p>
    <w:p>
      <w:pPr>
        <w:ind w:left="80"/>
        <w:spacing w:after="0" w:line="197" w:lineRule="auto"/>
        <w:rPr>
          <w:sz w:val="20"/>
          <w:szCs w:val="20"/>
          <w:color w:val="auto"/>
        </w:rPr>
      </w:pPr>
      <w:r>
        <w:rPr>
          <w:rFonts w:ascii="Arial" w:cs="Arial" w:eastAsia="Arial" w:hAnsi="Arial"/>
          <w:sz w:val="20"/>
          <w:szCs w:val="20"/>
          <w:color w:val="auto"/>
        </w:rPr>
        <w:t>MAC D 1109-019</w:t>
      </w:r>
    </w:p>
    <w:p>
      <w:pPr>
        <w:ind w:left="80"/>
        <w:spacing w:after="0"/>
        <w:rPr>
          <w:sz w:val="20"/>
          <w:szCs w:val="20"/>
          <w:color w:val="auto"/>
        </w:rPr>
      </w:pPr>
      <w:r>
        <w:rPr>
          <w:rFonts w:ascii="Arial" w:cs="Arial" w:eastAsia="Arial" w:hAnsi="Arial"/>
          <w:sz w:val="20"/>
          <w:szCs w:val="20"/>
          <w:color w:val="auto"/>
        </w:rPr>
        <w:t>1525 West W.T. Harris Blvd. Charlotte, North Carolina 28262</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Attention: Syndication Agency Services Ladies and Gentlemen:</w:t>
      </w:r>
    </w:p>
    <w:p>
      <w:pPr>
        <w:spacing w:after="0" w:line="108" w:lineRule="exact"/>
        <w:rPr>
          <w:sz w:val="20"/>
          <w:szCs w:val="20"/>
          <w:color w:val="auto"/>
        </w:rPr>
      </w:pPr>
    </w:p>
    <w:p>
      <w:pPr>
        <w:ind w:left="80" w:right="20" w:firstLine="648"/>
        <w:spacing w:after="0" w:line="236" w:lineRule="auto"/>
        <w:rPr>
          <w:sz w:val="20"/>
          <w:szCs w:val="20"/>
          <w:color w:val="auto"/>
        </w:rPr>
      </w:pPr>
      <w:r>
        <w:rPr>
          <w:rFonts w:ascii="Arial" w:cs="Arial" w:eastAsia="Arial" w:hAnsi="Arial"/>
          <w:sz w:val="18"/>
          <w:szCs w:val="18"/>
          <w:color w:val="auto"/>
        </w:rPr>
        <w:t>This irrevocable Notice of Conversion/Continuation (this “Notice”) is delivered to you pursuant to Section 5.2 of the Second Amended and Restated Credit Agreement, dated as of August 27, 2021 (as amended, amended and restated, supplemented or otherwise</w:t>
      </w:r>
    </w:p>
    <w:p>
      <w:pPr>
        <w:ind w:left="80"/>
        <w:spacing w:after="0" w:line="222" w:lineRule="auto"/>
        <w:rPr>
          <w:sz w:val="20"/>
          <w:szCs w:val="20"/>
          <w:color w:val="auto"/>
        </w:rPr>
      </w:pPr>
      <w:r>
        <w:rPr>
          <w:rFonts w:ascii="Arial" w:cs="Arial" w:eastAsia="Arial" w:hAnsi="Arial"/>
          <w:sz w:val="19"/>
          <w:szCs w:val="19"/>
          <w:color w:val="auto"/>
        </w:rPr>
        <w:t>modified from time to time, the “Credit Agreement”), by and among Centuri Group, Inc., a Nevada corporation, and each Additional</w:t>
      </w:r>
    </w:p>
    <w:p>
      <w:pPr>
        <w:spacing w:after="0" w:line="1" w:lineRule="exact"/>
        <w:rPr>
          <w:sz w:val="20"/>
          <w:szCs w:val="20"/>
          <w:color w:val="auto"/>
        </w:rPr>
      </w:pPr>
    </w:p>
    <w:p>
      <w:pPr>
        <w:ind w:left="80" w:right="20"/>
        <w:spacing w:after="0" w:line="226" w:lineRule="auto"/>
        <w:rPr>
          <w:sz w:val="20"/>
          <w:szCs w:val="20"/>
          <w:color w:val="auto"/>
        </w:rPr>
      </w:pPr>
      <w:r>
        <w:rPr>
          <w:rFonts w:ascii="Arial" w:cs="Arial" w:eastAsia="Arial" w:hAnsi="Arial"/>
          <w:sz w:val="18"/>
          <w:szCs w:val="18"/>
          <w:color w:val="auto"/>
        </w:rPr>
        <w:t>Borrower that becomes a party thereto in accordance with Section 5.17 thereof (collectively, the “US Borrowers”), Centuri Canada Division Inc., a corporation organized under the laws of the Province of Ontario, Canada, and each Additional Borrower that becomes a</w:t>
      </w:r>
    </w:p>
    <w:p>
      <w:pPr>
        <w:spacing w:after="0" w:line="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party thereto in accordance with Section 5.17 thereof (collectively, the “Canadian Borrowers”), the Lenders party thereto and Wells Fargo Bank, National Association, as Administrative Agent. Capitalized terms used herein and not defined herein shall have the meanings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assigned thereto in the Credit Agreement.</w:t>
      </w:r>
    </w:p>
    <w:p>
      <w:pPr>
        <w:spacing w:after="0" w:line="194" w:lineRule="exact"/>
        <w:rPr>
          <w:sz w:val="20"/>
          <w:szCs w:val="20"/>
          <w:color w:val="auto"/>
        </w:rPr>
      </w:pPr>
    </w:p>
    <w:p>
      <w:pPr>
        <w:ind w:left="80" w:right="20" w:firstLine="644"/>
        <w:spacing w:after="0" w:line="239" w:lineRule="auto"/>
        <w:tabs>
          <w:tab w:leader="none" w:pos="1257" w:val="left"/>
        </w:tabs>
        <w:numPr>
          <w:ilvl w:val="0"/>
          <w:numId w:val="488"/>
        </w:numPr>
        <w:rPr>
          <w:rFonts w:ascii="Arial" w:cs="Arial" w:eastAsia="Arial" w:hAnsi="Arial"/>
          <w:sz w:val="20"/>
          <w:szCs w:val="20"/>
          <w:color w:val="auto"/>
        </w:rPr>
      </w:pPr>
      <w:r>
        <w:rPr>
          <w:rFonts w:ascii="Arial" w:cs="Arial" w:eastAsia="Arial" w:hAnsi="Arial"/>
          <w:sz w:val="20"/>
          <w:szCs w:val="20"/>
          <w:color w:val="auto"/>
        </w:rPr>
        <w:t xml:space="preserve">The Loan to which this Notice relates is </w:t>
      </w:r>
      <w:r>
        <w:rPr>
          <w:rFonts w:ascii="Arial" w:cs="Arial" w:eastAsia="Arial" w:hAnsi="Arial"/>
          <w:sz w:val="20"/>
          <w:szCs w:val="20"/>
          <w:b w:val="1"/>
          <w:bCs w:val="1"/>
          <w:color w:val="auto"/>
        </w:rPr>
        <w:t>[</w:t>
      </w:r>
      <w:r>
        <w:rPr>
          <w:rFonts w:ascii="Arial" w:cs="Arial" w:eastAsia="Arial" w:hAnsi="Arial"/>
          <w:sz w:val="20"/>
          <w:szCs w:val="20"/>
          <w:color w:val="auto"/>
        </w:rPr>
        <w:t>a US Revolving Credit Loan</w:t>
      </w:r>
      <w:r>
        <w:rPr>
          <w:rFonts w:ascii="Arial" w:cs="Arial" w:eastAsia="Arial" w:hAnsi="Arial"/>
          <w:sz w:val="20"/>
          <w:szCs w:val="20"/>
          <w:b w:val="1"/>
          <w:bCs w:val="1"/>
          <w:color w:val="auto"/>
        </w:rPr>
        <w:t>]</w:t>
      </w:r>
      <w:r>
        <w:rPr>
          <w:rFonts w:ascii="Arial" w:cs="Arial" w:eastAsia="Arial" w:hAnsi="Arial"/>
          <w:sz w:val="20"/>
          <w:szCs w:val="20"/>
          <w:color w:val="auto"/>
        </w:rPr>
        <w:t xml:space="preserve"> [a Canadian Revolving Credit Loan] </w:t>
      </w:r>
      <w:r>
        <w:rPr>
          <w:rFonts w:ascii="Arial" w:cs="Arial" w:eastAsia="Arial" w:hAnsi="Arial"/>
          <w:sz w:val="20"/>
          <w:szCs w:val="20"/>
          <w:b w:val="1"/>
          <w:bCs w:val="1"/>
          <w:color w:val="auto"/>
        </w:rPr>
        <w:t>[</w:t>
      </w:r>
      <w:r>
        <w:rPr>
          <w:rFonts w:ascii="Arial" w:cs="Arial" w:eastAsia="Arial" w:hAnsi="Arial"/>
          <w:sz w:val="20"/>
          <w:szCs w:val="20"/>
          <w:color w:val="auto"/>
        </w:rPr>
        <w:t>the Initial Term Loan</w:t>
      </w:r>
      <w:r>
        <w:rPr>
          <w:rFonts w:ascii="Arial" w:cs="Arial" w:eastAsia="Arial" w:hAnsi="Arial"/>
          <w:sz w:val="20"/>
          <w:szCs w:val="20"/>
          <w:b w:val="1"/>
          <w:bCs w:val="1"/>
          <w:color w:val="auto"/>
        </w:rPr>
        <w:t>] [</w:t>
      </w:r>
      <w:r>
        <w:rPr>
          <w:rFonts w:ascii="Arial" w:cs="Arial" w:eastAsia="Arial" w:hAnsi="Arial"/>
          <w:sz w:val="20"/>
          <w:szCs w:val="20"/>
          <w:color w:val="auto"/>
        </w:rPr>
        <w:t>an Incremental Term Loan</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16"/>
          <w:szCs w:val="16"/>
          <w:color w:val="auto"/>
        </w:rPr>
        <w:t>(Delete as applicable.)</w:t>
      </w:r>
    </w:p>
    <w:p>
      <w:pPr>
        <w:spacing w:after="0" w:line="195" w:lineRule="exact"/>
        <w:rPr>
          <w:rFonts w:ascii="Arial" w:cs="Arial" w:eastAsia="Arial" w:hAnsi="Arial"/>
          <w:sz w:val="20"/>
          <w:szCs w:val="20"/>
          <w:color w:val="auto"/>
        </w:rPr>
      </w:pPr>
    </w:p>
    <w:p>
      <w:pPr>
        <w:ind w:left="1260" w:hanging="536"/>
        <w:spacing w:after="0"/>
        <w:tabs>
          <w:tab w:leader="none" w:pos="1260"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This Notice is submitted for the purpose of: </w:t>
      </w:r>
      <w:r>
        <w:rPr>
          <w:rFonts w:ascii="Arial" w:cs="Arial" w:eastAsia="Arial" w:hAnsi="Arial"/>
          <w:sz w:val="15"/>
          <w:szCs w:val="15"/>
          <w:color w:val="auto"/>
        </w:rPr>
        <w:t>(Check one and complete applicable information in accordance with the Credit Agreement.)</w:t>
      </w:r>
    </w:p>
    <w:p>
      <w:pPr>
        <w:spacing w:after="0" w:line="325" w:lineRule="exact"/>
        <w:rPr>
          <w:sz w:val="20"/>
          <w:szCs w:val="20"/>
          <w:color w:val="auto"/>
        </w:rPr>
      </w:pPr>
    </w:p>
    <w:p>
      <w:pPr>
        <w:ind w:left="1380" w:right="720"/>
        <w:spacing w:after="0" w:line="271" w:lineRule="auto"/>
        <w:rPr>
          <w:sz w:val="20"/>
          <w:szCs w:val="20"/>
          <w:color w:val="auto"/>
        </w:rPr>
      </w:pPr>
      <w:r>
        <w:rPr>
          <w:sz w:val="1"/>
          <w:szCs w:val="1"/>
          <w:color w:val="auto"/>
        </w:rPr>
        <w:drawing>
          <wp:inline distT="0" distB="0" distL="0" distR="0">
            <wp:extent cx="111760" cy="1117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Converting all or a portion of a [Base Rate Loan into a LIBOR Rate Loan] [Base Rate Loan into a SOFR Loan] [Canadian Base Rate Loan into a CDOR Rate Loan]</w:t>
      </w:r>
    </w:p>
    <w:p>
      <w:pPr>
        <w:spacing w:after="0" w:line="233" w:lineRule="exact"/>
        <w:rPr>
          <w:sz w:val="20"/>
          <w:szCs w:val="20"/>
          <w:color w:val="auto"/>
        </w:rPr>
      </w:pPr>
    </w:p>
    <w:p>
      <w:pPr>
        <w:ind w:left="1380"/>
        <w:spacing w:after="0"/>
        <w:tabs>
          <w:tab w:leader="none" w:pos="3980" w:val="left"/>
        </w:tabs>
        <w:rPr>
          <w:sz w:val="20"/>
          <w:szCs w:val="20"/>
          <w:color w:val="auto"/>
        </w:rPr>
      </w:pPr>
      <w:r>
        <w:rPr>
          <w:rFonts w:ascii="Arial" w:cs="Arial" w:eastAsia="Arial" w:hAnsi="Arial"/>
          <w:sz w:val="20"/>
          <w:szCs w:val="20"/>
          <w:color w:val="auto"/>
        </w:rPr>
        <w:t>Outstanding principal balance:</w:t>
      </w:r>
      <w:r>
        <w:rPr>
          <w:sz w:val="20"/>
          <w:szCs w:val="20"/>
          <w:color w:val="auto"/>
        </w:rPr>
        <w:tab/>
      </w:r>
      <w:r>
        <w:rPr>
          <w:rFonts w:ascii="Arial" w:cs="Arial" w:eastAsia="Arial" w:hAnsi="Arial"/>
          <w:sz w:val="16"/>
          <w:szCs w:val="16"/>
          <w:color w:val="auto"/>
        </w:rPr>
        <w:t>$</w:t>
      </w:r>
    </w:p>
    <w:p>
      <w:pPr>
        <w:spacing w:after="0" w:line="283" w:lineRule="exact"/>
        <w:rPr>
          <w:sz w:val="20"/>
          <w:szCs w:val="20"/>
          <w:color w:val="auto"/>
        </w:rPr>
      </w:pPr>
    </w:p>
    <w:p>
      <w:pPr>
        <w:ind w:left="1380"/>
        <w:spacing w:after="0"/>
        <w:tabs>
          <w:tab w:leader="none" w:pos="4240" w:val="left"/>
        </w:tabs>
        <w:rPr>
          <w:sz w:val="20"/>
          <w:szCs w:val="20"/>
          <w:color w:val="auto"/>
        </w:rPr>
      </w:pPr>
      <w:r>
        <w:rPr>
          <w:rFonts w:ascii="Arial" w:cs="Arial" w:eastAsia="Arial" w:hAnsi="Arial"/>
          <w:sz w:val="19"/>
          <w:szCs w:val="19"/>
          <w:color w:val="auto"/>
        </w:rPr>
        <w:t>Principal amount to be converted:</w:t>
      </w:r>
      <w:r>
        <w:rPr>
          <w:sz w:val="20"/>
          <w:szCs w:val="20"/>
          <w:color w:val="auto"/>
        </w:rPr>
        <w:tab/>
      </w:r>
      <w:r>
        <w:rPr>
          <w:rFonts w:ascii="Arial" w:cs="Arial" w:eastAsia="Arial" w:hAnsi="Arial"/>
          <w:sz w:val="16"/>
          <w:szCs w:val="16"/>
          <w:color w:val="auto"/>
        </w:rPr>
        <w:t>$</w:t>
      </w:r>
    </w:p>
    <w:p>
      <w:pPr>
        <w:spacing w:after="0" w:line="29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Requested effective 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-6350</wp:posOffset>
            </wp:positionV>
            <wp:extent cx="9429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7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Requested new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-6350</wp:posOffset>
            </wp:positionV>
            <wp:extent cx="9429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1380" w:right="160"/>
        <w:spacing w:after="0" w:line="271" w:lineRule="auto"/>
        <w:rPr>
          <w:sz w:val="20"/>
          <w:szCs w:val="20"/>
          <w:color w:val="auto"/>
        </w:rPr>
      </w:pPr>
      <w:r>
        <w:rPr>
          <w:sz w:val="1"/>
          <w:szCs w:val="1"/>
          <w:color w:val="auto"/>
        </w:rPr>
        <w:drawing>
          <wp:inline distT="0" distB="0" distL="0" distR="0">
            <wp:extent cx="111760" cy="1117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1">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Converting all or a portion of a [LIBOR Rate Loan into a Base Rate Loan][SOFR Loan into a Base Rate Loan][CDOR Rate Loan into a Canadian Base Rate Loan]</w:t>
      </w:r>
    </w:p>
    <w:p>
      <w:pPr>
        <w:spacing w:after="0" w:line="233" w:lineRule="exact"/>
        <w:rPr>
          <w:sz w:val="20"/>
          <w:szCs w:val="20"/>
          <w:color w:val="auto"/>
        </w:rPr>
      </w:pPr>
    </w:p>
    <w:p>
      <w:pPr>
        <w:ind w:left="1380"/>
        <w:spacing w:after="0"/>
        <w:tabs>
          <w:tab w:leader="none" w:pos="3980" w:val="left"/>
        </w:tabs>
        <w:rPr>
          <w:sz w:val="20"/>
          <w:szCs w:val="20"/>
          <w:color w:val="auto"/>
        </w:rPr>
      </w:pPr>
      <w:r>
        <w:rPr>
          <w:rFonts w:ascii="Arial" w:cs="Arial" w:eastAsia="Arial" w:hAnsi="Arial"/>
          <w:sz w:val="20"/>
          <w:szCs w:val="20"/>
          <w:color w:val="auto"/>
        </w:rPr>
        <w:t>Outstanding principal balance:</w:t>
      </w:r>
      <w:r>
        <w:rPr>
          <w:sz w:val="20"/>
          <w:szCs w:val="20"/>
          <w:color w:val="auto"/>
        </w:rPr>
        <w:tab/>
      </w:r>
      <w:r>
        <w:rPr>
          <w:rFonts w:ascii="Arial" w:cs="Arial" w:eastAsia="Arial" w:hAnsi="Arial"/>
          <w:sz w:val="16"/>
          <w:szCs w:val="16"/>
          <w:color w:val="auto"/>
        </w:rPr>
        <w:t>$</w:t>
      </w:r>
    </w:p>
    <w:p>
      <w:pPr>
        <w:spacing w:after="0" w:line="270" w:lineRule="exact"/>
        <w:rPr>
          <w:sz w:val="20"/>
          <w:szCs w:val="20"/>
          <w:color w:val="auto"/>
        </w:rPr>
      </w:pPr>
    </w:p>
    <w:p>
      <w:pPr>
        <w:ind w:left="1380"/>
        <w:spacing w:after="0"/>
        <w:tabs>
          <w:tab w:leader="none" w:pos="4240" w:val="left"/>
        </w:tabs>
        <w:rPr>
          <w:sz w:val="20"/>
          <w:szCs w:val="20"/>
          <w:color w:val="auto"/>
        </w:rPr>
      </w:pPr>
      <w:r>
        <w:rPr>
          <w:rFonts w:ascii="Arial" w:cs="Arial" w:eastAsia="Arial" w:hAnsi="Arial"/>
          <w:sz w:val="19"/>
          <w:szCs w:val="19"/>
          <w:color w:val="auto"/>
        </w:rPr>
        <w:t>Principal amount to be converted:</w:t>
      </w:r>
      <w:r>
        <w:rPr>
          <w:sz w:val="20"/>
          <w:szCs w:val="20"/>
          <w:color w:val="auto"/>
        </w:rPr>
        <w:tab/>
      </w:r>
      <w:r>
        <w:rPr>
          <w:rFonts w:ascii="Arial" w:cs="Arial" w:eastAsia="Arial" w:hAnsi="Arial"/>
          <w:sz w:val="16"/>
          <w:szCs w:val="16"/>
          <w:color w:val="auto"/>
        </w:rPr>
        <w:t>$</w:t>
      </w:r>
    </w:p>
    <w:p>
      <w:pPr>
        <w:spacing w:after="0" w:line="29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Last day of the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1905</wp:posOffset>
            </wp:positionV>
            <wp:extent cx="9429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1100"/>
          </w:cols>
          <w:pgMar w:left="360" w:top="1405" w:right="439" w:bottom="1440" w:gutter="0" w:footer="0" w:header="0"/>
        </w:sectPr>
      </w:pPr>
    </w:p>
    <w:bookmarkStart w:id="273" w:name="page274"/>
    <w:bookmarkEnd w:id="273"/>
    <w:p>
      <w:pPr>
        <w:ind w:left="1360"/>
        <w:spacing w:after="0"/>
        <w:rPr>
          <w:sz w:val="20"/>
          <w:szCs w:val="20"/>
          <w:color w:val="auto"/>
        </w:rPr>
      </w:pPr>
      <w:r>
        <w:rPr>
          <w:rFonts w:ascii="Arial" w:cs="Arial" w:eastAsia="Arial" w:hAnsi="Arial"/>
          <w:sz w:val="20"/>
          <w:szCs w:val="20"/>
          <w:color w:val="auto"/>
        </w:rPr>
        <w:t>Requested effective 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1905</wp:posOffset>
            </wp:positionV>
            <wp:extent cx="9429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360" w:right="140" w:firstLine="5"/>
        <w:spacing w:after="0" w:line="257" w:lineRule="auto"/>
        <w:rPr>
          <w:sz w:val="20"/>
          <w:szCs w:val="20"/>
          <w:color w:val="auto"/>
        </w:rPr>
      </w:pPr>
      <w:r>
        <w:rPr>
          <w:sz w:val="1"/>
          <w:szCs w:val="1"/>
          <w:color w:val="auto"/>
        </w:rPr>
        <w:drawing>
          <wp:inline distT="0" distB="0" distL="0" distR="0">
            <wp:extent cx="111760" cy="1111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4">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20"/>
          <w:szCs w:val="20"/>
          <w:color w:val="auto"/>
        </w:rPr>
        <w:t>Continuing all or a portion of a [LIBOR Rate Loan as a LIBOR Rate Loan][SOFR Loan as a SOFR Loan][CDOR Rate Loan as a CDOR Rate Loan]</w:t>
      </w:r>
    </w:p>
    <w:p>
      <w:pPr>
        <w:spacing w:after="0" w:line="247" w:lineRule="exact"/>
        <w:rPr>
          <w:sz w:val="20"/>
          <w:szCs w:val="20"/>
          <w:color w:val="auto"/>
        </w:rPr>
      </w:pPr>
    </w:p>
    <w:p>
      <w:pPr>
        <w:ind w:left="1360"/>
        <w:spacing w:after="0"/>
        <w:tabs>
          <w:tab w:leader="none" w:pos="3960" w:val="left"/>
        </w:tabs>
        <w:rPr>
          <w:sz w:val="20"/>
          <w:szCs w:val="20"/>
          <w:color w:val="auto"/>
        </w:rPr>
      </w:pPr>
      <w:r>
        <w:rPr>
          <w:rFonts w:ascii="Arial" w:cs="Arial" w:eastAsia="Arial" w:hAnsi="Arial"/>
          <w:sz w:val="20"/>
          <w:szCs w:val="20"/>
          <w:color w:val="auto"/>
        </w:rPr>
        <w:t>Outstanding principal balance:</w:t>
      </w:r>
      <w:r>
        <w:rPr>
          <w:sz w:val="20"/>
          <w:szCs w:val="20"/>
          <w:color w:val="auto"/>
        </w:rPr>
        <w:tab/>
      </w:r>
      <w:r>
        <w:rPr>
          <w:rFonts w:ascii="Arial" w:cs="Arial" w:eastAsia="Arial" w:hAnsi="Arial"/>
          <w:sz w:val="16"/>
          <w:szCs w:val="16"/>
          <w:color w:val="auto"/>
        </w:rPr>
        <w:t>$</w:t>
      </w:r>
    </w:p>
    <w:p>
      <w:pPr>
        <w:spacing w:after="0" w:line="283" w:lineRule="exact"/>
        <w:rPr>
          <w:sz w:val="20"/>
          <w:szCs w:val="20"/>
          <w:color w:val="auto"/>
        </w:rPr>
      </w:pPr>
    </w:p>
    <w:p>
      <w:pPr>
        <w:ind w:left="1360"/>
        <w:spacing w:after="0"/>
        <w:tabs>
          <w:tab w:leader="none" w:pos="4220" w:val="left"/>
        </w:tabs>
        <w:rPr>
          <w:sz w:val="20"/>
          <w:szCs w:val="20"/>
          <w:color w:val="auto"/>
        </w:rPr>
      </w:pPr>
      <w:r>
        <w:rPr>
          <w:rFonts w:ascii="Arial" w:cs="Arial" w:eastAsia="Arial" w:hAnsi="Arial"/>
          <w:sz w:val="20"/>
          <w:szCs w:val="20"/>
          <w:color w:val="auto"/>
        </w:rPr>
        <w:t>Principal amount to be continued:</w:t>
      </w:r>
      <w:r>
        <w:rPr>
          <w:sz w:val="20"/>
          <w:szCs w:val="20"/>
          <w:color w:val="auto"/>
        </w:rPr>
        <w:tab/>
      </w:r>
      <w:r>
        <w:rPr>
          <w:rFonts w:ascii="Arial" w:cs="Arial" w:eastAsia="Arial" w:hAnsi="Arial"/>
          <w:sz w:val="16"/>
          <w:szCs w:val="16"/>
          <w:color w:val="auto"/>
        </w:rPr>
        <w:t>$</w:t>
      </w:r>
    </w:p>
    <w:p>
      <w:pPr>
        <w:spacing w:after="0" w:line="283"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Last day of the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1905</wp:posOffset>
            </wp:positionV>
            <wp:extent cx="9429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71"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Requested effective date of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-6350</wp:posOffset>
            </wp:positionV>
            <wp:extent cx="9429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5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Requested new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1905</wp:posOffset>
            </wp:positionV>
            <wp:extent cx="9429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71" w:lineRule="exact"/>
        <w:rPr>
          <w:sz w:val="20"/>
          <w:szCs w:val="20"/>
          <w:color w:val="auto"/>
        </w:rPr>
      </w:pPr>
    </w:p>
    <w:p>
      <w:pPr>
        <w:ind w:left="60" w:firstLine="646"/>
        <w:spacing w:after="0" w:line="236" w:lineRule="auto"/>
        <w:tabs>
          <w:tab w:leader="none" w:pos="1264" w:val="left"/>
        </w:tabs>
        <w:numPr>
          <w:ilvl w:val="0"/>
          <w:numId w:val="489"/>
        </w:numPr>
        <w:rPr>
          <w:rFonts w:ascii="Arial" w:cs="Arial" w:eastAsia="Arial" w:hAnsi="Arial"/>
          <w:sz w:val="20"/>
          <w:szCs w:val="20"/>
          <w:color w:val="auto"/>
        </w:rPr>
      </w:pPr>
      <w:r>
        <w:rPr>
          <w:rFonts w:ascii="Arial" w:cs="Arial" w:eastAsia="Arial" w:hAnsi="Arial"/>
          <w:sz w:val="20"/>
          <w:szCs w:val="20"/>
          <w:color w:val="auto"/>
        </w:rPr>
        <w:t>The aggregate principal amount of all Loans and L/C Obligations outstanding as of the date hereof does not exceed the maximum amount permitted to be outstanding pursuant to the terms of the Credit Agreement.</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1100"/>
          </w:cols>
          <w:pgMar w:left="360" w:top="1405" w:right="439" w:bottom="1440" w:gutter="0" w:footer="0" w:header="0"/>
        </w:sectPr>
      </w:pPr>
    </w:p>
    <w:bookmarkStart w:id="274" w:name="page275"/>
    <w:bookmarkEnd w:id="274"/>
    <w:p>
      <w:pPr>
        <w:ind w:left="60" w:firstLine="648"/>
        <w:spacing w:after="0" w:line="236" w:lineRule="auto"/>
        <w:rPr>
          <w:sz w:val="20"/>
          <w:szCs w:val="20"/>
          <w:color w:val="auto"/>
        </w:rPr>
      </w:pPr>
      <w:r>
        <w:rPr>
          <w:rFonts w:ascii="Arial" w:cs="Arial" w:eastAsia="Arial" w:hAnsi="Arial"/>
          <w:sz w:val="20"/>
          <w:szCs w:val="20"/>
          <w:color w:val="auto"/>
        </w:rPr>
        <w:t>IN WITNESS WHEREOF, the undersigned has executed this Notice of Conversion/Continuation as of the day and year first written above.</w:t>
      </w:r>
    </w:p>
    <w:p>
      <w:pPr>
        <w:spacing w:after="0" w:line="200" w:lineRule="exact"/>
        <w:rPr>
          <w:sz w:val="20"/>
          <w:szCs w:val="20"/>
          <w:color w:val="auto"/>
        </w:rPr>
      </w:pPr>
    </w:p>
    <w:p>
      <w:pPr>
        <w:spacing w:after="0" w:line="239"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[CENTURI GROUP, INC., as [a] US Borrower</w:t>
      </w:r>
    </w:p>
    <w:p>
      <w:pPr>
        <w:spacing w:after="0" w:line="200" w:lineRule="exact"/>
        <w:rPr>
          <w:sz w:val="20"/>
          <w:szCs w:val="20"/>
          <w:color w:val="auto"/>
        </w:rPr>
      </w:pPr>
    </w:p>
    <w:p>
      <w:pPr>
        <w:spacing w:after="0" w:line="234"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99"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[[INSERT EACH ADDITIONAL US BORROWER],</w:t>
      </w:r>
    </w:p>
    <w:p>
      <w:pPr>
        <w:ind w:left="4060"/>
        <w:spacing w:after="0"/>
        <w:rPr>
          <w:sz w:val="20"/>
          <w:szCs w:val="20"/>
          <w:color w:val="auto"/>
        </w:rPr>
      </w:pPr>
      <w:r>
        <w:rPr>
          <w:rFonts w:ascii="Arial" w:cs="Arial" w:eastAsia="Arial" w:hAnsi="Arial"/>
          <w:sz w:val="20"/>
          <w:szCs w:val="20"/>
          <w:color w:val="auto"/>
        </w:rPr>
        <w:t>as a US Borrower</w:t>
      </w:r>
    </w:p>
    <w:p>
      <w:pPr>
        <w:spacing w:after="0" w:line="200" w:lineRule="exact"/>
        <w:rPr>
          <w:sz w:val="20"/>
          <w:szCs w:val="20"/>
          <w:color w:val="auto"/>
        </w:rPr>
      </w:pPr>
    </w:p>
    <w:p>
      <w:pPr>
        <w:spacing w:after="0" w:line="23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99"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[CENTURI CANADA DIVISION INC., as [a]</w:t>
      </w:r>
    </w:p>
    <w:p>
      <w:pPr>
        <w:ind w:left="4060"/>
        <w:spacing w:after="0"/>
        <w:rPr>
          <w:sz w:val="20"/>
          <w:szCs w:val="20"/>
          <w:color w:val="auto"/>
        </w:rPr>
      </w:pPr>
      <w:r>
        <w:rPr>
          <w:rFonts w:ascii="Arial" w:cs="Arial" w:eastAsia="Arial" w:hAnsi="Arial"/>
          <w:sz w:val="20"/>
          <w:szCs w:val="20"/>
          <w:color w:val="auto"/>
        </w:rPr>
        <w:t>Canadian Borrower</w:t>
      </w:r>
    </w:p>
    <w:p>
      <w:pPr>
        <w:spacing w:after="0" w:line="200" w:lineRule="exact"/>
        <w:rPr>
          <w:sz w:val="20"/>
          <w:szCs w:val="20"/>
          <w:color w:val="auto"/>
        </w:rPr>
      </w:pPr>
    </w:p>
    <w:p>
      <w:pPr>
        <w:spacing w:after="0" w:line="218"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324"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[[INSERT EACH ADDITIONAL CANADIAN</w:t>
      </w:r>
    </w:p>
    <w:p>
      <w:pPr>
        <w:spacing w:after="0" w:line="1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BORROWER], as a Canadian Borrower</w:t>
      </w:r>
    </w:p>
    <w:p>
      <w:pPr>
        <w:spacing w:after="0" w:line="200" w:lineRule="exact"/>
        <w:rPr>
          <w:sz w:val="20"/>
          <w:szCs w:val="20"/>
          <w:color w:val="auto"/>
        </w:rPr>
      </w:pPr>
    </w:p>
    <w:p>
      <w:pPr>
        <w:spacing w:after="0" w:line="24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Name:</w:t>
      </w:r>
    </w:p>
    <w:p>
      <w:pPr>
        <w:ind w:left="4060"/>
        <w:spacing w:after="0"/>
        <w:tabs>
          <w:tab w:leader="none" w:pos="4660" w:val="left"/>
        </w:tabs>
        <w:rPr>
          <w:sz w:val="20"/>
          <w:szCs w:val="20"/>
          <w:color w:val="auto"/>
        </w:rPr>
      </w:pPr>
      <w:r>
        <w:rPr>
          <w:rFonts w:ascii="Arial" w:cs="Arial" w:eastAsia="Arial" w:hAnsi="Arial"/>
          <w:sz w:val="20"/>
          <w:szCs w:val="20"/>
          <w:color w:val="auto"/>
        </w:rPr>
        <w:t>Title:</w:t>
        <w:tab/>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166115119_2</w:t>
      </w:r>
    </w:p>
    <w:p>
      <w:pPr>
        <w:sectPr>
          <w:pgSz w:w="11900" w:h="16838" w:orient="portrait"/>
          <w:cols w:equalWidth="0" w:num="1">
            <w:col w:w="10560"/>
          </w:cols>
          <w:pgMar w:left="360" w:top="1405" w:right="979" w:bottom="1440" w:gutter="0" w:footer="0" w:header="0"/>
        </w:sectPr>
      </w:pPr>
    </w:p>
    <w:bookmarkStart w:id="275" w:name="page276"/>
    <w:bookmarkEnd w:id="275"/>
    <w:p>
      <w:pPr>
        <w:jc w:val="right"/>
        <w:spacing w:after="0"/>
        <w:rPr>
          <w:sz w:val="20"/>
          <w:szCs w:val="20"/>
          <w:color w:val="auto"/>
        </w:rPr>
      </w:pPr>
      <w:r>
        <w:rPr>
          <w:rFonts w:ascii="Arial" w:cs="Arial" w:eastAsia="Arial" w:hAnsi="Arial"/>
          <w:sz w:val="16"/>
          <w:szCs w:val="16"/>
          <w:b w:val="1"/>
          <w:bCs w:val="1"/>
          <w:color w:val="auto"/>
        </w:rPr>
        <w:t>Exhibit 13.01</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About Southwest Gas Holdings, Inc.</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and as of December 31, 2022, all of the shares of common stock of MountainWest Pipelines Holding Company (“MountainWest” or “pipeline and storage” segment). Southwest Gas Holdings, Inc. and its subsidiaries are collectively referred to as the “Company.”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December 2022, the Company announced that its Board of Directors (the “Board”) unanimously determined to take strategic actions to simplify the Company’s portfolio of businesses. These actions included entering into a definitive agreement (the “MountainWest Purchase Agreement”) to sell 100% of MountainWest in an all-cash transaction to Williams Partners Operating LLC (“Williams”) for $1.5 billion in total enterprise value, subject to certain adjustments. Additionally, the Company determined it will pursue a spin-off of Centuri (the “Centuri spin-off”), to form a new independent publicly traded utility infrastructure services company. The MountainWest transaction closed on February 14, 2023. The Company is to provide certain services to Williams under a transition services agreement for a brief period, generally not beyond six months. As a result of entry into the agreement, the Company recorded a loss, composed of a goodwill impairment of $449.6 million plus $5.8 million in estimated selling costs. A customary post-closing true-up will occur but is not currently expected to be material to the financial statements as a whole. The Centuri spin-off is expected to be completed in the fourth quarter of 2023 or the first quarter of 2024 and to be tax free to the Company and its stockholders for U.S. federal income tax purposes. The Centuri spin-off will be subject to, among other things, finalizing the transaction structure, final approval by the Board, approval by the Arizona Corporation Commission, the receipt of a favorable Internal Revenue Service private letter ruling relating to the tax-free nature of the transaction, and the effectiveness of a registration statement that will be filed with the U.S. Securities and Exchange Commission. See </w:t>
      </w:r>
      <w:r>
        <w:rPr>
          <w:rFonts w:ascii="Arial" w:cs="Arial" w:eastAsia="Arial" w:hAnsi="Arial"/>
          <w:sz w:val="17"/>
          <w:szCs w:val="17"/>
          <w:b w:val="1"/>
          <w:bCs w:val="1"/>
          <w:color w:val="auto"/>
        </w:rPr>
        <w:t>Note 15 - Acquisitions and Dispositions</w:t>
      </w:r>
      <w:r>
        <w:rPr>
          <w:rFonts w:ascii="Arial" w:cs="Arial" w:eastAsia="Arial" w:hAnsi="Arial"/>
          <w:sz w:val="17"/>
          <w:szCs w:val="17"/>
          <w:color w:val="auto"/>
        </w:rPr>
        <w:t xml:space="preserve"> for additional information.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on May 6, 2022, the Company entered into a Cooperation Agreement (“Cooperation Agreement”) with Carl C. Icahn and the persons and entities named therein (the “Icahn Group”). Pursuant to the Initial Cooperation Agreement, the Company, among other things, made certain previously disclosed changes to the Board and management team. On October 24, 2022, the Company and the Icahn Group entered into the Amended Cooperation Agreement, which amended, restated, superseded, and replaced in its entirety the Initial Cooperation Agreement. Under the Amended Cooperation Agreement, certain of the standstill provisions in the Initial Cooperation Agreement were extended, the Icahn Group’s governance rights were amended, and the Company agreed to certain actions in connection with the 2023 Annual Meeting. Additional information about the Amended Cooperation Agreement can be found in the Company's Current Report on Form 8-K, filed with the SEC on October 26, 2022.</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includes Southwest, which is engaged in the business of purchasing, distributing, and transporting natural gas for customers in portions of Arizona, Nevada, and California. Southwest is the largest distributor of natural gas in Arizona and Nevada, and distributes and transports natural gas for customers in portions of California. Additionally, through its subsidiaries, Southwest operates two regulated interstate pipelines serving portions of the northern territories of Nevada and California.</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2022, Southwest had 2,197,000 residential, commercial, industrial, and other natural gas customers, of which 1,176,000 customers were located in Arizona, 816,000 in Nevada, and 205,000 in California. In January 2022, approximately 5,300 customers became part of Southwest’s gas distribution operations that were formerly served by Graham County Utilities. First-time meter sets were approximately 41,000 in 2022, compared to 37,000 in 2021. Residential and commercial customers represented over 99% of the total customer base. During 2022, 54% of operating margin (gas operating revenues less the net cost of gas sold) was earned in Arizona, 34% in Nevada, and 12% in California. During this same period, Southwest earned 85% of its operating margin from residential and small commercial customers, 4% from other sales customers, and 11% from transportation customers. These general patterns are expected to remain materially consistent for the foreseeable future.</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76" w:name="page277"/>
    <w:bookmarkEnd w:id="276"/>
    <w:p>
      <w:pPr>
        <w:jc w:val="both"/>
        <w:spacing w:after="0" w:line="286" w:lineRule="auto"/>
        <w:rPr>
          <w:sz w:val="20"/>
          <w:szCs w:val="20"/>
          <w:color w:val="auto"/>
        </w:rPr>
      </w:pPr>
      <w:r>
        <w:rPr>
          <w:rFonts w:ascii="Arial" w:cs="Arial" w:eastAsia="Arial" w:hAnsi="Arial"/>
          <w:sz w:val="17"/>
          <w:szCs w:val="17"/>
          <w:color w:val="auto"/>
        </w:rPr>
        <w:t xml:space="preserve">are general rate relief (including impacts of infrastructure program recoveries) and customer growth. Commission decisions on the amount and timing of relief may impact our earnings. Refer to the Summary Operating Results table below for a reconciliation of gross margin to operating margin, and refer to </w:t>
      </w:r>
      <w:r>
        <w:rPr>
          <w:rFonts w:ascii="Arial" w:cs="Arial" w:eastAsia="Arial" w:hAnsi="Arial"/>
          <w:sz w:val="17"/>
          <w:szCs w:val="17"/>
          <w:i w:val="1"/>
          <w:iCs w:val="1"/>
          <w:color w:val="auto"/>
        </w:rPr>
        <w:t xml:space="preserve">Rates and Regulatory Proceedings </w:t>
      </w:r>
      <w:r>
        <w:rPr>
          <w:rFonts w:ascii="Arial" w:cs="Arial" w:eastAsia="Arial" w:hAnsi="Arial"/>
          <w:sz w:val="17"/>
          <w:szCs w:val="17"/>
          <w:color w:val="auto"/>
        </w:rPr>
        <w:t>in this Management’s Discussion and Analysis for details of various rate proceedings.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73 primary locations across 45 states and provinces in the U.S. and Canada. Centuri operates in the U.S., primarily as NPL, Neuco, Linetec, and Riggs Distler, and in Canada, primarily as NPL Canada.</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programs throughout the U.S. Generally, Centuri revenues are lowest during the first quarter of the year due to less favorable winter weather working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MountainWest is an interstate natural gas transmission pipeline company that provides transportation and underground storage services to customers in Utah, Wyoming, and Colorado. A substantial portion of its revenue results from reservation charges, but variable rates are also included as part of its primarily rate-regulated rate structures.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businesses may be impacted by economic conditions that impact businesses generally, such as inflationary impacts on goods and services consumed in the business, rising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items discussed in this Executive Summary are intended to provide an overview of the results of the Company’s and Southwest’s operations and are covered in greater detail in later sections of management’s discussion and analysis.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auto"/>
                <w:w w:val="91"/>
              </w:rPr>
              <w:t>Contribution to net income (loss)</w:t>
            </w:r>
          </w:p>
        </w:tc>
        <w:tc>
          <w:tcPr>
            <w:tcW w:w="5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7560" w:type="dxa"/>
            <w:vAlign w:val="bottom"/>
            <w:gridSpan w:val="4"/>
          </w:tcPr>
          <w:p>
            <w:pPr>
              <w:ind w:left="220"/>
              <w:spacing w:after="0"/>
              <w:rPr>
                <w:sz w:val="20"/>
                <w:szCs w:val="20"/>
                <w:color w:val="auto"/>
              </w:rPr>
            </w:pPr>
            <w:r>
              <w:rPr>
                <w:rFonts w:ascii="Arial" w:cs="Arial" w:eastAsia="Arial" w:hAnsi="Arial"/>
                <w:sz w:val="18"/>
                <w:szCs w:val="18"/>
                <w:color w:val="auto"/>
              </w:rPr>
              <w:t>Natural gas distribution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154,380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187,135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159,118</w:t>
            </w: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74,862</w:t>
            </w:r>
          </w:p>
        </w:tc>
      </w:tr>
      <w:tr>
        <w:trPr>
          <w:trHeight w:val="229"/>
        </w:trPr>
        <w:tc>
          <w:tcPr>
            <w:tcW w:w="20" w:type="dxa"/>
            <w:vAlign w:val="bottom"/>
          </w:tcPr>
          <w:p>
            <w:pPr>
              <w:spacing w:after="0"/>
              <w:rPr>
                <w:sz w:val="19"/>
                <w:szCs w:val="19"/>
                <w:color w:val="auto"/>
              </w:rPr>
            </w:pPr>
          </w:p>
        </w:tc>
        <w:tc>
          <w:tcPr>
            <w:tcW w:w="7560" w:type="dxa"/>
            <w:vAlign w:val="bottom"/>
            <w:gridSpan w:val="4"/>
          </w:tcPr>
          <w:p>
            <w:pPr>
              <w:ind w:left="200"/>
              <w:spacing w:after="0"/>
              <w:rPr>
                <w:sz w:val="20"/>
                <w:szCs w:val="20"/>
                <w:color w:val="auto"/>
              </w:rPr>
            </w:pPr>
            <w:r>
              <w:rPr>
                <w:rFonts w:ascii="Arial" w:cs="Arial" w:eastAsia="Arial" w:hAnsi="Arial"/>
                <w:sz w:val="18"/>
                <w:szCs w:val="18"/>
                <w:color w:val="auto"/>
              </w:rPr>
              <w:t>Pipeline and storage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Corporate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23"/>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Weighted average common shares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75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Basic earnings (loss) per share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536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560" w:type="dxa"/>
            <w:vAlign w:val="bottom"/>
            <w:gridSpan w:val="4"/>
          </w:tcPr>
          <w:p>
            <w:pPr>
              <w:spacing w:after="0" w:line="189" w:lineRule="exact"/>
              <w:rPr>
                <w:sz w:val="20"/>
                <w:szCs w:val="20"/>
                <w:color w:val="auto"/>
              </w:rPr>
            </w:pPr>
            <w:r>
              <w:rPr>
                <w:rFonts w:ascii="Arial" w:cs="Arial" w:eastAsia="Arial" w:hAnsi="Arial"/>
                <w:sz w:val="18"/>
                <w:szCs w:val="18"/>
                <w:color w:val="auto"/>
              </w:rPr>
              <w:t>Natural Gas Distribution</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of Gross Margin to Operating Margin (Non-GAAP measure)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Utility Gross Margin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574,534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570,325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528,730</w:t>
            </w:r>
          </w:p>
        </w:tc>
      </w:tr>
      <w:tr>
        <w:trPr>
          <w:trHeight w:val="230"/>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Plus: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60" w:type="dxa"/>
            <w:vAlign w:val="bottom"/>
            <w:gridSpan w:val="4"/>
          </w:tcPr>
          <w:p>
            <w:pPr>
              <w:ind w:left="200"/>
              <w:spacing w:after="0"/>
              <w:rPr>
                <w:sz w:val="20"/>
                <w:szCs w:val="20"/>
                <w:color w:val="auto"/>
              </w:rPr>
            </w:pPr>
            <w:r>
              <w:rPr>
                <w:rFonts w:ascii="Arial" w:cs="Arial" w:eastAsia="Arial" w:hAnsi="Arial"/>
                <w:sz w:val="18"/>
                <w:szCs w:val="18"/>
                <w:color w:val="auto"/>
              </w:rPr>
              <w:t>Operations and maintenance (excluding Admin. &amp; General)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243,723</w:t>
            </w:r>
          </w:p>
        </w:tc>
      </w:tr>
      <w:tr>
        <w:trPr>
          <w:trHeight w:val="230"/>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235,295</w:t>
            </w:r>
          </w:p>
        </w:tc>
      </w:tr>
      <w:tr>
        <w:trPr>
          <w:trHeight w:val="223"/>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1,007,748</w:t>
            </w: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w:t>
      </w:r>
    </w:p>
    <w:p>
      <w:pPr>
        <w:spacing w:after="0" w:line="23" w:lineRule="exact"/>
        <w:rPr>
          <w:sz w:val="20"/>
          <w:szCs w:val="20"/>
          <w:color w:val="auto"/>
        </w:rPr>
      </w:pPr>
    </w:p>
    <w:p>
      <w:pPr>
        <w:ind w:left="320" w:hanging="312"/>
        <w:spacing w:after="0"/>
        <w:tabs>
          <w:tab w:leader="none" w:pos="3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MountainWest sale completed in February 2023 and Centuri spin-off plans are ongoing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Issued 6,325,000 shares of common stock, raising $452 million in net proceeds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Corporate and administrative expenses include impact of interest on remaining $1.15 billion term loan, as well as stockholder activism/settlement and strategic review costs</w:t>
      </w:r>
    </w:p>
    <w:p>
      <w:pPr>
        <w:ind w:left="340" w:hanging="332"/>
        <w:spacing w:after="0" w:line="260" w:lineRule="auto"/>
        <w:tabs>
          <w:tab w:leader="none" w:pos="33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February 2023, paid down $1.075 billion of the Term Loan Facility upon close of the sale of MountainWest, leaving approximately $72 million in aggregate principal amount outstanding under such loan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Natural gas distribution:</w:t>
      </w:r>
    </w:p>
    <w:p>
      <w:pPr>
        <w:spacing w:after="0" w:line="23" w:lineRule="exact"/>
        <w:rPr>
          <w:sz w:val="20"/>
          <w:szCs w:val="20"/>
          <w:color w:val="auto"/>
        </w:rPr>
      </w:pPr>
    </w:p>
    <w:p>
      <w:pPr>
        <w:ind w:left="320" w:hanging="312"/>
        <w:spacing w:after="0"/>
        <w:tabs>
          <w:tab w:leader="none" w:pos="3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41,000 first-time meters sets (1.9% growth rate) occurred over the past 12 months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Operating margin increased $55 million, or 5%, between 2022 and 2021</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Issued $600 million in 4.05% 10-year Notes and $300 million in 5.80% 5-year Notes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$683 million capital investment in 2022</w:t>
      </w:r>
    </w:p>
    <w:p>
      <w:pPr>
        <w:spacing w:after="0" w:line="12" w:lineRule="exact"/>
        <w:rPr>
          <w:rFonts w:ascii="Arial" w:cs="Arial" w:eastAsia="Arial" w:hAnsi="Arial"/>
          <w:sz w:val="18"/>
          <w:szCs w:val="18"/>
          <w:color w:val="auto"/>
        </w:rPr>
      </w:pPr>
    </w:p>
    <w:p>
      <w:pPr>
        <w:ind w:left="320" w:hanging="312"/>
        <w:spacing w:after="0"/>
        <w:tabs>
          <w:tab w:leader="none" w:pos="320" w:val="left"/>
        </w:tabs>
        <w:numPr>
          <w:ilvl w:val="0"/>
          <w:numId w:val="491"/>
        </w:numPr>
        <w:rPr>
          <w:rFonts w:ascii="Arial" w:cs="Arial" w:eastAsia="Arial" w:hAnsi="Arial"/>
          <w:sz w:val="22"/>
          <w:szCs w:val="22"/>
          <w:color w:val="auto"/>
        </w:rPr>
      </w:pPr>
      <w:r>
        <w:rPr>
          <w:rFonts w:ascii="Arial" w:cs="Arial" w:eastAsia="Arial" w:hAnsi="Arial"/>
          <w:sz w:val="18"/>
          <w:szCs w:val="18"/>
          <w:color w:val="auto"/>
        </w:rPr>
        <w:t>COLI results declined $14 million compared to the prior year</w:t>
      </w:r>
    </w:p>
    <w:p>
      <w:pPr>
        <w:spacing w:after="0" w:line="10" w:lineRule="exact"/>
        <w:rPr>
          <w:rFonts w:ascii="Arial" w:cs="Arial" w:eastAsia="Arial" w:hAnsi="Arial"/>
          <w:sz w:val="22"/>
          <w:szCs w:val="22"/>
          <w:color w:val="auto"/>
        </w:rPr>
      </w:pPr>
    </w:p>
    <w:p>
      <w:pPr>
        <w:ind w:left="320" w:hanging="312"/>
        <w:spacing w:after="0"/>
        <w:tabs>
          <w:tab w:leader="none" w:pos="3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Nevada general rate case finalized with rate relief effective April 2022</w:t>
      </w:r>
    </w:p>
    <w:p>
      <w:pPr>
        <w:spacing w:after="0" w:line="12" w:lineRule="exact"/>
        <w:rPr>
          <w:rFonts w:ascii="Arial" w:cs="Arial" w:eastAsia="Arial" w:hAnsi="Arial"/>
          <w:sz w:val="18"/>
          <w:szCs w:val="18"/>
          <w:color w:val="auto"/>
        </w:rPr>
      </w:pPr>
    </w:p>
    <w:p>
      <w:pPr>
        <w:ind w:left="320" w:hanging="312"/>
        <w:spacing w:after="0"/>
        <w:tabs>
          <w:tab w:leader="none" w:pos="3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Arizona general rate case finalized with revenue increase of $54.3 million and new rates effective February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Utility infrastructure services:</w:t>
      </w:r>
    </w:p>
    <w:p>
      <w:pPr>
        <w:spacing w:after="0" w:line="23" w:lineRule="exact"/>
        <w:rPr>
          <w:sz w:val="20"/>
          <w:szCs w:val="20"/>
          <w:color w:val="auto"/>
        </w:rPr>
      </w:pPr>
    </w:p>
    <w:p>
      <w:pPr>
        <w:ind w:left="320" w:hanging="312"/>
        <w:spacing w:after="0"/>
        <w:tabs>
          <w:tab w:leader="none" w:pos="3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Record revenues of $2.8 billion in 2022, an increase of $602 million, or 28%, compared to 2021</w:t>
      </w:r>
    </w:p>
    <w:p>
      <w:pPr>
        <w:spacing w:after="0" w:line="12" w:lineRule="exact"/>
        <w:rPr>
          <w:rFonts w:ascii="Arial" w:cs="Arial" w:eastAsia="Arial" w:hAnsi="Arial"/>
          <w:sz w:val="18"/>
          <w:szCs w:val="18"/>
          <w:color w:val="auto"/>
        </w:rPr>
      </w:pPr>
    </w:p>
    <w:p>
      <w:pPr>
        <w:ind w:left="320" w:hanging="312"/>
        <w:spacing w:after="0"/>
        <w:tabs>
          <w:tab w:leader="none" w:pos="320" w:val="left"/>
        </w:tabs>
        <w:numPr>
          <w:ilvl w:val="0"/>
          <w:numId w:val="492"/>
        </w:numPr>
        <w:rPr>
          <w:rFonts w:ascii="Arial" w:cs="Arial" w:eastAsia="Arial" w:hAnsi="Arial"/>
          <w:sz w:val="22"/>
          <w:szCs w:val="22"/>
          <w:color w:val="auto"/>
        </w:rPr>
      </w:pPr>
      <w:r>
        <w:rPr>
          <w:rFonts w:ascii="Arial" w:cs="Arial" w:eastAsia="Arial" w:hAnsi="Arial"/>
          <w:sz w:val="18"/>
          <w:szCs w:val="18"/>
          <w:color w:val="auto"/>
        </w:rPr>
        <w:t>$94 million in Clean Energy Offshore Wind Projects for 2022</w:t>
      </w:r>
    </w:p>
    <w:p>
      <w:pPr>
        <w:spacing w:after="0" w:line="1" w:lineRule="exact"/>
        <w:rPr>
          <w:rFonts w:ascii="Arial" w:cs="Arial" w:eastAsia="Arial" w:hAnsi="Arial"/>
          <w:sz w:val="22"/>
          <w:szCs w:val="22"/>
          <w:color w:val="auto"/>
        </w:rPr>
      </w:pPr>
    </w:p>
    <w:p>
      <w:pPr>
        <w:ind w:left="320" w:hanging="312"/>
        <w:spacing w:after="0" w:line="234" w:lineRule="auto"/>
        <w:tabs>
          <w:tab w:leader="none" w:pos="3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Costs impacted by inflation, including higher fuel, subcontractor, interest, and equipment rental costs</w:t>
      </w:r>
    </w:p>
    <w:p>
      <w:pPr>
        <w:ind w:left="320" w:hanging="312"/>
        <w:spacing w:after="0"/>
        <w:tabs>
          <w:tab w:leader="none" w:pos="3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Negative impact on work mix and volume due to certain customers' supply chain challenges in procuring necessary materials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Pipeline and storage:</w:t>
      </w:r>
    </w:p>
    <w:p>
      <w:pPr>
        <w:spacing w:after="0" w:line="23" w:lineRule="exact"/>
        <w:rPr>
          <w:sz w:val="20"/>
          <w:szCs w:val="20"/>
          <w:color w:val="auto"/>
        </w:rPr>
      </w:pPr>
    </w:p>
    <w:p>
      <w:pPr>
        <w:ind w:left="320" w:hanging="312"/>
        <w:spacing w:after="0"/>
        <w:tabs>
          <w:tab w:leader="none" w:pos="3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Recognized revenue of $265 million in 2022</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Recognized goodwill impairment loss of $449.6 million as a result of the MountainWest sale</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section of this Form 10-K generally discusses 2022 and 2021 items and year-to-year comparisons between 2021 and 2020. Discussions of 2020 items and year-to-year comparisons between 2021 and 2020 that are not included in this Form 10-K can be found in "Management’s Discussion and Analysis of Financial Condition and Results of Operations" in Part II, Item 7 of the Company’s Annual Report on Form 10-K for the fiscal year ended December 31, 2021, which incorporates by reference the Company’s annual report to stockholders filed as Exhibit 13 to the Annual Report on Form 10-K.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Results of Natural Gas Distribution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1,350,585</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cost of gas sold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342,837</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1,007,748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Operations and maintenance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491,928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406,382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63,460</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302,611</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101,148</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194,873</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Contribution to consolidated results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159,118</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vs. 2021</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distribution operations decreased $33 million between 2022 and 2021. The decline was primarily due to increases in Operations and maintenance expense, Depreciation and amortization, and Net interest deductions, offset by an increase in Operating margin and Other income.</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margin increased $55 million between years. Customer growth provided approximately $17 million as 41,000 first-time meter sets were added in 2022, and combined rate relief provided approximately $14 million of incremental operating margin during the current year. Also contributing to the increase were customer late fees that were $4.4 million greater in the current year due to the lifting, in 2021, of a moratorium on such fees. Approved revenue in Arizona related to recoveries associated with Vintage Steel Pipe and Customer-Owned Yard Line programs also contributed to the improvements between periods ($22 million). Offsetting these increases were lower recoveries associated with other regulatory programs ($4 million), for which the effects are mitigated by a comparable decrease in amortization expense between periods (discussed below).</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Operations and maintenance expense increased $53 million, or 12%, between 2022 and 2021. While management worked to mitigate the impacts of historic inflation and labor market challenges, specific increases in costs were nonetheless experienced, including, among others, pipeline integrity, reliability, line location and engineering services costs ($8 million), an increase in the reserve for customer accounts deemed uncollectible following the 2021 lifting of the moratorium on disconnections and inflation/economic conditions on our customers ($7 million), employee labor (including incremental overtime pay) ($7 million), travel, training, recruitment, and medical screening costs ($6 million), legal and claim-related costs ($5 million), temporary/contractor services for customer support ($4 million) and division operations ($2 million), increased cost of fuel used in our operations ($4 million), and pension-related service cost ($3 million), as well as higher allocated corporate/Board costs ($1 million).</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9" w:name="page280"/>
    <w:bookmarkEnd w:id="279"/>
    <w:p>
      <w:pPr>
        <w:jc w:val="both"/>
        <w:spacing w:after="0" w:line="259" w:lineRule="auto"/>
        <w:rPr>
          <w:sz w:val="20"/>
          <w:szCs w:val="20"/>
          <w:color w:val="auto"/>
        </w:rPr>
      </w:pPr>
      <w:r>
        <w:rPr>
          <w:rFonts w:ascii="Arial" w:cs="Arial" w:eastAsia="Arial" w:hAnsi="Arial"/>
          <w:sz w:val="18"/>
          <w:szCs w:val="18"/>
          <w:color w:val="auto"/>
        </w:rPr>
        <w:t>Depreciation and amortization expense increased $10 million, or 4%, between years primarily due to a $537 million, or 6%, increase in average gas plant in service for the current year, offset by a reduction ($4 million) in amortization of regulatory account balances, as discussed in regard to Operating margin above. The increase in gas plant was attributable to pipeline capacity reinforcement work, franchise requirements, scheduled pipe replacement activities, and new infrastructure.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$2.9 million, or 4%, between 2022 and 2021 primarily due to an increase in property taxes in Arizona, and to a lesser extent, in Nevada.</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decreased $2 million between 2022 and 2021. Non-service-related components of employee pension and postretirement benefit cost in this category decreased $13 million between years. The current year also includes an $11 million increase in interest income compared to the prior year, including related to carrying charges associated with regulatory account balances, including the Purchased Gas Adjustment (“PGA”) mechanisms. Interest income is earned when these balances are in asset positions and interest expense is incurred when balances are in liability positions. Offsetting these impacts was a $14 million decline in COLI results between years, a $9 million reserve for a software project deemed non-recoverable from utility operations, and a $3 million market adjustment on other property in 2022.</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interest deductions increased $18.3 million between 2022 and 2021, primarily due to increased interest associated with $300 million of Senior Notes issued in August 2021 and $600 million of Senior Notes issued in March 2022. Other impacts include increased interest associated with a higher amount of short-term debt in 2022 compared to 2021. Equity financing from Southwest’s parent entity, which often occurs, did not occur during 2022.</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Tax amounts include the amortization of Excess Accumulated Deferred Income Taxes (“EADIT”), which following 2017 U.S. tax reform, reduces income tax expense as amounts are returned to customers.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Results of Utility Infrastructure Services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1,948,288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1,729,429</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96,732</w:t>
            </w:r>
          </w:p>
        </w:tc>
      </w:tr>
      <w:tr>
        <w:trPr>
          <w:trHeight w:val="223"/>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r>
      <w:tr>
        <w:trPr>
          <w:trHeight w:val="223"/>
        </w:trPr>
        <w:tc>
          <w:tcPr>
            <w:tcW w:w="75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112,651</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r>
      <w:tr>
        <w:trPr>
          <w:trHeight w:val="223"/>
        </w:trPr>
        <w:tc>
          <w:tcPr>
            <w:tcW w:w="7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81,523</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Contribution to consolidated results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74,862</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vs. 2021</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utility infrastructure services decreased $38.4 million in 2022 compared to 2021. While top-line revenues increased substantially in 2022 compared to 2021, Centuri’s performance overall was impacted by inflation, customer supply chain challenges affecting mix of work, and increased amortization and interest related to Riggs Distler, which was acquired in August 2021.</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Utility infrastructure services revenues increased $601.7 million, or 28%, including $440.2 million related to Riggs Distler, which was acquired by Centuri on August 30, 2021. Revenues from electric infrastructure services increased $252.9 million in 2022 when compared to the prior year, of which $172.4 million was associated with Riggs Distler. Included in electric infrastructure services revenues overall during 2022 was $69.7 million from emergency restoration services performed by Linetec, Riggs Distler, and National Powerline following storm damage to customers’ above-ground utility infrastructure in and around the Gulf Coast and eastern regions of the U.S. and Canada, compared to $65.3 million in the prior year.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year also includes approximately $229.5 million in incremental revenues, including $47.6 million from Riggs Distler, and from continued growth with gas infrastructure services customers under master service and bid agreements. Other revenues increased</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0" w:name="page281"/>
    <w:bookmarkEnd w:id="280"/>
    <w:p>
      <w:pPr>
        <w:jc w:val="both"/>
        <w:spacing w:after="0" w:line="259" w:lineRule="auto"/>
        <w:rPr>
          <w:sz w:val="20"/>
          <w:szCs w:val="20"/>
          <w:color w:val="auto"/>
        </w:rPr>
      </w:pPr>
      <w:r>
        <w:rPr>
          <w:rFonts w:ascii="Arial" w:cs="Arial" w:eastAsia="Arial" w:hAnsi="Arial"/>
          <w:sz w:val="18"/>
          <w:szCs w:val="18"/>
          <w:color w:val="auto"/>
        </w:rPr>
        <w:t>$119.3 million, primarily due to $94.2 million of offshore wind revenue at Riggs Distler. This is stemming from two multi-year jobs that began in 2022 whereby Riggs Distler provides materials, subcontracted manufacturing, fabrication, and assembly of secondary steel components on shore, with delivery at a port facility for the offshore projects. Centuri revenues from contracts with Southwest totaled $134.7 million in 2022 and $102.3 million in 2021. Centuri accounts for services provided to Southwest at contractual prices.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expenses increased $573.9 million, or 29%, between 2022 and 2021. The overall increase includes $405.1 million from Riggs Distler, and incremental costs related to the higher volume of work otherwise. Changes in mix of work caused in part by customers’ supply chain challenges, as well as inflation, led to higher input costs including fuel and subcontractor expenses, as well as increased project-related travel and equipment rental costs incurred to fulfill electric infrastructure services. Fuel costs alone increased $32.7 million, including $7.3 million related to Riggs Distler, and project-related travel expenses increased $12.7 million in 2022. A loss of $7.5 million was incurred on a gas infrastructure bid project during the year due to higher costs than anticipated and scheduling delays. This project is anticipated to reach substantial completion in the first quarter of 2023. Also included in total Utility infrastructure services expenses were general and administrative costs, which increased approximately $4 million between years, primarily attributable to higher costs incurred by Riggs Distler of $7 million, in addition to strategic review and severance costs of $6.1 million (combined), as well as other administrative costs due to the continued growth in the business. These were partially offset by lower incentive compensation costs in 2022 and $14 million in professional fees in connection with the acquisition of Riggs Distler in 2021, which did not recur. Gains on sale of equipment (reflected as an offset to Utility infrastructure services expenses) were approximately $6.4 million and $6.9 million in 2022 and 2021, respectively.</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$37.7 million between 2022 and 2021, of which $34.9 million relates to Riggs Distler. The remaining increase was attributable to equipment and computer systems purchased to support the growing volume of infrastructure work overall. Depreciation expense, relative to the revenues recorded, was generally consistent during 2022 compared to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net interest deductions of $40.4 million was primarily due to incremental outstanding borrowings in connection with the 2021 acquisition of Riggs Distler under Centuri’s $1.445 billion amended and restated secured revolving credit and term loan facility, in addition to higher interest rates on outstanding variable-rate borrowings.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Income tax expense decreased $13 million between 2022 and 2021, primarily due to reduced profitability in 2022.</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9260" w:type="dxa"/>
            <w:vAlign w:val="bottom"/>
          </w:tcPr>
          <w:p>
            <w:pPr>
              <w:spacing w:after="0"/>
              <w:rPr>
                <w:sz w:val="20"/>
                <w:szCs w:val="20"/>
                <w:color w:val="auto"/>
              </w:rPr>
            </w:pPr>
            <w:r>
              <w:rPr>
                <w:rFonts w:ascii="Arial" w:cs="Arial" w:eastAsia="Arial" w:hAnsi="Arial"/>
                <w:sz w:val="18"/>
                <w:szCs w:val="18"/>
                <w:color w:val="auto"/>
              </w:rPr>
              <w:t>Results of Pipeline and Storage</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4"/>
        </w:trPr>
        <w:tc>
          <w:tcPr>
            <w:tcW w:w="9260" w:type="dxa"/>
            <w:vAlign w:val="bottom"/>
          </w:tcPr>
          <w:p>
            <w:pPr>
              <w:spacing w:after="0"/>
              <w:rPr>
                <w:sz w:val="24"/>
                <w:szCs w:val="2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Year Ended December 31,</w:t>
            </w:r>
          </w:p>
        </w:tc>
      </w:tr>
      <w:tr>
        <w:trPr>
          <w:trHeight w:val="22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264,613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cost of gas sold</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w:t>
            </w:r>
          </w:p>
        </w:tc>
      </w:tr>
      <w:tr>
        <w:trPr>
          <w:trHeight w:val="230"/>
        </w:trPr>
        <w:tc>
          <w:tcPr>
            <w:tcW w:w="9260" w:type="dxa"/>
            <w:vAlign w:val="bottom"/>
          </w:tcPr>
          <w:p>
            <w:pPr>
              <w:ind w:left="140"/>
              <w:spacing w:after="0"/>
              <w:rPr>
                <w:sz w:val="20"/>
                <w:szCs w:val="20"/>
                <w:color w:val="auto"/>
              </w:rPr>
            </w:pPr>
            <w:r>
              <w:rPr>
                <w:rFonts w:ascii="Arial" w:cs="Arial" w:eastAsia="Arial" w:hAnsi="Arial"/>
                <w:sz w:val="18"/>
                <w:szCs w:val="18"/>
                <w:color w:val="auto"/>
              </w:rPr>
              <w:t>Operations and maintenance expense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100,263</w:t>
            </w:r>
          </w:p>
        </w:tc>
      </w:tr>
      <w:tr>
        <w:trPr>
          <w:trHeight w:val="229"/>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52,059</w:t>
            </w:r>
          </w:p>
        </w:tc>
      </w:tr>
      <w:tr>
        <w:trPr>
          <w:trHeight w:val="230"/>
        </w:trPr>
        <w:tc>
          <w:tcPr>
            <w:tcW w:w="9260" w:type="dxa"/>
            <w:vAlign w:val="bottom"/>
          </w:tcPr>
          <w:p>
            <w:pPr>
              <w:ind w:left="140"/>
              <w:spacing w:after="0"/>
              <w:rPr>
                <w:sz w:val="20"/>
                <w:szCs w:val="20"/>
                <w:color w:val="auto"/>
              </w:rPr>
            </w:pPr>
            <w:r>
              <w:rPr>
                <w:rFonts w:ascii="Arial" w:cs="Arial" w:eastAsia="Arial" w:hAnsi="Arial"/>
                <w:sz w:val="18"/>
                <w:szCs w:val="18"/>
                <w:color w:val="auto"/>
              </w:rPr>
              <w:t>Taxes other than income taxes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10,186</w:t>
            </w:r>
          </w:p>
        </w:tc>
      </w:tr>
      <w:tr>
        <w:trPr>
          <w:trHeight w:val="230"/>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449,606</w:t>
            </w:r>
          </w:p>
        </w:tc>
      </w:tr>
      <w:tr>
        <w:trPr>
          <w:trHeight w:val="223"/>
        </w:trPr>
        <w:tc>
          <w:tcPr>
            <w:tcW w:w="926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(357,344)</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w:t>
            </w:r>
          </w:p>
        </w:tc>
      </w:tr>
      <w:tr>
        <w:trPr>
          <w:trHeight w:val="223"/>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before income taxes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(373,401)</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(89,668)</w:t>
            </w:r>
          </w:p>
        </w:tc>
      </w:tr>
      <w:tr>
        <w:trPr>
          <w:trHeight w:val="248"/>
        </w:trPr>
        <w:tc>
          <w:tcPr>
            <w:tcW w:w="9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to consolidated results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(283,733)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pipeline and storage entities of MountainWest were part of an acquisition on December 31, 2021, which have since been sold to Williams (closed on February 14, 2023). Operating results for the Pipeline and Storage segment during 2022 included rate-regulated transmission and subscription storage revenues of $248.3 million. Results include a goodwill impairment loss of $449.6 million as a result of the sale of MountainWest at a price less than the equity interests in MountainWest. Operating expenses also include approximately $26 million related to the stand-up of processes and systems which, following the earlier</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1" w:name="page282"/>
    <w:bookmarkEnd w:id="281"/>
    <w:p>
      <w:pPr>
        <w:ind w:right="1640"/>
        <w:spacing w:after="0" w:line="375" w:lineRule="auto"/>
        <w:rPr>
          <w:sz w:val="20"/>
          <w:szCs w:val="20"/>
          <w:color w:val="auto"/>
        </w:rPr>
      </w:pPr>
      <w:r>
        <w:rPr>
          <w:rFonts w:ascii="Arial" w:cs="Arial" w:eastAsia="Arial" w:hAnsi="Arial"/>
          <w:sz w:val="18"/>
          <w:szCs w:val="18"/>
          <w:color w:val="auto"/>
        </w:rPr>
        <w:t>acquisition, were under a Transition Services Agreement with the previous seller, in addition to certain employee retention payments. Rates and Regulatory Proceedings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 Due to the size of Southwest’s regulated operations and the frequency of rate cases and other procedural activities with its commissions, the following discussion focuses primarily on the proceedings within its natural gas distribution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distribution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In December 2021, Southwest filed a general rate case application proposing a revenue increase of approximately $90.7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Although updated rates related to the previous rate case became effective in January 2021, the most significant driver for the December 2021 request was the necessity to reflect in rates the substantial capital investments that have been made since the end of the test year in the previous case, including the customer information system implemented in May 2021. The filing was based on a test year ended August 31, 2021 and proposed a return on common equity of 9.90% relative to a target equity ratio of 51%. Southwest also proposed a twelve-month post-test year adjustment to reflect otherwise non-revenue producing plant in service as of August 31, 2022 and certain expense adjustments. Recovery (over three years) of the approximately $12 million related to the outstanding deferral balance associated with the LNG facility (see below) was included in the request, along with the approximate $2.1 million (also over three years) in late payment charges that were suppressed from customer accounts during the COVID-19 pandemic. A request to continue the Delivery Charge Adjustment (“DCA”), Southwest’s full-revenue decoupling mechanism, was also included, while the only proposed change to Southwest’s existing rate design contemplated the year-round offering of the Low Income Ratepayer Assistance program.</w:t>
      </w:r>
    </w:p>
    <w:p>
      <w:pPr>
        <w:spacing w:after="0" w:line="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 hearing held in September 2022, Southwest, the Utilities Division Staff (the “Staff”), and the Residential Utility Consumer Office jointly stipulated to several issues, including a target capital structure consisting of 50% equity and 50% debt; a 9.30% return on equity; and foregoing recovery of the requested COVID-19 moratorium waived late fees, as well as an acquisition premium related to the recent Graham County acquisition. Among the uncontested issues identified prior to the hearing were the continuation of the DCA mechanism, the continuation of the existing rate design, and Southwest’s alternate property tax expense calculation, reflecting actual incurred property tax expense in 2021, instead of a pro forma adjustment reflecting forecasted property tax expense. The Administrative Law Judge issued the Recommended Opinion and Order in mid-December 2022, and the ACC approved a modified final order at their January 10, 2023 open meeting, authorizing a $54.3 million increase. New rates were effective February 1, 2023.</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DCA is filed each April, which along with other reporting requirements, contemplates a rate to recover the over-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under-collected margin tracker (decoupling mechanism) balance. An April 2022 request proposed a rate to return $10.5 million, the over-collected balance existing at the end of the first quarter 2022, which was approved effective July 1, 2022. A filing will be made prior to the end of April 2023 to request a rate to address the outstanding balance at March 31, 2023.</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A Tax Expense Adjustor Mechanism (“TEAM”) was approved in Southwest’s 2019 general rate case to timely recognize tax rate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federal or state tax 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In December 2021, Southwest filed its inaugural TEAM rate application, which proposed a $4.7 million refund, comprised of an approximate $9 million decrease in revenue requirement offset by an under-collected balance of $4.3 million. Staff issued a proposed order supporting the TEAM credit, which was approved by the ACC with rates effective November 1, 2022. In</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2" w:name="page283"/>
    <w:bookmarkEnd w:id="282"/>
    <w:p>
      <w:pPr>
        <w:jc w:val="both"/>
        <w:ind w:right="20"/>
        <w:spacing w:after="0" w:line="277" w:lineRule="auto"/>
        <w:rPr>
          <w:sz w:val="20"/>
          <w:szCs w:val="20"/>
          <w:color w:val="auto"/>
        </w:rPr>
      </w:pPr>
      <w:r>
        <w:rPr>
          <w:rFonts w:ascii="Arial" w:cs="Arial" w:eastAsia="Arial" w:hAnsi="Arial"/>
          <w:sz w:val="18"/>
          <w:szCs w:val="18"/>
          <w:color w:val="auto"/>
        </w:rPr>
        <w:t>December 2022, Southwest filed its second TEAM rate application, which proposes to update the TEAM surcredit effective April 2023 to incorporate a base revenue reduction of $6.6 million. A decision is anticipated in the second quarter of 2023.</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Liquefied Natural Gas (“LNG”) Facility</w:t>
      </w:r>
      <w:r>
        <w:rPr>
          <w:rFonts w:ascii="Arial" w:cs="Arial" w:eastAsia="Arial" w:hAnsi="Arial"/>
          <w:sz w:val="17"/>
          <w:szCs w:val="17"/>
          <w:color w:val="auto"/>
        </w:rPr>
        <w:t>. In 2014, Southwest sought ACC preapproval to construct, operate, and maintain a 233,000 dekatherm LNG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southern Arizona. This facility is intended to enhance service reliability and flexibility related to natural gas deliveries in the southern Arizona area by providing a local storage option, connecting directly to Southwest’s distribution system. Southwest was ultimately granted approval for construction and deferral of costs. The facility was placed in service in December 2019. The capital costs and operating expenses associated with plant operation were approved and considered as part of Southwest’s 2019 general rate case. Approximately $12 million in costs, incurred following the in-service date of the facility and after the period considered as part of the 2019 general rate case, were deferred in the authorized regulatory asset. These costs will be amortized over four years consistent with the ACC’s decision in the most recent general rate case.</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Customer-Owned Yard Line (“COYL”) Program. </w:t>
      </w:r>
      <w:r>
        <w:rPr>
          <w:rFonts w:ascii="Arial" w:cs="Arial" w:eastAsia="Arial" w:hAnsi="Arial"/>
          <w:sz w:val="17"/>
          <w:szCs w:val="17"/>
          <w:color w:val="auto"/>
        </w:rPr>
        <w:t>Southwest originally received approval, in connection with its 2010 Arizona general rate case, to</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 a program to conduct leak surveys, and if leaks were present, to replace and relocate service lines and meters for Arizona customers whose meters were set off from the customer’s home, representing a non-traditional configuration. A filing in May 2021 proposed the recovery of previously unrecovered surcharge revenue from 2019 and 2020 (collectively, $13.7 million) over a one-year period. Such amounts related to plant investments that were made in advance of those periods. In November 2021, the ACC approved full recovery within the proposed timeline, the rate for which was implemented the same month. In a February 2022 filing, Southwest requested and received approval to increase its surcharge revenue by $3.4 million to recover the revenue requirement associated with investments made since August 2020 and through calendar year 2021. The rate was implemented in June 2022. A decrease in the COYL rate became effective in November 2022 to reflect the expiration of the collection period associated with the 2019 and 2020 COYL program revenue referred to above. Recovery of the remaining investments is ongoing.</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Vintage Steel Pipe Program (“VSP”)</w:t>
      </w:r>
      <w:r>
        <w:rPr>
          <w:rFonts w:ascii="Arial" w:cs="Arial" w:eastAsia="Arial" w:hAnsi="Arial"/>
          <w:sz w:val="16"/>
          <w:szCs w:val="16"/>
          <w:color w:val="auto"/>
        </w:rPr>
        <w:t>. Southwest received approval, in connection with its 2016 Arizona general rate case, to implement a VSP</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program, due to having a substantial amount of pre-1970s vintage steel pipe in Arizona. However, as part of Southwest’s 2020 rate case decision, the ACC ultimately decided to discontinue the accelerated VSP program. A filing in May 2021 proposed the recovery of previously unrecovered surcharge revenue relating to investments during 2019 and 2020, with approximately $60 million to be recovered over a three-year period. In November 2021, the ACC approved full recovery over the proposed three-year timeline with updated rates, which became effective in March 2022.</w:t>
      </w:r>
    </w:p>
    <w:p>
      <w:pPr>
        <w:spacing w:after="0" w:line="5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Graham County Utilities. </w:t>
      </w:r>
      <w:r>
        <w:rPr>
          <w:rFonts w:ascii="Arial" w:cs="Arial" w:eastAsia="Arial" w:hAnsi="Arial"/>
          <w:sz w:val="16"/>
          <w:szCs w:val="16"/>
          <w:color w:val="auto"/>
        </w:rPr>
        <w:t>In April 2021, Southwest and Graham County Utilities, Inc. (“GCU”) filed a joint application with the ACC for approval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assets of GCU to Southwest and extend Southwest’s Certificate of Public Convenience and Necessity to serve the more than 5,000 associated customers, for a purchase price of $3.5 million. Approval of the application by the ACC was received in December 2021, with final transfer in mid-January 2022. Former GCU customers retained their existing rates while Southwest’s most recent rate case was processed; however, the customers will move to Southwest’s rates February 1, 2023, consistent with the effective date of new rates associated with Southwest’s most recent general rate case.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Southwest’s most recent general rate case concluded following an agreement in principle with the Public Advocate’s Office,</w:t>
      </w:r>
      <w:r>
        <w:rPr>
          <w:rFonts w:ascii="Arial" w:cs="Arial" w:eastAsia="Arial" w:hAnsi="Arial"/>
          <w:sz w:val="16"/>
          <w:szCs w:val="16"/>
          <w:i w:val="1"/>
          <w:iCs w:val="1"/>
          <w:color w:val="auto"/>
        </w:rPr>
        <w:t xml:space="preserve"> </w:t>
      </w:r>
      <w:r>
        <w:rPr>
          <w:rFonts w:ascii="Arial" w:cs="Arial" w:eastAsia="Arial" w:hAnsi="Arial"/>
          <w:sz w:val="16"/>
          <w:szCs w:val="16"/>
          <w:color w:val="auto"/>
        </w:rPr>
        <w:t>unanimously approved by the CPUC on March 25, 2021, including a $6.4 million total combined revenue increase with a 10% return on common equity, relative to a 52% equity ratio. Approximately $4 million of the original proposed increase was associated with a North Lake Tahoe project that would not ultimately be completed by the beginning of 2021; consequently, the parties agreed to provide for recovery of the cost of service impacts of the project through the annual attrition filing. The rate case decision maintains Southwest’s existing 2.75% annual attrition adjustments and the continuation of the pension balancing account. It also includes cumulative expenditures totaling $119 million over the five-year rate cycle to implement risk-informed proposals, consisting of a school COYL replacement, meter protection, and pipe replacement programs. New rates were ultimately implemented April 1, 2021, with Southwest permitted to establish a general rate case memorandum account to track the impacts of a delay in the implementation of new rates (between January 1, 2021 and the date rates were implementation) for purposes of later recovery.</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Following the 2021 implementation of new rates approved as part of the recently concluded general rate case, Southwest is also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to continue annual Post Test Year (“PTY”) attrition increases of 2.75%, the first of which began in January 2022, with the latest such increase effective in January 2023.</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Customer Data Modernization Initiative (“CDMI”). </w:t>
      </w:r>
      <w:r>
        <w:rPr>
          <w:rFonts w:ascii="Arial" w:cs="Arial" w:eastAsia="Arial" w:hAnsi="Arial"/>
          <w:sz w:val="16"/>
          <w:szCs w:val="16"/>
          <w:color w:val="auto"/>
        </w:rPr>
        <w:t>In April 2019, Southwest filed an application with the CPUC seeking authority to establish a two-way,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interest-bearing balancing account to record costs associated with the CDMI to mitigate adverse financial implications related to the multi-year project (including a new customer information system, ultimately implemented in May 2021). Effective October 2019, the CPUC granted a memorandum account, which allowed Southwest to track costs, including operations and maintenance costs and capital-related costs, such as depreciation, taxes, and return</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3" w:name="page284"/>
    <w:bookmarkEnd w:id="283"/>
    <w:p>
      <w:pPr>
        <w:jc w:val="both"/>
        <w:spacing w:after="0" w:line="286" w:lineRule="auto"/>
        <w:rPr>
          <w:sz w:val="20"/>
          <w:szCs w:val="20"/>
          <w:color w:val="auto"/>
        </w:rPr>
      </w:pPr>
      <w:r>
        <w:rPr>
          <w:rFonts w:ascii="Arial" w:cs="Arial" w:eastAsia="Arial" w:hAnsi="Arial"/>
          <w:sz w:val="17"/>
          <w:szCs w:val="17"/>
          <w:color w:val="auto"/>
        </w:rPr>
        <w:t>associated with California’s portion of the CDMI (initially estimated at $19 million). The balance tracked in the memorandum account was transferred to the two-way balancing account in July 2020. A rate to begin recovering the balance accumulated through June 30, 2020 was established and made effective September 1, 2020, and updated multiple times since, including in January 2023, with ongoing updates expected at least annually.</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Carbon Offset Program. </w:t>
      </w:r>
      <w:r>
        <w:rPr>
          <w:rFonts w:ascii="Arial" w:cs="Arial" w:eastAsia="Arial" w:hAnsi="Arial"/>
          <w:sz w:val="17"/>
          <w:szCs w:val="17"/>
          <w:color w:val="auto"/>
        </w:rPr>
        <w:t>In March 2022, Southwest filed an application to seek approval to offer a voluntary program to California customers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carbon offsets in an effort to provide customers additional options to reduce their respective GHG emissions. A request to establish a two-way balancing account to track program-related costs and revenues was included as part of the application. The CPUC issued Decision 22-09-010 dismissing Southwest’s application without prejudice. Southwest intends to file a new application in the second quarter 2023 addressing the concerns raised by third parties, which included a request to demonstrate that purchased offsets would result in GHG emissions reductions.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Building Decarbonization. </w:t>
      </w:r>
      <w:r>
        <w:rPr>
          <w:rFonts w:ascii="Arial" w:cs="Arial" w:eastAsia="Arial" w:hAnsi="Arial"/>
          <w:sz w:val="18"/>
          <w:szCs w:val="18"/>
          <w:color w:val="auto"/>
        </w:rPr>
        <w:t>A CPUC decision was issued regarding the elimination of monetary allowances for gas line extensions, a 10-year refundable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option, and the 50% discount payment option for both residential and non-residential customers of all California gas utilities. This applies to new applications for gas line extensions submitted on or after July 1, 2023. Although this decision eliminates the various allowances related to line extensions, it does not preclude extending natural gas service to customers in California.</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Residential Disconnection Protections. </w:t>
      </w:r>
      <w:r>
        <w:rPr>
          <w:rFonts w:ascii="Arial" w:cs="Arial" w:eastAsia="Arial" w:hAnsi="Arial"/>
          <w:sz w:val="17"/>
          <w:szCs w:val="17"/>
          <w:color w:val="auto"/>
        </w:rPr>
        <w:t>A decision was issued by the CPUC establishing disconnection protections for residential customers of small and</w:t>
      </w:r>
      <w:r>
        <w:rPr>
          <w:rFonts w:ascii="Arial" w:cs="Arial" w:eastAsia="Arial" w:hAnsi="Arial"/>
          <w:sz w:val="17"/>
          <w:szCs w:val="17"/>
          <w:i w:val="1"/>
          <w:iCs w:val="1"/>
          <w:color w:val="auto"/>
        </w:rPr>
        <w:t xml:space="preserve"> </w:t>
      </w:r>
      <w:r>
        <w:rPr>
          <w:rFonts w:ascii="Arial" w:cs="Arial" w:eastAsia="Arial" w:hAnsi="Arial"/>
          <w:sz w:val="17"/>
          <w:szCs w:val="17"/>
          <w:color w:val="auto"/>
        </w:rPr>
        <w:t>multi-jurisdictional utilities, including Southwest. A similar decision was adopted for four large California utilities in 2020. This decision prohibits the utility from assessing credit deposits for residential customers in establishing or re-establishing service, and prohibits the assessment of reconnection fees for residential customers, among other provisions. The decision, however, also provides authorization to establish a two-way balancing account to track residential uncollectible charges for future recovery in a general rate case, subject to a relevant cap.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Southwest filed its most recently concluded Nevada general rate case in August 2021, which was further updated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certification filing in December 2021. The request proposed a combined revenue increase of approximately $28.7 million (as of the certification date); the most significant driver for which was the substantial capital investments that were made since the end of the test year in the previous case, including the customer information system implemented in May 2021. The filing included a proposed return on common equity of 9.90% with a target equity ratio of 51%; recovery of previously deferred late payment charges related to a regulatory asset associated with COVID-19; and continuation of full revenue decoupling under the General Revenues Adjustment (“GRA”) mechanism. On February 7, 2022, the parties filed a stipulation with the PUCN, providing for a statewide revenue increase of $14.05 million, a return on common equity of 9.40% relative to a 50% target equity ratio, and continuation of Southwest’s full revenue decoupling mechanism. The stipulation was approved by the PUCN, and new rates became effective April 1, 2022. The PUCN’s order did not include recovery of the approximate $6.6 million in deferred late payment charges related to a regulatory asset associated with COVID-19, which had previously been reserved.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General Revenues Adjustment</w:t>
      </w:r>
      <w:r>
        <w:rPr>
          <w:rFonts w:ascii="Arial" w:cs="Arial" w:eastAsia="Arial" w:hAnsi="Arial"/>
          <w:sz w:val="18"/>
          <w:szCs w:val="18"/>
          <w:color w:val="auto"/>
        </w:rPr>
        <w:t>. As noted above, the continuation of the GRA was affirmed as part of Southwest’s most recent general rate case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2022 related to balances as of September 30, 2022, with new rates expected to become effective July 1, 2023. While there is no impact to net income overall from adjustments to recovery rates associated with the related regulatory balances, operating cash flows are impacted by such changes.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COYL Program</w:t>
      </w:r>
      <w:r>
        <w:rPr>
          <w:rFonts w:ascii="Arial" w:cs="Arial" w:eastAsia="Arial" w:hAnsi="Arial"/>
          <w:sz w:val="18"/>
          <w:szCs w:val="18"/>
          <w:color w:val="auto"/>
        </w:rPr>
        <w:t>. In August 2021, Southwest filed a joint petition with the Regulatory Operations Staff of the PUCN proposing a Nevada COYL</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program to include residential COYLs, public school COYLs, and any other COYLs that are identified to be a safety concern. The petition was approved in January 2022 and provides for capital investments up to $5 million per year for five years and the establishment of a regulatory asset to track the capital-related costs. After five years, the program will be reassessed to determine if it should be continued.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Infrastructure Replacement Mechanism. </w:t>
      </w:r>
      <w:r>
        <w:rPr>
          <w:rFonts w:ascii="Arial" w:cs="Arial" w:eastAsia="Arial" w:hAnsi="Arial"/>
          <w:sz w:val="18"/>
          <w:szCs w:val="18"/>
          <w:color w:val="auto"/>
        </w:rPr>
        <w:t>In 2014, the PUCN approved final rules for the Gas Infrastructure Replacement (“GIR”) mechanism,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the deferral and recovery of 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 related regulations provide Southwest with the opportunity to file a GIR “Advance Application” annually to seek preapproval of qualifying replacement projects.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4" w:name="page285"/>
    <w:bookmarkEnd w:id="284"/>
    <w:p>
      <w:pPr>
        <w:jc w:val="both"/>
        <w:spacing w:after="0" w:line="301" w:lineRule="auto"/>
        <w:rPr>
          <w:sz w:val="20"/>
          <w:szCs w:val="20"/>
          <w:color w:val="auto"/>
        </w:rPr>
      </w:pPr>
      <w:r>
        <w:rPr>
          <w:rFonts w:ascii="Arial" w:cs="Arial" w:eastAsia="Arial" w:hAnsi="Arial"/>
          <w:sz w:val="16"/>
          <w:szCs w:val="16"/>
          <w:color w:val="auto"/>
        </w:rPr>
        <w:t>In cases where preapproval of projects is requested and granted, a GIR rate application is separately filed to reset the GIR recovery surcharge rate related to previously approved and completed projects. On September 27, 2022, Southwest filed its latest rate application to reset the recovery surcharge in January 2023 to include cumulative deferrals through August 31, 2022. However, in November 2022, Southwest reached a settlement with parties to discontinue the GIR, and determined it would not plan to seek further ratemaking recovery, related to which, it wrote off the immaterial remaining balance.</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Conservation and Energy Efficiency. </w:t>
      </w:r>
      <w:r>
        <w:rPr>
          <w:rFonts w:ascii="Arial" w:cs="Arial" w:eastAsia="Arial" w:hAnsi="Arial"/>
          <w:sz w:val="18"/>
          <w:szCs w:val="18"/>
          <w:color w:val="auto"/>
        </w:rPr>
        <w:t>The PUCN allows deferral (and later recovery) of approved conservation and energy efficiency costs, recovery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are adjusted in association with ARA filings. In its November 2022 ARA filing, Southwest proposed an annualized margin increase of $139,000 and a decrease of $290,000 for southern and northern Nevada, respectively. A PUCN decision is anticipated in the second quarter 2023 with rates expected to become effective July 2023. Separately, in May 2022, Southwest filed an application seeking approval of its annual Conservation and Energy Efficiency Plan Report for 2021, with no proposed modifications to the previously approved $1.3 million annual budget for years 2022-2024. The parties reached a stipulation that was approved by the PUCN in July 2022.</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2017, Southwest filed for preapproval of a project to extend service to Mesquite, Nevada, in accordance with the SB 151 regulations, which was ultimately approved. Southwest provides periodic updates, and requests adjustment of recovery rates (as part of ARA filings and other rate proceedings) for the revenue requirement associated with the investments to serve customers. As of December 2022, approximately 49 miles of natural gas infrastructure have been installed throughout the Mesquite expansion area.</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2019, Southwest filed for preapproval to construct the infrastructure necessary to expand natural gas service to Spring Creek, near Elko, Nevada, and to implement a cost recovery methodology to recover the associated revenue requirement consistent with the SB 151 regulations. The expansion facilities consist of a high-pressure approach main and associated regulator stations, an interior backbone, and an extension of the distribution system from the interior backbone. The total capital investment was estimated to be $61.9 million. A stipulation was reached with the parties and approved by the PUCN in December 2019, including a rate recovery allocation amongst northern Nevada, Elko, and Spring Creek expansion customers. Construction began in the third quarter of 2020, with service to customers starting in December 2020. As of December 2022, approximately 60 miles of natural gas infrastructure have been installed throughout the Spring Creek expansion area, with completion anticipated in 2026.</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Carbon Offset Program. </w:t>
      </w:r>
      <w:r>
        <w:rPr>
          <w:rFonts w:ascii="Arial" w:cs="Arial" w:eastAsia="Arial" w:hAnsi="Arial"/>
          <w:sz w:val="17"/>
          <w:szCs w:val="17"/>
          <w:color w:val="auto"/>
        </w:rPr>
        <w:t>In June 2021, Southwest filed an application to seek approval to offer a voluntary program to northern and southern Nevada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purchase carbon offsets in an effort to provide customers additional options to reduce their GHG emissions. A request to establish a regulatory asset to track program-related costs and revenues was included as part of the application. The parties reached a stipulation that was approved by the PUCN in December 2021, approving Southwest’s proposal. The program opened for participation in the fourth quarter of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General Rate Case. </w:t>
      </w:r>
      <w:r>
        <w:rPr>
          <w:rFonts w:ascii="Arial" w:cs="Arial" w:eastAsia="Arial" w:hAnsi="Arial"/>
          <w:sz w:val="17"/>
          <w:szCs w:val="17"/>
          <w:color w:val="auto"/>
        </w:rPr>
        <w:t>Great Basin Gas Transmission Company (“Great Basin”), a wholly owned subsidiary of Southwest, reached an agreement in principle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FERC Staff providing that its three largest transportation customers and all storage customers would be required to have primary service agreement terms of at least five years, that term-differentiated rates would continue generally, and included a 9.90% pre-tax rate of return. Interim rates were made effective February 2020. As part of the settlement, Great Basin will not file a rate case later than May 31, 2025.</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MountainWest Overthrust Pipeline. </w:t>
      </w:r>
      <w:r>
        <w:rPr>
          <w:rFonts w:ascii="Arial" w:cs="Arial" w:eastAsia="Arial" w:hAnsi="Arial"/>
          <w:sz w:val="17"/>
          <w:szCs w:val="17"/>
          <w:color w:val="auto"/>
        </w:rPr>
        <w:t>On September 22, 2022, the FERC issued an order initiating an investigation, pursuant to section 5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Act, to determine whether rates currently charged by MountainWest Overthrust Pipeline, LLC, a subsidiary of MountainWest, are just and reasonable and setting the matter for hearing (the “Section 5 Rate Case”). Unless earlier settled by the parties, a hearing on the matter is to commence on August 1, 2023 with an initial decision from the presiding administrative law judge due by November 14, 2023. Under the terms of the MountainWest Purchase Agreement, the Company is obligated, for a period of four years following the closing of the sale of MountainWest, to indemnify Williams and MountainWest for any damages and liabilities resulting from the Section 5 Rate Case, including any reduction to the current applicable rate, up to a cap of $75 million. Williams has agreed that it will not enter into any settlement of the Section 5 Rate Case that will result in any damages being paid by the Company under such indemnity without the prior written consent of the Company (and such consent shall not be unreasonably withheld). The range of loss, if any, that could result from this matter cannot currently be estimated.</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December 31, 2022, under-collections in each of Southwest’s service territories resulted in an asset of approximately $450.1 million on the Company’s and Southwest’s Consolidated Balance Sheets. The market price of natural gas spiked due to numerous market forces including historically low storage levels, unexpected upstream pipeline maintenance events, and cold weather conditions across the western region in the latter part of 2022 and continuing into January 2023. As a result of this increase in pricing, Southwest entered into a $450 million term loan in order to fund the incremental cost. We may be required to incur additional indebtedness in connection with future spikes in natural gas prices as a result of extreme weather events or otherwise. See also </w:t>
      </w:r>
      <w:r>
        <w:rPr>
          <w:rFonts w:ascii="Arial" w:cs="Arial" w:eastAsia="Arial" w:hAnsi="Arial"/>
          <w:sz w:val="17"/>
          <w:szCs w:val="17"/>
          <w:i w:val="1"/>
          <w:iCs w:val="1"/>
          <w:color w:val="auto"/>
        </w:rPr>
        <w:t>Deferred Purchased Gas Costs</w:t>
      </w:r>
      <w:r>
        <w:rPr>
          <w:rFonts w:ascii="Arial" w:cs="Arial" w:eastAsia="Arial" w:hAnsi="Arial"/>
          <w:sz w:val="17"/>
          <w:szCs w:val="17"/>
          <w:color w:val="auto"/>
        </w:rPr>
        <w:t xml:space="preserve"> in </w:t>
      </w:r>
      <w:r>
        <w:rPr>
          <w:rFonts w:ascii="Arial" w:cs="Arial" w:eastAsia="Arial" w:hAnsi="Arial"/>
          <w:sz w:val="17"/>
          <w:szCs w:val="17"/>
          <w:b w:val="1"/>
          <w:bCs w:val="1"/>
          <w:color w:val="auto"/>
        </w:rPr>
        <w:t>Note 1 - Background, Organization, and Summary of Significant Accounting</w:t>
      </w:r>
      <w:r>
        <w:rPr>
          <w:rFonts w:ascii="Arial" w:cs="Arial" w:eastAsia="Arial" w:hAnsi="Arial"/>
          <w:sz w:val="17"/>
          <w:szCs w:val="17"/>
          <w:color w:val="auto"/>
        </w:rPr>
        <w:t xml:space="preserve"> </w:t>
      </w:r>
      <w:r>
        <w:rPr>
          <w:rFonts w:ascii="Arial" w:cs="Arial" w:eastAsia="Arial" w:hAnsi="Arial"/>
          <w:sz w:val="17"/>
          <w:szCs w:val="17"/>
          <w:b w:val="1"/>
          <w:bCs w:val="1"/>
          <w:color w:val="auto"/>
        </w:rPr>
        <w:t>Policies</w:t>
      </w:r>
      <w:r>
        <w:rPr>
          <w:rFonts w:ascii="Arial" w:cs="Arial" w:eastAsia="Arial" w:hAnsi="Arial"/>
          <w:sz w:val="17"/>
          <w:szCs w:val="17"/>
          <w:color w:val="auto"/>
        </w:rPr>
        <w:t>.</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at the end of its two most recent fiscal years: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214,387</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12,632</w:t>
            </w: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55,967</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r>
      <w:tr>
        <w:trPr>
          <w:trHeight w:val="248"/>
        </w:trPr>
        <w:tc>
          <w:tcPr>
            <w:tcW w:w="8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Arizona PGA Filings. </w:t>
      </w:r>
      <w:r>
        <w:rPr>
          <w:rFonts w:ascii="Arial" w:cs="Arial" w:eastAsia="Arial" w:hAnsi="Arial"/>
          <w:sz w:val="18"/>
          <w:szCs w:val="18"/>
          <w:color w:val="auto"/>
        </w:rPr>
        <w:t>In Arizona, Southwest calculates the change in the gas cost component of customer rates monthly (to allow for timely refunds</w:t>
      </w:r>
      <w:r>
        <w:rPr>
          <w:rFonts w:ascii="Arial" w:cs="Arial" w:eastAsia="Arial" w:hAnsi="Arial"/>
          <w:sz w:val="18"/>
          <w:szCs w:val="18"/>
          <w:i w:val="1"/>
          <w:iCs w:val="1"/>
          <w:color w:val="auto"/>
        </w:rPr>
        <w:t xml:space="preserve"> </w:t>
      </w:r>
      <w:r>
        <w:rPr>
          <w:rFonts w:ascii="Arial" w:cs="Arial" w:eastAsia="Arial" w:hAnsi="Arial"/>
          <w:sz w:val="18"/>
          <w:szCs w:val="18"/>
          <w:color w:val="auto"/>
        </w:rPr>
        <w:t>to/recoveries from customers), utilizing a rolling twelve-month average. During 2022, the Gas Cost Balancing Account continued with a surcharge in order to recover the under-collected balance.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California Gas Cost Filings. </w:t>
      </w:r>
      <w:r>
        <w:rPr>
          <w:rFonts w:ascii="Arial" w:cs="Arial" w:eastAsia="Arial" w:hAnsi="Arial"/>
          <w:sz w:val="18"/>
          <w:szCs w:val="18"/>
          <w:color w:val="auto"/>
        </w:rPr>
        <w:t>In California, a monthly gas cost adjustment based on forecasted monthly prices is utilized. Monthly adjustments modeled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fashion provide the timeliest recovery of gas costs in any Southwest jurisdiction.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Nevada ARA Application. </w:t>
      </w:r>
      <w:r>
        <w:rPr>
          <w:rFonts w:ascii="Arial" w:cs="Arial" w:eastAsia="Arial" w:hAnsi="Arial"/>
          <w:sz w:val="18"/>
          <w:szCs w:val="18"/>
          <w:color w:val="auto"/>
        </w:rPr>
        <w:t>In November 2022, Southwest filed to adjust its quarterly Deferred Energy Account Adjustment rate, which is based upon a</w:t>
      </w:r>
      <w:r>
        <w:rPr>
          <w:rFonts w:ascii="Arial" w:cs="Arial" w:eastAsia="Arial" w:hAnsi="Arial"/>
          <w:sz w:val="18"/>
          <w:szCs w:val="18"/>
          <w:i w:val="1"/>
          <w:iCs w:val="1"/>
          <w:color w:val="auto"/>
        </w:rPr>
        <w:t xml:space="preserve"> </w:t>
      </w:r>
      <w:r>
        <w:rPr>
          <w:rFonts w:ascii="Arial" w:cs="Arial" w:eastAsia="Arial" w:hAnsi="Arial"/>
          <w:sz w:val="18"/>
          <w:szCs w:val="18"/>
          <w:color w:val="auto"/>
        </w:rPr>
        <w:t>twelve-month rolling average, in addition to requesting adjusted Base Tariff Energy rates, both of which were most recently approved effective July 2022. These new rates are intended to address the outstanding balances over a twelve-month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Price Volatility and Mitigation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mitigate price volatility to its customers, Southwest periodically enters into fixed-price term contracts under its volatility mitigation programs for up to 25% of the California jurisdictions’ annual normal weather supply needs and to a limited extent, in the Arizona jurisdiction. For the 2022/2023 heating season, contracts contained in the fixed-price portion of the supply portfolio ranged from approximately $4.59 to approximately $9.89 per dekatherm. In consultation with its regulators, for periods beyond October 2020, Southwest currently does not plan to make any fixed-price term purchases in other than California (as set above), nor to enter into swap agreements. Southwest’s natural gas purchases, not covered by fixed-price contracts, are under variable-price contracts with firm quantities, or on the spot market. The contract price for these contracts is either determined at the beginning of each month to reflect the published first-of-month index price, or at market prices based on a published daily price index. In each case, the index price is not published or known until the purchase period begins.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Pipeline Safety Regulation</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2021, the PUCN issued an order revising its regulations to require annual leak surveys (previously every three years) of all distribution pipelines transporting natural gas and/or liquefied petroleum, effective January 1, 2023. In conjunction with this change, the PUCN authorized the establishment of a regulatory asset account to track the incremental cost of compliance related to the new regulation, for consideration in a future general rate case filing.</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6" w:name="page287"/>
    <w:bookmarkEnd w:id="286"/>
    <w:p>
      <w:pPr>
        <w:jc w:val="both"/>
        <w:spacing w:after="0" w:line="273" w:lineRule="auto"/>
        <w:rPr>
          <w:sz w:val="20"/>
          <w:szCs w:val="20"/>
          <w:color w:val="auto"/>
        </w:rPr>
      </w:pPr>
      <w:r>
        <w:rPr>
          <w:rFonts w:ascii="Arial" w:cs="Arial" w:eastAsia="Arial" w:hAnsi="Arial"/>
          <w:sz w:val="17"/>
          <w:szCs w:val="17"/>
          <w:color w:val="auto"/>
        </w:rPr>
        <w:t>In March 2022, the Pipeline and Hazardous Materials Safety Administration (“PHMSA”) issued final rules that amended the federal pipeline safety regulations applicable to the valve installation and minimum rupture detection standards for gas transmission pipelines (effective October 2022). Southwest has integrated the requirements of this new rule into its operating procedures. In addition, in August 2022, PHMSA issued final rules that amended the federal pipeline safety regulations applicable to the integrity management of gas transmission pipelines (effective May 2023). Southwest is integrating the requirements of this new rule into its operating procedures related to repair criteria, integrity management improvements, cathodic protection, management of change, and other related gas transmission integrity related amendments.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continues to monitor changing pipeline safety legislation and participates, to the extent possible, in providing public comments and working with industry associations, such as the American Gas Association, in shaping regulatory language associated with these new mandates and reporting requirements. Additionally, management works with its state and federal commissions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 for Southwest.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Historically, cash on hand and cash flows from operations have provided a substantial portion of cash used in investing activities (primarily construction expenditures and property additions). In recent years, Southwest has accelerated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The Company, in executing on its interim plans to fund the 2021 MountainWest acquisition, initially funded the transaction through short-term borrowings, which were expected to be refinanced through a multi-pronged permanent financing plan, part of which was executed during the first quarter of 2022 when the Company used $452 million in net proceeds from an underwritten offering of common stock to repay a portion of the short-term borrowings. Also, in September 2022, the Company amended the short-term borrowing arrangement related to the remaining acquisition indebtedness to extend the maturity date to December 2023 and replace the benchmark borrowing rates. Upon the close of the MountainWest sale in February 2023, the Company paid down $1.075 billion of the term loan associated with the earlier acquisition indebtedness. The Company’s capitalization strategy is to maintain an appropriate balance of equity and debt to preserve investment-grade credit ratings, which help minimize interest costs. Investment-grade credit ratings have been maintained by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$296 million between 2022 and 2021. The improvement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operating cash flows primarily resulted from the change in purchased gas costs in the PGA mechanism, including amounts incurred and deferred, as well as impacts related to when amounts are incorporated in customer bills to recover or return deferred balances. Amounts were greatly impacted due to the higher than expected natural gas costs during the winter period noted above in </w:t>
      </w:r>
      <w:r>
        <w:rPr>
          <w:rFonts w:ascii="Arial" w:cs="Arial" w:eastAsia="Arial" w:hAnsi="Arial"/>
          <w:sz w:val="18"/>
          <w:szCs w:val="18"/>
          <w:i w:val="1"/>
          <w:iCs w:val="1"/>
          <w:color w:val="auto"/>
        </w:rPr>
        <w:t>PGA Filings</w:t>
      </w:r>
      <w:r>
        <w:rPr>
          <w:rFonts w:ascii="Arial" w:cs="Arial" w:eastAsia="Arial" w:hAnsi="Arial"/>
          <w:sz w:val="18"/>
          <w:szCs w:val="18"/>
          <w:color w:val="auto"/>
        </w:rPr>
        <w:t>. Other impacts include a decrease in net income, and the impact of changes in components of working capital overall. Depreciation and amortization impact earnings, but not cash flows directly. As described above, an impairment was recognized related to the negotiated sale price associated with MountainWest, also impacting earnings, but did not impact cash flows directly in 2022.</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corporate and administrative expenses/outflows for Southwest Gas Holdings, Inc. include outlays related to stockholder activism and the strategic review, in addition to financing costs for debt used to fund the MountainWest acquisition.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decreased $2.2 billion in 2022 as compared to 2021. The change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acquisitions of Riggs Distler by Centuri and MountainWest by Southwest Gas Holdings, Inc., in 2021, including post-closing true-up amounts under the agreements. The overall decrease was partly offset by an increase in capital expenditures in both the natural gas distribution and utility infrastructure services segments.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decreased $2.7 billion in 2022 as compared to 2021.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financing the acquisitions of MountainWest and Riggs Distler. The Company entered into a 364-day $1.6 billion Term Loan Facility to temporarily fund the MountainWest acquisition in 2021, and Centuri entered into an amended and restated credit agreement providing for a $1.145 billion secured term loan facility and a $400 million secured revolving credit facility, which in addition to funding the Riggs Distler acquisition, refinanced its previous $590 million loan facility in 2021.</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reduced its 364-day Term Loan facility through net proceeds of $452 million from the issuance of common stock in an underwritten public offering in 2022. Furthermore, debt proceeds were received by Southwest from a March 2022 issuance of $600 million in notes and an additional December 2022 issuance of $300 million in notes, offset by a pay down in</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February 2022 of $25 million in 7.78% series Medium-term notes then maturing, as well as $250 million in notes maturing in April 2022.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individual business segments. Each business segment is generally responsible for securing its own financing sources. However, the holding company may raise funds through stock issuances or other external financing sources in support of each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$259 million between 2022 and 2021. The improvement in operating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was primarily attributable to the impacts related to deferred purchased gas costs and the related regulatory mechanism (described above), as well as changes in other working capital components overall.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$69 million in 2022 as compared to 2021, primarily due to the increase in cash outlays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construction expenditures. See also </w:t>
      </w:r>
      <w:r>
        <w:rPr>
          <w:rFonts w:ascii="Arial" w:cs="Arial" w:eastAsia="Arial" w:hAnsi="Arial"/>
          <w:sz w:val="18"/>
          <w:szCs w:val="18"/>
          <w:i w:val="1"/>
          <w:iCs w:val="1"/>
          <w:color w:val="auto"/>
        </w:rPr>
        <w:t>2022 Construction Expenditures</w:t>
      </w:r>
      <w:r>
        <w:rPr>
          <w:rFonts w:ascii="Arial" w:cs="Arial" w:eastAsia="Arial" w:hAnsi="Arial"/>
          <w:sz w:val="18"/>
          <w:szCs w:val="18"/>
          <w:color w:val="auto"/>
        </w:rPr>
        <w:t xml:space="preserve"> below</w:t>
      </w:r>
      <w:r>
        <w:rPr>
          <w:rFonts w:ascii="Arial" w:cs="Arial" w:eastAsia="Arial" w:hAnsi="Arial"/>
          <w:sz w:val="18"/>
          <w:szCs w:val="18"/>
          <w:i w:val="1"/>
          <w:iCs w:val="1"/>
          <w:color w:val="auto"/>
        </w:rPr>
        <w:t>.</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decreased $175 million in 2022 as compared to 2021. During 2022 no parent capital was</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to Southwest, but in 2021, over $200 million was contributed to Southwest. Southwest issued $600 million in notes in March 2022 used to pay down amounts then outstanding under its credit facility, paid down $25 million in maturing notes in February 2022, redeemed $250 million in notes maturing in April 2022, and issued an additional $300 million in notes in December 2022. In 2021, Southwest borrowed $250 million in a term loan for financing a gas cost run-up surrounding Winter Storm Uri and issued $300 million in notes. Other financing activity related to borrowing and repayments under Southwest’s credit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Construction Expenditures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three-year period ended December 31, 2022, total gas plant in service increased from $7.8 billion to $9.5 billion, or at an average annual rate of 7%. Replacement, new business, and reinforcement work was a substantial portion of the plant increase during the three-year noted. Customer growth impacted expenditures as Southwest set approximately 116,000 meters during this time, which is reflected in new business.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2022, construction expenditures (through cash outlays) for the natural gas distribution segment were $683 million. The majority of these expenditures represented costs associated with replacement of existing transmission and distribution plant to fortify system integrity and reliability, as well as general plant additions. Cash flows from operating activities of Southwest were $284 million, providing approximately 35% of construction expenditures and dividend requirements of the natural gas operations segment. Other funding was provided by cash on hand, external financing activities, and funds from the existing 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Financing Activity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sold, through a prospectus supplement under its Universal Shelf (as defined below), an aggregate of 6.325 million shares of common stock, with an underwritten public offering price of $74.00 per share, resulting in proceeds to the Company of $452.3 million, net of the underwriters discount of $15.8 million. These net proceeds were used to repay a portion of the outstanding borrowings under the 364-day term loan credit agreement to earlier fund the MountainWest acquisition.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December 31, 2022, the Company had up to $342 million of common stock available for sale under its Equity Shelf Program (as defined below). See </w:t>
      </w:r>
      <w:r>
        <w:rPr>
          <w:rFonts w:ascii="Arial" w:cs="Arial" w:eastAsia="Arial" w:hAnsi="Arial"/>
          <w:sz w:val="18"/>
          <w:szCs w:val="18"/>
          <w:b w:val="1"/>
          <w:bCs w:val="1"/>
          <w:color w:val="auto"/>
        </w:rPr>
        <w:t xml:space="preserve">Note 7 - Common Stock </w:t>
      </w:r>
      <w:r>
        <w:rPr>
          <w:rFonts w:ascii="Arial" w:cs="Arial" w:eastAsia="Arial" w:hAnsi="Arial"/>
          <w:sz w:val="18"/>
          <w:szCs w:val="18"/>
          <w:color w:val="auto"/>
        </w:rPr>
        <w:t>for more information.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proceeds received under the Dividend Reinvestment and Stock Purchase Plan during 2022 was approximately $10.5 million, from the issuance of approximately 142,000 shares of Southwest Gas Holdings, Inc.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Debt Maturities, and Financing</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estimates natural gas distribution segment construction expenditures during the three-year period ending December 31, 2025 will be approximately $2.0 billion. Of this amount, approximately $665 million to $685 million is expected to be incurred in 2023.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During the three-year period ending December 31, 2025, cash flows from operating activities of Southwest are expected to provide approximately 77% of the funding for gas operations of Southwest and total construction expenditures and dividend requirements. From a debt maturity standpoint, Southwest has a $225 million Term Loan due in March 2023. Any additional cash requirements, including construction-related, and any paydown or refinancing of debt, are expected to be provided by existing credit facilities, equity contributions from the Company, and/or other external financing sources. The timing, types, and amounts of any additional external financings will be dependent on a number of factors,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8" w:name="page289"/>
    <w:bookmarkEnd w:id="288"/>
    <w:p>
      <w:pPr>
        <w:jc w:val="both"/>
        <w:spacing w:after="0" w:line="286" w:lineRule="auto"/>
        <w:rPr>
          <w:sz w:val="20"/>
          <w:szCs w:val="20"/>
          <w:color w:val="auto"/>
        </w:rPr>
      </w:pPr>
      <w:r>
        <w:rPr>
          <w:rFonts w:ascii="Arial" w:cs="Arial" w:eastAsia="Arial" w:hAnsi="Arial"/>
          <w:sz w:val="17"/>
          <w:szCs w:val="17"/>
          <w:color w:val="auto"/>
        </w:rPr>
        <w:t>including the cost of gas purchases, conditions in the capital markets, timing and amounts of rate relief, timing and amounts of surcharge collections from, or amounts returned to, customers related to other regulatory mechanisms, as well as growth levels in Southwest’s service areas and earnings. External financings could include the issuance of debt securities, bank and other short-term borrowings, and other forms of financing.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Several factors (some of which are out of the control of the Company) that could significantly affect liquidity in future years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 aside from the Company’s recent strategic undertakings, including acquisition and disposition undertakings.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December 31, 2022, the combined balance in the PGA accounts totaled an under-collection of $450.1 million. As described earlier, the market price of natural gas spiked as a result of numerous market forces including historically low storage levels, unexpected upstream pipeline maintenance events, and cold weather conditions across the western region in the latter part of 2022 and continuing into January 2023. As a result of this increase in pricing, in January 2023, Southwest entered into a 364-day $450 million term loan in order to fund the incremental cost. We may be required to incur additional indebtedness in connection with future spikes in natural gas prices as a result of extreme weather events or otherwise. See </w:t>
      </w:r>
      <w:r>
        <w:rPr>
          <w:rFonts w:ascii="Arial" w:cs="Arial" w:eastAsia="Arial" w:hAnsi="Arial"/>
          <w:sz w:val="17"/>
          <w:szCs w:val="17"/>
          <w:b w:val="1"/>
          <w:bCs w:val="1"/>
          <w:color w:val="auto"/>
        </w:rPr>
        <w:t>PGA Filings</w:t>
      </w:r>
      <w:r>
        <w:rPr>
          <w:rFonts w:ascii="Arial" w:cs="Arial" w:eastAsia="Arial" w:hAnsi="Arial"/>
          <w:sz w:val="17"/>
          <w:szCs w:val="17"/>
          <w:color w:val="auto"/>
        </w:rPr>
        <w:t xml:space="preserve"> for more information.</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2022, Southwest amended its $250 million Term Loan (first borrowed in March 2021), extending the maturity date to March 21, 2023. The proceeds were originally used to fund the increased cost of natural gas supply during the month of February 2021 caused by extreme weather conditions in the central U.S. during Winter Storm Uri. The March 2021 Term Loan was extended as a result of the current gas cost environment and management’s funding plans for other gas purchases. At December 31, 2022, there was $225 million outstanding under the amended March 2021 Term Loan.</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Southwest issued $600 million aggregate principal amount of 4.05% Senior Notes. The notes will mature in March 2032. Southwest used the net proceeds to redeem $250 million 3.875% notes due in April 2022 and to repay amounts then outstanding under its credit facility, with the remaining net proceeds used for general corporate purposes.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December 2022, Southwest issued $300 million aggregate principal amount of 5.80% Senior Notes. The notes will mature in December 2027. Southwest used the net proceeds to repay amounts then outstanding under its credit facility, with the remaining net proceeds used for general corporate purposes.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Gas Holdings, Inc. has a credit facility with a borrowing capacity of $300 million that expires in December 2026. The total commitment amount available under the credit facility was increased by $100 million from $200 million to $300 million in December 2022. This facility is intended for short-term financing needs. At December 31, 2022, $173 million was outstanding under this facility, which was also the maximum amount outstanding during 2022.</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during 2022 occurred during the fourth quarter and was $285 million ($150 million outstanding on the long-term portion of the credit facility, none under the commercial paper program, in addition to $135 million outstanding on the short-term portion). As of December 31, 2022, $50 million was outstanding on the long-term portion of the credit facility (no borrowings were outstanding under the commercial paper program), and no borrowings were outstanding on the short-term portion. The credit facility has been used as necessary to meet liquidity requirements, including temporarily financing under-collected PGA balances, meeting the refund needs of over-collected balances, or temporarily funding capital expenditures. The credit facility has generally been adequate for Southwest’s working capital needs outside of funds raised through operations and other types of external financing.</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2022, there were no borrowings outstanding under this program.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has a senior secured revolving credit and term loan multi-currency facility. The line of credit portion comprises $400 million; associated amounts borrowed and repaid are available to be re-borrowed. The term loan facility portion provided approximately $1.145 billion in financing. The term loan facility expires on August 27, 2028 and the revolving credit facility expires on August 27, 2026. This multi-currency facility allows the borrower to request loan advances in either Canadian</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9" w:name="page290"/>
    <w:bookmarkEnd w:id="289"/>
    <w:p>
      <w:pPr>
        <w:jc w:val="both"/>
        <w:spacing w:after="0" w:line="254" w:lineRule="auto"/>
        <w:rPr>
          <w:sz w:val="20"/>
          <w:szCs w:val="20"/>
          <w:color w:val="auto"/>
        </w:rPr>
      </w:pPr>
      <w:r>
        <w:rPr>
          <w:rFonts w:ascii="Arial" w:cs="Arial" w:eastAsia="Arial" w:hAnsi="Arial"/>
          <w:sz w:val="18"/>
          <w:szCs w:val="18"/>
          <w:color w:val="auto"/>
        </w:rPr>
        <w:t>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December 31, 2022 totaled $2.5 billion. The maximum amount outstanding on the combined facility during 2022 was $1.221 billion, which occurred in the first quarter, at which point $1.117 billion was outstanding on the term loan facility. As of December 31, 2022, $82 million was outstanding on the revolving credit facility, in addition to $1.009 billion that was outstanding on the term loan portion of the facility. Also at December 31, 2022, there was approximately $254 million, net of letters of credit, available for borrowing under the line of credit.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2022, Centuri amended the financial covenants of the revolving credit facility (the “Centuri Credit Facility Amendment”) to increase the maximum total net leverage ratio during the period from December 31, 2022 through December 31, 2023. The Credit Facility Amendment also transitioned the interest rate benchmark for the revolving credit facility from LIBOR to SOFR. The applicable margin for the revolving credit facility now ranges from 1.0% to 2.5% for SOFR loans and from 0.0% to 1.5% for CDOR and “base rate” loans, depending on Centuri’s total net leverage ratio. Further, the Centuri Credit Facility Amendment increases a letter of credit sub-facility from $100 million to $125 million. The Centuri Credit Facility Amendment did not modify any terms of the term loan facility.</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2021, the Company entered into a $1.6 billion delayed-draw Term Loan Facility that was funded on December 31, 2021 in connection with the acquisition of MountainWest. In March 2022, the Company used net proceeds from the issuance of common stock to repay a portion of borrowings under the Term Loan Facility. In September 2022, the Company entered into Amendment No. 1 to the Term Loan Facility. The amendment, among other things, (1) extended the maturity date of the Term Loan to December 30, 2023, and (2) replaced LIBOR interest rate benchmarks with SOFR interest rate benchmarks. There was $1.15 billion outstanding under this Term Loan Facility as of December 31, 2022. Upon the close of the MountainWest sale (February 14, 2023), the Company paid down $1.075 billion, resulting in an outstanding balance of $72 million as of the date of the date of closing the sale.</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April 2021, the Company entered into a Sales Agency Agreement between it and BNY Mellon Capital Markets, LLC and J.P. Morgan Securities LLC (the “Equity Shelf Program”) for the offer and sale of up to $500 million of common stock from time to time in an at-the-market offering program. There was no activity under this multi-year program in 2022.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 See </w:t>
      </w:r>
      <w:r>
        <w:rPr>
          <w:rFonts w:ascii="Arial" w:cs="Arial" w:eastAsia="Arial" w:hAnsi="Arial"/>
          <w:sz w:val="18"/>
          <w:szCs w:val="18"/>
          <w:b w:val="1"/>
          <w:bCs w:val="1"/>
          <w:color w:val="auto"/>
        </w:rPr>
        <w:t>Note 7 -</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rates for Centuri’s term loan contain LIBOR-based rates. Certain LIBOR-based rates were discontinued as a benchmark or reference rate after 2021, while other LIBOR-based rates are scheduled to be discontinued after June 2023. As of December 31, 2022, the Company had $1.009 billion in aggregate outstanding borrowings under Centuri’s term loan facility. The conversion to an alternate rate is not expected to have a material impact on its financial condition or results of operations; however, the alternative rate may be less predictable or less attractive than LIBOR.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creditworthiness of an issuer. Credit ratings are important because long-term debt constitutes a significant portion of total capitalization. These credit ratings are a factor considered by lenders when determining the cost of current and future debt for each debt obligor (i.e., generally the better the rating, the lower the cost to borrow funds). The current unsecured long-term debt ratings of the companies are considered investment grade.</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Moody's (1)</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Standard &amp; Poor's (2)</w:t>
            </w: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Fitch (3)</w:t>
            </w: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Issuer rating</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Baa2</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Positive Outlook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Rating Watch Negative</w:t>
            </w: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2021</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2022</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Senior unsecured long-term debt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Baa1</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Positive Outlook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Rating Watch Negative</w:t>
            </w: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2021</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2022</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Group, Inc.:</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Issuer rating</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Ba2</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172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176"/>
        </w:trPr>
        <w:tc>
          <w:tcPr>
            <w:tcW w:w="5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Outlook</w:t>
            </w:r>
          </w:p>
        </w:tc>
        <w:tc>
          <w:tcPr>
            <w:tcW w:w="18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Under Review for</w:t>
            </w:r>
          </w:p>
        </w:tc>
        <w:tc>
          <w:tcPr>
            <w:tcW w:w="2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Downgrade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CreditWatch Developing</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2022</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2022</w:t>
            </w:r>
          </w:p>
        </w:tc>
        <w:tc>
          <w:tcPr>
            <w:tcW w:w="172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70" w:lineRule="exact"/>
        <w:rPr>
          <w:sz w:val="20"/>
          <w:szCs w:val="20"/>
          <w:color w:val="auto"/>
        </w:rPr>
      </w:pPr>
    </w:p>
    <w:p>
      <w:pPr>
        <w:ind w:left="180" w:hanging="10"/>
        <w:spacing w:after="0" w:line="264" w:lineRule="auto"/>
        <w:tabs>
          <w:tab w:leader="none" w:pos="66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Moody’s debt ratings range from Aaa (highest rating possible) to C (lowest quality, usually in default). A numerical modifier of 1 (high end of the category) through 3 (low end of the category) is included with the rating to indicate the approximate rank of a company within the range.</w:t>
      </w:r>
    </w:p>
    <w:p>
      <w:pPr>
        <w:ind w:left="180" w:hanging="10"/>
        <w:spacing w:after="0" w:line="248" w:lineRule="auto"/>
        <w:tabs>
          <w:tab w:leader="none" w:pos="66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Standard &amp; Poor’s (“S&amp;P”) debt ratings range from AAA (highest rating possible) to D (obligation is in default). The ratings from ‘AA’ to ‘CCC’ may be modified by the addition of a plus “+” or minus “-” sign to show relative standing within the major rating categories.</w:t>
      </w:r>
    </w:p>
    <w:p>
      <w:pPr>
        <w:spacing w:after="0" w:line="1" w:lineRule="exact"/>
        <w:rPr>
          <w:rFonts w:ascii="Arial" w:cs="Arial" w:eastAsia="Arial" w:hAnsi="Arial"/>
          <w:sz w:val="16"/>
          <w:szCs w:val="16"/>
          <w:color w:val="auto"/>
        </w:rPr>
      </w:pPr>
    </w:p>
    <w:p>
      <w:pPr>
        <w:ind w:left="180" w:hanging="10"/>
        <w:spacing w:after="0" w:line="270" w:lineRule="auto"/>
        <w:tabs>
          <w:tab w:leader="none" w:pos="66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Fitch debt ratings range from AAA (highest credit quality) to D (defaulted debt obligation). The modifiers “+” or “-” may be appended to a rating to denote relative status within major rating categories.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credit rating, including the foregoing, is not a recommendation to buy, sell, or hold a debt security, but is intended to provide an estimation of the relative level of credit risk of debt securities, and is subject to change or withdrawal at any time by the rating agency. Numerous factors, including many that are not within management’s control, are considered by the ratings agencies in connection with the assigning of credit ratings.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these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2022, Southwest was in compliance with all of its covenants. Under the most restrictive of the financial covenants, approximately $2.5 billion in additional debt could be issued and the leverage ratio requirement would still be met. At least $2 billion of cushion in equity relating to the minimum net worth requirement exists at December 31, 2022. No specific limitations as to dividends exist under the collective covenants. None of the debt instruments contain material adverse change clauses.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Southwest Gas Holdings, Inc. was also in compliance with all of the covenants of its credit facility and 364-day Term Loan. Interest and fees on its credit facility and 364-day Term Loan are subject to adjustment depending on its senior debt ratings. The credit facility and 364-day Term Loan are subject to a leverage ratio cap. Under the most restrictive of the financial covenants, approximately $1 billion in additional debt could be issued while still meeting the leverage ratio requirement. No specific limitations as to dividends exist under the collective covenants. The credit facility and 364-day Term Loan do not contain material adverse change clauses.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Centuri debt instruments have leverage ratio caps and interest coverage ratio requirements. At December 31, 2022, Centuri was in compliance with all of its covenants. Under the most restrictive of the covenants, Centuri could issue approximately $222 million in additional debt and meet the leverage ratio requirement. Centuri has approximately $33 million of cushion relating to the minimum interest coverage ratio requirement. Centuri’s revolving credit and term loan facility is secured by underlying assets of the utility infrastructure services segment. Centuri also has restrictions on how much it could give to the Company in cash dividends, which is limited to a calculated available amount, generally defined as 50% of its rolling twelve-month consolidated net income adjusted for certain items, such as parent contributions inflows, Linetec redeemable noncontrolling interest payments, or dividend payments, among other adjustments, as applicable.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Inflation can impact results of operations for each of the Company’s business segments, and it has increased substantially over the past year. Labor, employee benefits, fuel, natural gas, professional services, and construction costs are the categories most significantly impacted by inflation. Changes to the cost of gas are generally recovered through PGA mechanisms and do not</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91" w:name="page292"/>
    <w:bookmarkEnd w:id="291"/>
    <w:p>
      <w:pPr>
        <w:jc w:val="both"/>
        <w:spacing w:after="0" w:line="275" w:lineRule="auto"/>
        <w:rPr>
          <w:sz w:val="20"/>
          <w:szCs w:val="20"/>
          <w:color w:val="auto"/>
        </w:rPr>
      </w:pPr>
      <w:r>
        <w:rPr>
          <w:rFonts w:ascii="Arial" w:cs="Arial" w:eastAsia="Arial" w:hAnsi="Arial"/>
          <w:sz w:val="17"/>
          <w:szCs w:val="17"/>
          <w:color w:val="auto"/>
        </w:rPr>
        <w:t xml:space="preserve">significantly impact net earnings. Labor, employee benefits, and professional services are components of the cost of service, and gas infrastructure costs are the primary component of utility rate base. In order to recover increased costs, and earn a fair return on rate base, general rate cases or other procedural filings are made by our regulated operations, when deemed necessary, for review and approval by regulatory authorities. Regulatory lag, that is, the time between the date increased costs are incurred and the time such increases are recovered through the ratemaking process, can impact earnings. See </w:t>
      </w:r>
      <w:r>
        <w:rPr>
          <w:rFonts w:ascii="Arial" w:cs="Arial" w:eastAsia="Arial" w:hAnsi="Arial"/>
          <w:sz w:val="17"/>
          <w:szCs w:val="17"/>
          <w:b w:val="1"/>
          <w:bCs w:val="1"/>
          <w:color w:val="auto"/>
        </w:rPr>
        <w:t>Rates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Regulatory Proceedings </w:t>
      </w:r>
      <w:r>
        <w:rPr>
          <w:rFonts w:ascii="Arial" w:cs="Arial" w:eastAsia="Arial" w:hAnsi="Arial"/>
          <w:sz w:val="17"/>
          <w:szCs w:val="17"/>
          <w:color w:val="auto"/>
        </w:rPr>
        <w:t>for a discussion of recent rate case proceedings.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largest contractual obligations as of December 31, 2022 consisted of:</w:t>
      </w:r>
    </w:p>
    <w:p>
      <w:pPr>
        <w:spacing w:after="0" w:line="117" w:lineRule="exact"/>
        <w:rPr>
          <w:sz w:val="20"/>
          <w:szCs w:val="20"/>
          <w:color w:val="auto"/>
        </w:rPr>
      </w:pPr>
    </w:p>
    <w:p>
      <w:pPr>
        <w:ind w:left="660" w:right="20" w:hanging="328"/>
        <w:spacing w:after="0" w:line="258"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Debt-related obligations for scheduled principal payments, other borrowings, and interest payments over the life of the debt. Debt obligations are included in our consolidated balance sheets. See </w:t>
      </w:r>
      <w:r>
        <w:rPr>
          <w:rFonts w:ascii="Arial" w:cs="Arial" w:eastAsia="Arial" w:hAnsi="Arial"/>
          <w:sz w:val="18"/>
          <w:szCs w:val="18"/>
          <w:b w:val="1"/>
          <w:bCs w:val="1"/>
          <w:color w:val="auto"/>
        </w:rPr>
        <w:t>Note 8 - Debt</w:t>
      </w:r>
      <w:r>
        <w:rPr>
          <w:rFonts w:ascii="Arial" w:cs="Arial" w:eastAsia="Arial" w:hAnsi="Arial"/>
          <w:sz w:val="18"/>
          <w:szCs w:val="18"/>
          <w:color w:val="auto"/>
        </w:rPr>
        <w:t xml:space="preserve"> for additional information.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Centuri operating and finance leases are included in our consolidated balance sheets and represent multi-year obligations for buildings, land, equipment, and vehicles. Southwest and MountainWest operating and finance leases are immaterial. See </w:t>
      </w:r>
      <w:r>
        <w:rPr>
          <w:rFonts w:ascii="Arial" w:cs="Arial" w:eastAsia="Arial" w:hAnsi="Arial"/>
          <w:sz w:val="18"/>
          <w:szCs w:val="18"/>
          <w:b w:val="1"/>
          <w:bCs w:val="1"/>
          <w:color w:val="auto"/>
        </w:rPr>
        <w:t>Note 2 - Regulated Operations Plant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Leases </w:t>
      </w:r>
      <w:r>
        <w:rPr>
          <w:rFonts w:ascii="Arial" w:cs="Arial" w:eastAsia="Arial" w:hAnsi="Arial"/>
          <w:sz w:val="18"/>
          <w:szCs w:val="18"/>
          <w:color w:val="auto"/>
        </w:rPr>
        <w:t>for additional information.</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495"/>
        </w:numPr>
        <w:rPr>
          <w:rFonts w:ascii="Arial" w:cs="Arial" w:eastAsia="Arial" w:hAnsi="Arial"/>
          <w:sz w:val="16"/>
          <w:szCs w:val="16"/>
          <w:color w:val="auto"/>
        </w:rPr>
      </w:pPr>
      <w:r>
        <w:rPr>
          <w:rFonts w:ascii="Arial" w:cs="Arial" w:eastAsia="Arial" w:hAnsi="Arial"/>
          <w:sz w:val="16"/>
          <w:szCs w:val="16"/>
          <w:color w:val="auto"/>
        </w:rPr>
        <w:t>Southwest has gas purchase obligations that include fixed-price and variable-rate gas purchase contracts. Variable-rate contracts reflect minimum contractual obligations with estimation in pricing based on market information. Actual future variable-rate purchase commitments may vary depending on market prices at the time of delivery and values may change significantly from their estimated amounts. Certain other variable-rate contracts allow for variability in quantities for which associated demand charges are included in the gas purchase obligations based on the maximum daily quantities available under the contracts. Renewable natural gas purchase obligations, in which the commencement dates are not specifically determinable and the volumes and contract prices are inestimable until certain contract provisions are met, are excluded from gas purchase obligations. As of December 31, 2022, gas purchase obligations of $907 million are payable within the next 12 months.</w:t>
      </w:r>
    </w:p>
    <w:p>
      <w:pPr>
        <w:spacing w:after="0" w:line="4"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Southwest has pipeline capacity and storage contracts for firm transportation service, both on a short- and long-term basis with several companies in all of its service territories, some with terms extending to 2044. Southwest also has interruptible contracts in place that allow additional capacity to be acquired should an unforeseen need arise. Costs associated with these pipeline capacity contracts are a component of the cost of gas sold and are recovered from customers primarily through the PGA mechanisms. As of December 31, 2022 pipeline capacity and storage obligations of $89.8 million are payable within 12 months.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Other commitments associated with noncancellable obligations consist primarily of software licensing, equipment, outsourced processing subscriptions, and operating and/or maintenance agreements, as applicable.</w:t>
      </w:r>
    </w:p>
    <w:p>
      <w:pPr>
        <w:ind w:left="660" w:hanging="328"/>
        <w:spacing w:after="0" w:line="260"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Estimated funding for pension and other postretirement benefits during calendar year 2023 is $59.3 million. Funding amounts for years beyond 2023 are not currently known.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Updates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Financial Accounting Standards Board routinely issues Accounting Standards Updates. See </w:t>
      </w:r>
      <w:r>
        <w:rPr>
          <w:rFonts w:ascii="Arial" w:cs="Arial" w:eastAsia="Arial" w:hAnsi="Arial"/>
          <w:sz w:val="18"/>
          <w:szCs w:val="18"/>
          <w:b w:val="1"/>
          <w:bCs w:val="1"/>
          <w:color w:val="auto"/>
        </w:rPr>
        <w:t>Note 1 - Background, Organization, and Summary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for more information regarding these Accounting Standards Updates and their potential impact on the Company’s and</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Southwest’s financial position, results of operations, and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Critical Accounting Policies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critical accounting policy is one that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gas distribution operations are subject to the specific regulation of the ACC, PUCN, CPUC, or the FERC, as applicable. The accounting policies of the Company and Southwest conform to U.S. GAAP applicable to rate-regulated entities and reflect the effects of the ratemaking process. As such, the Company and Southwest are allowed to defer, as regulatory assets, costs that otherwise would be expensed, if it is probable that future recovery from customers (subject to our rate-regulated operations) will occur. Companies are also permitted to recognize, as regulatory assets, amounts associated with various revenue</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2" w:name="page293"/>
    <w:bookmarkEnd w:id="292"/>
    <w:p>
      <w:pPr>
        <w:jc w:val="both"/>
        <w:spacing w:after="0" w:line="255" w:lineRule="auto"/>
        <w:rPr>
          <w:sz w:val="20"/>
          <w:szCs w:val="20"/>
          <w:color w:val="auto"/>
        </w:rPr>
      </w:pPr>
      <w:r>
        <w:rPr>
          <w:rFonts w:ascii="Arial" w:cs="Arial" w:eastAsia="Arial" w:hAnsi="Arial"/>
          <w:sz w:val="18"/>
          <w:szCs w:val="18"/>
          <w:color w:val="auto"/>
        </w:rPr>
        <w:t xml:space="preserve">decoupling mechanisms, as long as the requirements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refunded to customers through the ratemaking process. The timing and inclusion of costs in rates is often delayed (regulatory lag) and results in a reduction of current-period earnings. Refer to </w:t>
      </w:r>
      <w:r>
        <w:rPr>
          <w:rFonts w:ascii="Arial" w:cs="Arial" w:eastAsia="Arial" w:hAnsi="Arial"/>
          <w:sz w:val="18"/>
          <w:szCs w:val="18"/>
          <w:b w:val="1"/>
          <w:bCs w:val="1"/>
          <w:color w:val="auto"/>
        </w:rPr>
        <w:t>Note 5 -</w:t>
      </w:r>
      <w:r>
        <w:rPr>
          <w:rFonts w:ascii="Arial" w:cs="Arial" w:eastAsia="Arial" w:hAnsi="Arial"/>
          <w:sz w:val="18"/>
          <w:szCs w:val="18"/>
          <w:color w:val="auto"/>
        </w:rPr>
        <w:t xml:space="preserve"> </w:t>
      </w:r>
      <w:r>
        <w:rPr>
          <w:rFonts w:ascii="Arial" w:cs="Arial" w:eastAsia="Arial" w:hAnsi="Arial"/>
          <w:sz w:val="18"/>
          <w:szCs w:val="18"/>
          <w:b w:val="1"/>
          <w:bCs w:val="1"/>
          <w:color w:val="auto"/>
        </w:rPr>
        <w:t>Regulatory Assets and Liabilities</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Utility Revenues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All Southwest rate jurisdictions have decoupled rate structures, limiting variability due to extreme weather conditions.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Management regularly assesses financial statement tax provisions to identify any change in the regulatory treatment or tax-related estimates, assumptions, or enacted tax rates that could have a material impact on cash flows, financial position, and/or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Pensions and Other Postretirement Benefits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noncontributory qualified retirement plan with defined benefits covering substantially all employees hired on or before December 31, 2021. In addition, there is a separate unfunded supplemental retirement plan which is limited to officers hired on or before December 31, 2021.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$39 million and future pension expense by $4 million. A change of 0.25% in the employee compensation assumption would change the pension obligation by approximately $10 million and expense by $2 million. A 0.25% change in the expected asset return assumption would change pension expense by approximately $3 million (but has no impact on the pension obligation).</w:t>
      </w:r>
    </w:p>
    <w:p>
      <w:pPr>
        <w:spacing w:after="0" w:line="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2022, the discount rate was 5.25%, an increase from the 3.00% rate used at December 31, 2021. The methodology utilized to determine the discount rate was consistent with prior years. The weighted-average rate of compensation escalation remained at 3.25% at December 31, 2022, the same as the rate used at December 31, 2021. The asset return assumption is 6.75% to be used for 2023 expense, an increase from the 6.50% utilized for 2021. Pension costs for 2023 are estimated to decrease approximately $40 million as compared to that experienced in 2022. Future years’ expense level movements (up or down) will continue to be greatly influenced by long-term interest rates, asset returns, and funding levels.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assessed for impairment annually as of October, or more frequently, if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3" w:name="page294"/>
    <w:bookmarkEnd w:id="293"/>
    <w:p>
      <w:pPr>
        <w:jc w:val="both"/>
        <w:spacing w:after="0" w:line="290" w:lineRule="auto"/>
        <w:rPr>
          <w:sz w:val="20"/>
          <w:szCs w:val="20"/>
          <w:color w:val="auto"/>
        </w:rPr>
      </w:pPr>
      <w:r>
        <w:rPr>
          <w:rFonts w:ascii="Arial" w:cs="Arial" w:eastAsia="Arial" w:hAnsi="Arial"/>
          <w:sz w:val="16"/>
          <w:szCs w:val="16"/>
          <w:color w:val="auto"/>
        </w:rPr>
        <w:t xml:space="preserve">conditions, industry and market considerations, cost factors, and overall financial performance, when evaluating whether it is more likely than not that the fair values of our reporting units are less than their respective carrying amounts. The assumptions we use in our analysis, including discount rates, are subject to uncertainty, and declines in the future performance of our reporting units and changing business conditions could result in the recognition of impairment charges, which could be significant. The Company’s reporting units are the same as its segments for purposes of impairment evaluation. In December 2022, the Company announced the planned sale of MountainWest. The Board determined to sell MountainWest in order to simplify the business. As the consideration to be received for the sale was below the equity interests in MountainWest, the Company recorded held for sale losses, including a pre-tax goodwill impairment loss of $449.6 million in the fourth quarter of 2022. Further adjustments to this estimate are likely, as a result of post-closing true-up and validation processes contained in the sale agreement. See </w:t>
      </w:r>
      <w:r>
        <w:rPr>
          <w:rFonts w:ascii="Arial" w:cs="Arial" w:eastAsia="Arial" w:hAnsi="Arial"/>
          <w:sz w:val="16"/>
          <w:szCs w:val="16"/>
          <w:b w:val="1"/>
          <w:bCs w:val="1"/>
          <w:color w:val="auto"/>
        </w:rPr>
        <w:t>Note 15 - Acquisitions and Dispositions</w:t>
      </w:r>
      <w:r>
        <w:rPr>
          <w:rFonts w:ascii="Arial" w:cs="Arial" w:eastAsia="Arial" w:hAnsi="Arial"/>
          <w:sz w:val="16"/>
          <w:szCs w:val="16"/>
          <w:color w:val="auto"/>
        </w:rPr>
        <w:t xml:space="preserve"> for additional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 for Sale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Southwest recognize the assets and liabilities of a disposal group as held for sale in the period (i) they have approved and committed to a plan to sell the disposal group, (ii) the disposal group is available for immediate sale in its present condition, (iii) an active program to locate a buyer and other actions to sell the disposal group have been initiated, (iv) it is unlikely that significant changes to the plan will be made or that the plan will be withdrawn. The disposal group that is classified as held for sale is initially measured at the lower of its carrying value or fair value less any costs to sell. Any loss resulting from this measurement is recognized in the period in which the held for sale criteria are met. Upon designation as held for sale, the Company stops recording depreciation expense and assesses the fair value of the disposal group less any costs to sell at each reporting period and until it is no longer classified as held for sale.</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2022, the Company entered into a definitive agreement to sell 100% of MountainWest in an all-cash transaction to Williams for $1.5 billion in total enterprise value, subject to certain adjustments, which closed on February 14, 2023. In addition to the loss attributable to goodwill impairment, as noted above, the Company recognized an additional loss of $5.8 million related to estimated costs to sell. We use judgment to estimate such costs to sell, including consulting with external advisors and attorneys and considering the level of such costs in prior transactions. See </w:t>
      </w:r>
      <w:r>
        <w:rPr>
          <w:rFonts w:ascii="Arial" w:cs="Arial" w:eastAsia="Arial" w:hAnsi="Arial"/>
          <w:sz w:val="18"/>
          <w:szCs w:val="18"/>
          <w:b w:val="1"/>
          <w:bCs w:val="1"/>
          <w:color w:val="auto"/>
        </w:rPr>
        <w:t>Note 15 - Acquisitions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 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assumptions used to value the trade name and customer relationship intangibles include, but are not limited to, future expected cash flows of the acquired business, trademarks, trade names, customer relationships, technology obsolescence, attrition rates, royalty rates,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whichever comes first, changes to these uncertain tax positions and tax-related valuation allowances will affect the provision for income taxes in the Consolidated Statements of Income, and could have a material impact on the Company’s results of operations and financial position. Refer to </w:t>
      </w:r>
      <w:r>
        <w:rPr>
          <w:rFonts w:ascii="Arial" w:cs="Arial" w:eastAsia="Arial" w:hAnsi="Arial"/>
          <w:sz w:val="17"/>
          <w:szCs w:val="17"/>
          <w:b w:val="1"/>
          <w:bCs w:val="1"/>
          <w:color w:val="auto"/>
        </w:rPr>
        <w:t>Note 15 - Acquisitions and</w:t>
      </w:r>
      <w:r>
        <w:rPr>
          <w:rFonts w:ascii="Arial" w:cs="Arial" w:eastAsia="Arial" w:hAnsi="Arial"/>
          <w:sz w:val="17"/>
          <w:szCs w:val="17"/>
          <w:color w:val="auto"/>
        </w:rPr>
        <w:t xml:space="preserve"> </w:t>
      </w:r>
      <w:r>
        <w:rPr>
          <w:rFonts w:ascii="Arial" w:cs="Arial" w:eastAsia="Arial" w:hAnsi="Arial"/>
          <w:sz w:val="17"/>
          <w:szCs w:val="17"/>
          <w:b w:val="1"/>
          <w:bCs w:val="1"/>
          <w:color w:val="auto"/>
        </w:rPr>
        <w:t>Dispositions</w:t>
      </w:r>
      <w:r>
        <w:rPr>
          <w:rFonts w:ascii="Arial" w:cs="Arial" w:eastAsia="Arial" w:hAnsi="Arial"/>
          <w:sz w:val="17"/>
          <w:szCs w:val="17"/>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2022 are included as exhibits to the 2022 Annual Report on Form 10-K filed with the SEC.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contains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4" w:name="page295"/>
    <w:bookmarkEnd w:id="294"/>
    <w:p>
      <w:pPr>
        <w:jc w:val="both"/>
        <w:spacing w:after="0" w:line="284" w:lineRule="auto"/>
        <w:rPr>
          <w:sz w:val="20"/>
          <w:szCs w:val="20"/>
          <w:color w:val="auto"/>
        </w:rPr>
      </w:pPr>
      <w:r>
        <w:rPr>
          <w:rFonts w:ascii="Arial" w:cs="Arial" w:eastAsia="Arial" w:hAnsi="Arial"/>
          <w:sz w:val="16"/>
          <w:szCs w:val="16"/>
          <w:color w:val="auto"/>
        </w:rPr>
        <w:t>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plans to refinance near-term maturities, to spin-off Centuri from the Company, those regarding operating margin patterns, customer growth, the composition of our customer base, price volatility, seasonal patterns, the ability to pay debt, the Company’s COLI strategy, the magnitude of future acquisition or divestiture purchase price true-ups and related impairments or losses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the existing at-the-market equity program or otherwise, if necessary, future dividends or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are forward-looking statements. All forward-looking statements are intended to be subject to the safe harbor protection provided by the Reform Act.</w:t>
      </w:r>
    </w:p>
    <w:p>
      <w:pPr>
        <w:spacing w:after="0" w:line="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and their impacts to impairments, write-downs, or losses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suspension or lifted moratorium on late fees or service disconnection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appliances,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and storage service sold to customers, changes in gas procurement practices, changes in capital requirements and funding, the impact of credit rating actions and conditions in the capital markets on financing costs, the impact of variable rate indebtedness associated with a discontinuance of LIBOR including in relation to amounts of indebtedness then outstanding, changes in construction expenditures and financing, levels of or changes in operations and maintenance expenses,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actual experience and projections in costs to integrate or stand 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work stoppages or reduction, the</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5" w:name="page296"/>
    <w:bookmarkEnd w:id="295"/>
    <w:p>
      <w:pPr>
        <w:jc w:val="both"/>
        <w:spacing w:after="0" w:line="269" w:lineRule="auto"/>
        <w:rPr>
          <w:sz w:val="20"/>
          <w:szCs w:val="20"/>
          <w:color w:val="auto"/>
        </w:rPr>
      </w:pPr>
      <w:r>
        <w:rPr>
          <w:rFonts w:ascii="Arial" w:cs="Arial" w:eastAsia="Arial" w:hAnsi="Arial"/>
          <w:sz w:val="17"/>
          <w:szCs w:val="17"/>
          <w:color w:val="auto"/>
        </w:rPr>
        <w:t xml:space="preserve">result of productivity inefficiencies from regulatory requirements, customer supply chain challenges, or otherwise, delays in commissioning individual projects, acquisitions and management’s plans related thereto, the ability of management to successfully finance, close, and assimilate any acquired businesses, the timing and ability of management to successfully separate Centuri from the Company,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cease to continue, or fail to be alleviated, in future periods. For additional information on the risks associated with the Company’s business, see </w:t>
      </w:r>
      <w:r>
        <w:rPr>
          <w:rFonts w:ascii="Arial" w:cs="Arial" w:eastAsia="Arial" w:hAnsi="Arial"/>
          <w:sz w:val="17"/>
          <w:szCs w:val="17"/>
          <w:b w:val="1"/>
          <w:bCs w:val="1"/>
          <w:color w:val="auto"/>
        </w:rPr>
        <w:t>Item 1A. Risk Factors</w:t>
      </w:r>
      <w:r>
        <w:rPr>
          <w:rFonts w:ascii="Arial" w:cs="Arial" w:eastAsia="Arial" w:hAnsi="Arial"/>
          <w:sz w:val="17"/>
          <w:szCs w:val="17"/>
          <w:color w:val="auto"/>
        </w:rPr>
        <w:t xml:space="preserve"> and </w:t>
      </w:r>
      <w:r>
        <w:rPr>
          <w:rFonts w:ascii="Arial" w:cs="Arial" w:eastAsia="Arial" w:hAnsi="Arial"/>
          <w:sz w:val="17"/>
          <w:szCs w:val="17"/>
          <w:b w:val="1"/>
          <w:bCs w:val="1"/>
          <w:color w:val="auto"/>
        </w:rPr>
        <w:t>Item 7A. Quantitative and Qualitative Disclosures About Market Risk</w:t>
      </w:r>
      <w:r>
        <w:rPr>
          <w:rFonts w:ascii="Arial" w:cs="Arial" w:eastAsia="Arial" w:hAnsi="Arial"/>
          <w:sz w:val="17"/>
          <w:szCs w:val="17"/>
          <w:color w:val="auto"/>
        </w:rPr>
        <w:t xml:space="preserve"> in this Annual Report on Form 10-K for the year ended December 31, 2022.</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annual report are made as of the date hereof, based on information available to the Company and Southwest as of the date hereof, and the Company and Southwest assume no obligation to update or revise any of their forward-looking statements even if experience or future changes show that the indicated results or events will not be realized. </w:t>
      </w:r>
      <w:r>
        <w:rPr>
          <w:rFonts w:ascii="Arial" w:cs="Arial" w:eastAsia="Arial" w:hAnsi="Arial"/>
          <w:sz w:val="16"/>
          <w:szCs w:val="16"/>
          <w:b w:val="1"/>
          <w:bCs w:val="1"/>
          <w:color w:val="auto"/>
        </w:rPr>
        <w:t>We caution you to not rely unduly on any forward-looking statement(s).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 and Dividend Information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principal market on which the common stock of the Company is traded is the New York Stock Exchange and the ticker symbol of the stock is “SWX.” At February 15, 2023, there were 10,711 holders of record of common stock, and the market price of the common stock was $64.98.</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Dividends are payable on the Company’s common stock at the discretion of the Board of Directors (the “Board”). In setting the dividend rate, the Board considers, among other factors, current and expected future earnings levels, our ongoing capital expenditure plans and expected external funding needs, our payout ratio, and our ability to maintain credit ratings and liquidity. The quarterly common stock dividend declared was $0.57 per share throughout 2020, $0.60 per share throughout 2021, and $0.62 per share throughout 2022. The Company has paid dividends on its common stock since 1956. In February 2023, the Board determined to keep the quarterly dividend at $0.62, effective with the June 2023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(Thousands of dollars, except par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December 31,</w:t>
            </w:r>
          </w:p>
        </w:tc>
      </w:tr>
      <w:tr>
        <w:trPr>
          <w:trHeight w:val="209"/>
        </w:trPr>
        <w:tc>
          <w:tcPr>
            <w:tcW w:w="8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Regulated operations plant: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Gas plant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9,453,907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10,789,690</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(2,674,157)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(3,397,736)</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work in progress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202,068</w:t>
            </w:r>
          </w:p>
        </w:tc>
      </w:tr>
      <w:tr>
        <w:trPr>
          <w:trHeight w:val="206"/>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regulated operations plant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7,024,500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7,594,022</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investments, net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1,281,172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1,316,479</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222,697</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Accounts receivable, net of allowances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866,246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707,127</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utility revenue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84,900</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Income taxes receivable,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16,816</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purchased gas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291,145</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433,850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292,082</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assets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1,737,530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3,707,662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1,614,767</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787,250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1,781,332</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charges and other assets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458,536</w:t>
            </w:r>
          </w:p>
        </w:tc>
      </w:tr>
      <w:tr>
        <w:trPr>
          <w:trHeight w:val="213"/>
        </w:trPr>
        <w:tc>
          <w:tcPr>
            <w:tcW w:w="8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1,183,280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2,239,989</w:t>
            </w:r>
          </w:p>
        </w:tc>
      </w:tr>
      <w:tr>
        <w:trPr>
          <w:trHeight w:val="206"/>
        </w:trPr>
        <w:tc>
          <w:tcPr>
            <w:tcW w:w="8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13,196,614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12,765,257</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6"/>
        </w:trPr>
        <w:tc>
          <w:tcPr>
            <w:tcW w:w="8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CAPITALIZATION AND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w w:val="99"/>
              </w:rPr>
              <w:t>Common stock, $1 par (authorized – 120,000,000 shares; issued and outstanding – 67,119,143 and 60,422,081 shares)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68,749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62,052</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1,824,216</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Accumulated other comprehensive loss,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(46,761)</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747,069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1,114,313</w:t>
            </w:r>
          </w:p>
        </w:tc>
      </w:tr>
      <w:tr>
        <w:trPr>
          <w:trHeight w:val="206"/>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Southwest Gas Holdings, Inc. equity</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3,058,759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2,953,820</w:t>
            </w:r>
          </w:p>
        </w:tc>
      </w:tr>
      <w:tr>
        <w:trPr>
          <w:trHeight w:val="213"/>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Redeemable noncontrolling interests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196,717</w:t>
            </w:r>
          </w:p>
        </w:tc>
      </w:tr>
      <w:tr>
        <w:trPr>
          <w:trHeight w:val="21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4,403,299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4,115,684</w:t>
            </w:r>
          </w:p>
        </w:tc>
      </w:tr>
      <w:tr>
        <w:trPr>
          <w:trHeight w:val="213"/>
        </w:trPr>
        <w:tc>
          <w:tcPr>
            <w:tcW w:w="8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capitalization</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7,621,407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7,266,221</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44,557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297,324</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debt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1,909,000</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662,090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353,365</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Customer deposits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59,327</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Income taxes payable,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6,734</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general taxes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53,473</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30,964</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purchased gas costs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369,743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396,126</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liabilities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644,245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3,422,963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3,112,049</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credits: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Deferred income taxes and investment tax credits,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682,067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768,868</w:t>
            </w:r>
          </w:p>
        </w:tc>
      </w:tr>
      <w:tr>
        <w:trPr>
          <w:trHeight w:val="219"/>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removal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480,583</w:t>
            </w:r>
          </w:p>
        </w:tc>
      </w:tr>
      <w:tr>
        <w:trPr>
          <w:trHeight w:val="21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deferred credits and other long-term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1,025,177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1,137,536</w:t>
            </w:r>
          </w:p>
        </w:tc>
      </w:tr>
      <w:tr>
        <w:trPr>
          <w:trHeight w:val="213"/>
        </w:trPr>
        <w:tc>
          <w:tcPr>
            <w:tcW w:w="8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deferred income taxes and other credits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2,152,244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2,386,987</w:t>
            </w:r>
          </w:p>
        </w:tc>
      </w:tr>
      <w:tr>
        <w:trPr>
          <w:trHeight w:val="206"/>
        </w:trPr>
        <w:tc>
          <w:tcPr>
            <w:tcW w:w="8840" w:type="dxa"/>
            <w:vAlign w:val="bottom"/>
          </w:tcPr>
          <w:p>
            <w:pPr>
              <w:ind w:left="20"/>
              <w:spacing w:after="0"/>
              <w:rPr>
                <w:sz w:val="20"/>
                <w:szCs w:val="20"/>
                <w:color w:val="auto"/>
              </w:rPr>
            </w:pPr>
            <w:r>
              <w:rPr>
                <w:rFonts w:ascii="Arial" w:cs="Arial" w:eastAsia="Arial" w:hAnsi="Arial"/>
                <w:sz w:val="16"/>
                <w:szCs w:val="16"/>
                <w:color w:val="auto"/>
              </w:rPr>
              <w:t>Total capitalization and liabilities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13,196,614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12,765,257</w:t>
            </w:r>
          </w:p>
        </w:tc>
      </w:tr>
      <w:tr>
        <w:trPr>
          <w:trHeight w:val="24"/>
        </w:trPr>
        <w:tc>
          <w:tcPr>
            <w:tcW w:w="8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00"/>
          </w:cols>
          <w:pgMar w:left="340" w:top="1043"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145415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3" w:right="359" w:bottom="1440" w:gutter="0" w:footer="0" w:header="0"/>
          <w:type w:val="continuous"/>
        </w:sectPr>
      </w:pPr>
    </w:p>
    <w:bookmarkStart w:id="297" w:name="page298"/>
    <w:bookmarkEnd w:id="297"/>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Regulated operations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2,199,682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1,521,790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1,350,585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Utility infrastructure services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2,760,327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1,948,288</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4,960,009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3,680,451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3,298,873</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cost of gas sold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799,060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430,907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342,837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408,116</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470,455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332,027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63,460</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Utility infrastructure services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2,529,318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1,955,467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1,729,429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impairment and cost to sell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4,984,407</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3,310,904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2,875,869</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369,547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423,004</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income and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interest deductions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(111,477)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 (deductions)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(248,939)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(118,266)</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(273,337)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246,850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304,738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65,753</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207,202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238,985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w:t>
            </w:r>
          </w:p>
        </w:tc>
        <w:tc>
          <w:tcPr>
            <w:tcW w:w="0" w:type="dxa"/>
            <w:vAlign w:val="bottom"/>
          </w:tcPr>
          <w:p>
            <w:pPr>
              <w:spacing w:after="0"/>
              <w:rPr>
                <w:sz w:val="1"/>
                <w:szCs w:val="1"/>
                <w:color w:val="auto"/>
              </w:rPr>
            </w:pPr>
          </w:p>
        </w:tc>
      </w:tr>
      <w:tr>
        <w:trPr>
          <w:trHeight w:val="206"/>
        </w:trPr>
        <w:tc>
          <w:tcPr>
            <w:tcW w:w="7580" w:type="dxa"/>
            <w:vAlign w:val="bottom"/>
          </w:tcPr>
          <w:p>
            <w:pPr>
              <w:ind w:left="20"/>
              <w:spacing w:after="0"/>
              <w:rPr>
                <w:sz w:val="20"/>
                <w:szCs w:val="20"/>
                <w:color w:val="auto"/>
              </w:rPr>
            </w:pPr>
            <w:r>
              <w:rPr>
                <w:rFonts w:ascii="Arial" w:cs="Arial" w:eastAsia="Arial" w:hAnsi="Arial"/>
                <w:sz w:val="16"/>
                <w:szCs w:val="16"/>
                <w:color w:val="auto"/>
              </w:rPr>
              <w:t>Net income (loss) attributable to Southwest Gas Holdings,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(203,290)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200,779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232,324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55,998</w:t>
            </w: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56,076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98" w:name="page299"/>
    <w:bookmarkEnd w:id="298"/>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238,985</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260"/>
              <w:spacing w:after="0"/>
              <w:rPr>
                <w:sz w:val="20"/>
                <w:szCs w:val="20"/>
                <w:color w:val="auto"/>
              </w:rPr>
            </w:pPr>
            <w:r>
              <w:rPr>
                <w:rFonts w:ascii="Arial" w:cs="Arial" w:eastAsia="Arial" w:hAnsi="Arial"/>
                <w:sz w:val="16"/>
                <w:szCs w:val="16"/>
                <w:color w:val="auto"/>
              </w:rPr>
              <w:t>Net actuarial gain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(43,730)</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28,751</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Regulatory adjustment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5,650</w:t>
            </w:r>
          </w:p>
        </w:tc>
      </w:tr>
      <w:tr>
        <w:trPr>
          <w:trHeight w:val="207"/>
        </w:trPr>
        <w:tc>
          <w:tcPr>
            <w:tcW w:w="75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defined benefit pension plans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(8,451)</w:t>
            </w:r>
          </w:p>
        </w:tc>
      </w:tr>
      <w:tr>
        <w:trPr>
          <w:trHeight w:val="19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Forward-starting interest rate swaps (“FSIRS”):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Amounts reclassified into net income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r>
      <w:tr>
        <w:trPr>
          <w:trHeight w:val="212"/>
        </w:trPr>
        <w:tc>
          <w:tcPr>
            <w:tcW w:w="7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forward-starting interest rate swaps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(195,165)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221,444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234,714</w:t>
            </w:r>
          </w:p>
        </w:tc>
      </w:tr>
      <w:tr>
        <w:trPr>
          <w:trHeight w:val="219"/>
        </w:trPr>
        <w:tc>
          <w:tcPr>
            <w:tcW w:w="7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w:t>
            </w:r>
          </w:p>
        </w:tc>
      </w:tr>
      <w:tr>
        <w:trPr>
          <w:trHeight w:val="206"/>
        </w:trPr>
        <w:tc>
          <w:tcPr>
            <w:tcW w:w="758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Southwest Gas Holdings,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(200,771)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215,021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228,053</w:t>
            </w:r>
          </w:p>
        </w:tc>
      </w:tr>
      <w:tr>
        <w:trPr>
          <w:trHeight w:val="24"/>
        </w:trPr>
        <w:tc>
          <w:tcPr>
            <w:tcW w:w="7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(197,684)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207,202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238,985</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470,455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332,027</w:t>
            </w:r>
          </w:p>
        </w:tc>
      </w:tr>
      <w:tr>
        <w:trPr>
          <w:trHeight w:val="233"/>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of assets and other charges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50,717</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 of property and equipment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undistributed stock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7,114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AFUDC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current assets and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Accounts receivable, net of allowances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(48,772)</w:t>
            </w: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Accrued utility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(3,300)</w:t>
            </w: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Deferred purchased gas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36,239</w:t>
            </w: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(7,694)</w:t>
            </w: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Other current assets and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(207,853)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107,427</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deferred charges and other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(32,591)</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liabilities and deferred credits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(62,671)</w:t>
            </w: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626,080</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CASH FLOW FROM INVESTING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expenditures and property additions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(825,105)</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(2,354,260)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customer advances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14,033</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9,003</w:t>
            </w: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(838,902)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(3,035,656)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(802,069)</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CASH FLOW FROM FINANCING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common stock,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139,245</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(138,222)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(125,504)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Centuri distribution to redeemable noncontrolling interest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long-term debt,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1,067,805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1,660,696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662,377</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(356,406)</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 in credit facility and commercial paper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short-term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(104,000)</w:t>
            </w:r>
          </w:p>
        </w:tc>
      </w:tr>
      <w:tr>
        <w:trPr>
          <w:trHeight w:val="230"/>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short-term debt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Withholding remittance – share-based compensation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including principal payments on finance leases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w:t>
            </w: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3,063,458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209,574</w:t>
            </w: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Effects of currency translation on cash and cash equivalents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33,813</w:t>
            </w:r>
          </w:p>
        </w:tc>
      </w:tr>
      <w:tr>
        <w:trPr>
          <w:trHeight w:val="229"/>
        </w:trPr>
        <w:tc>
          <w:tcPr>
            <w:tcW w:w="7580" w:type="dxa"/>
            <w:vAlign w:val="bottom"/>
          </w:tcPr>
          <w:p>
            <w:pPr>
              <w:ind w:left="360"/>
              <w:spacing w:after="0"/>
              <w:rPr>
                <w:sz w:val="20"/>
                <w:szCs w:val="20"/>
                <w:color w:val="auto"/>
              </w:rPr>
            </w:pPr>
            <w:r>
              <w:rPr>
                <w:rFonts w:ascii="Arial" w:cs="Arial" w:eastAsia="Arial" w:hAnsi="Arial"/>
                <w:sz w:val="16"/>
                <w:szCs w:val="16"/>
                <w:color w:val="auto"/>
              </w:rPr>
              <w:t>Change in cash and cash equivalents included in current assets held for sale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49,539</w:t>
            </w:r>
          </w:p>
        </w:tc>
      </w:tr>
      <w:tr>
        <w:trPr>
          <w:trHeight w:val="206"/>
        </w:trPr>
        <w:tc>
          <w:tcPr>
            <w:tcW w:w="7580" w:type="dxa"/>
            <w:vAlign w:val="bottom"/>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83,352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Interest paid, net of amounts capitalized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105,182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 (received),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62,052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58,823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56,637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68,749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58,823</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1,824,216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1,609,155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1,466,937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462,967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142,218</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Promissory notes in association with redeemable noncontrolling interest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2,287,183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1,824,216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1,609,155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(56,732)</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Foreign currency exchange translation adjustment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900"/>
              <w:spacing w:after="0" w:line="169" w:lineRule="exact"/>
              <w:rPr>
                <w:sz w:val="20"/>
                <w:szCs w:val="20"/>
                <w:color w:val="auto"/>
              </w:rPr>
            </w:pPr>
            <w:r>
              <w:rPr>
                <w:rFonts w:ascii="Arial" w:cs="Arial" w:eastAsia="Arial" w:hAnsi="Arial"/>
                <w:sz w:val="16"/>
                <w:szCs w:val="16"/>
                <w:color w:val="auto"/>
                <w:w w:val="94"/>
              </w:rPr>
              <w:t>Net actuarial gain (loss) arising during period, less amortization of unamortized benefit plan cost, net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8,236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(8,451)</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of tax</w:t>
            </w: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(61,003)</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1,039,072</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(203,290)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232,324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Redemption value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(167,279)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(128,905)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747,069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1,114,313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1,067,978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equity ending balances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3,058,759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2,953,820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2,674,953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December 31,</w:t>
            </w:r>
          </w:p>
        </w:tc>
      </w:tr>
      <w:tr>
        <w:trPr>
          <w:trHeight w:val="209"/>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Gas plant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8,901,575</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(2,674,157)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(2,538,508)</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work in progress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183,485</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7,024,500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6,546,552</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153,093</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38,691</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Accounts receivable, net of allowance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169,666</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utility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7,826</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291,145</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Receivable from parent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1,031</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242,243</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1,228,146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835,502</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10,095</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405,021</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415,116</w:t>
            </w:r>
          </w:p>
        </w:tc>
      </w:tr>
      <w:tr>
        <w:trPr>
          <w:trHeight w:val="234"/>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8,803,681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7,950,263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AND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49,112</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1,622,969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1,618,911</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(46,913)</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935,355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906,827</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2,527,937</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3,251,296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2,440,603</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capitalization</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5,820,471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4,968,540</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275,000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debt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497,046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234,070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56,127</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Accrued general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67,094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53,064</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22,926</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146,422</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1,020,708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1,037,609</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Deferred income taxes and other credits: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 and investment tax credits,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638,828</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Accumulated removal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424,000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881,286</w:t>
            </w:r>
          </w:p>
        </w:tc>
      </w:tr>
      <w:tr>
        <w:trPr>
          <w:trHeight w:val="206"/>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deferred income taxes and other credits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1,962,502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1,944,114</w:t>
            </w:r>
          </w:p>
        </w:tc>
      </w:tr>
      <w:tr>
        <w:trPr>
          <w:trHeight w:val="234"/>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capitalization and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8,803,681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7,950,263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Regulated operations 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cost of gas sold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Operations and maintenance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Taxes other than income taxes</w:t>
      </w:r>
    </w:p>
    <w:p>
      <w:pPr>
        <w:spacing w:after="0" w:line="55" w:lineRule="exact"/>
        <w:rPr>
          <w:sz w:val="20"/>
          <w:szCs w:val="20"/>
          <w:color w:val="auto"/>
        </w:rPr>
      </w:pPr>
    </w:p>
    <w:p>
      <w:pPr>
        <w:ind w:left="20" w:right="380" w:firstLine="648"/>
        <w:spacing w:after="0" w:line="299" w:lineRule="auto"/>
        <w:rPr>
          <w:sz w:val="20"/>
          <w:szCs w:val="20"/>
          <w:color w:val="auto"/>
        </w:rPr>
      </w:pPr>
      <w:r>
        <w:rPr>
          <w:rFonts w:ascii="Arial" w:cs="Arial" w:eastAsia="Arial" w:hAnsi="Arial"/>
          <w:sz w:val="16"/>
          <w:szCs w:val="16"/>
          <w:color w:val="auto"/>
        </w:rPr>
        <w:t>Total operating expenses Operating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and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interest deductions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 (deductions)</w:t>
      </w:r>
    </w:p>
    <w:p>
      <w:pPr>
        <w:spacing w:after="0" w:line="20" w:lineRule="exact"/>
        <w:rPr>
          <w:sz w:val="20"/>
          <w:szCs w:val="20"/>
          <w:color w:val="auto"/>
        </w:rPr>
      </w:pPr>
      <w:r>
        <w:rPr>
          <w:sz w:val="20"/>
          <w:szCs w:val="20"/>
          <w:color w:val="auto"/>
        </w:rPr>
        <w:br w:type="column"/>
      </w:r>
    </w:p>
    <w:p>
      <w:pPr>
        <w:jc w:val="center"/>
        <w:ind w:right="3320"/>
        <w:spacing w:after="0" w:line="263" w:lineRule="auto"/>
        <w:rPr>
          <w:sz w:val="20"/>
          <w:szCs w:val="20"/>
          <w:color w:val="auto"/>
        </w:rPr>
      </w:pPr>
      <w:r>
        <w:rPr>
          <w:rFonts w:ascii="Arial" w:cs="Arial" w:eastAsia="Arial" w:hAnsi="Arial"/>
          <w:sz w:val="18"/>
          <w:szCs w:val="18"/>
          <w:color w:val="auto"/>
        </w:rPr>
        <w:t>SOUTHWEST GAS CORPORATION AND SUBSIDIARIES CONSOLIDATED STATEMENTS OF INCOME (Thousands of dollars)</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Year Ended December 31,</w:t>
      </w:r>
    </w:p>
    <w:p>
      <w:pPr>
        <w:spacing w:after="0" w:line="22" w:lineRule="exact"/>
        <w:rPr>
          <w:sz w:val="20"/>
          <w:szCs w:val="20"/>
          <w:color w:val="auto"/>
        </w:rPr>
      </w:pPr>
    </w:p>
    <w:tbl>
      <w:tblPr>
        <w:tblLayout w:type="fixed"/>
        <w:tblInd w:w="4200" w:type="dxa"/>
        <w:tblCellMar>
          <w:top w:w="0" w:type="dxa"/>
          <w:left w:w="0" w:type="dxa"/>
          <w:bottom w:w="0" w:type="dxa"/>
          <w:right w:w="0" w:type="dxa"/>
        </w:tblCellMar>
      </w:tblPr>
      <w:tr>
        <w:trPr>
          <w:trHeight w:val="213"/>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209"/>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1,935,069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1,521,790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1,350,585</w:t>
            </w:r>
          </w:p>
        </w:tc>
      </w:tr>
      <w:tr>
        <w:trPr>
          <w:trHeight w:val="40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789,216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430,907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342,837</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491,928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406,382</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235,295</w:t>
            </w:r>
          </w:p>
        </w:tc>
      </w:tr>
      <w:tr>
        <w:trPr>
          <w:trHeight w:val="219"/>
        </w:trPr>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83,197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63,460</w:t>
            </w:r>
          </w:p>
        </w:tc>
      </w:tr>
      <w:tr>
        <w:trPr>
          <w:trHeight w:val="209"/>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1,627,384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1,203,198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1,047,974</w:t>
            </w:r>
          </w:p>
        </w:tc>
      </w:tr>
      <w:tr>
        <w:trPr>
          <w:trHeight w:val="209"/>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318,592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302,611</w:t>
            </w:r>
          </w:p>
        </w:tc>
      </w:tr>
      <w:tr>
        <w:trPr>
          <w:trHeight w:val="40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(115,880)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(97,560)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(101,148)</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-1530350</wp:posOffset>
            </wp:positionV>
            <wp:extent cx="710628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-1247140</wp:posOffset>
            </wp:positionV>
            <wp:extent cx="710628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-972820</wp:posOffset>
            </wp:positionV>
            <wp:extent cx="710628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-698500</wp:posOffset>
            </wp:positionV>
            <wp:extent cx="710628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-407035</wp:posOffset>
            </wp:positionV>
            <wp:extent cx="710628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-132715</wp:posOffset>
            </wp:positionV>
            <wp:extent cx="710628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60" w:space="720"/>
            <w:col w:w="7820"/>
          </w:cols>
          <w:pgMar w:left="320" w:top="1043" w:right="379" w:bottom="1440" w:gutter="0" w:footer="0" w:header="0"/>
        </w:sect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and (expenses)</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(122,764)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(102,119)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(107,738)</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194,873</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35,755</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159,118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type w:val="continuous"/>
        </w:sectPr>
      </w:pPr>
    </w:p>
    <w:bookmarkStart w:id="303" w:name="page304"/>
    <w:bookmarkEnd w:id="303"/>
    <w:p>
      <w:pPr>
        <w:jc w:val="center"/>
        <w:ind w:right="-9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159,118</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actuarial gain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(43,730)</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28,751</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Regulatory adjustment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5,650</w:t>
            </w:r>
          </w:p>
        </w:tc>
      </w:tr>
      <w:tr>
        <w:trPr>
          <w:trHeight w:val="206"/>
        </w:trPr>
        <w:tc>
          <w:tcPr>
            <w:tcW w:w="75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defined benefit pension plans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(8,451)</w:t>
            </w:r>
          </w:p>
        </w:tc>
      </w:tr>
      <w:tr>
        <w:trPr>
          <w:trHeight w:val="19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Forward-starting interest rate swaps (“FSIRS”):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Amounts reclassified into net income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r>
      <w:tr>
        <w:trPr>
          <w:trHeight w:val="213"/>
        </w:trPr>
        <w:tc>
          <w:tcPr>
            <w:tcW w:w="75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forward-starting interest rate swaps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r>
      <w:tr>
        <w:trPr>
          <w:trHeight w:val="20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153,134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04" w:name="page305"/>
    <w:bookmarkEnd w:id="304"/>
    <w:p>
      <w:pPr>
        <w:jc w:val="center"/>
        <w:ind w:right="-3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26"/>
        </w:trPr>
        <w:tc>
          <w:tcPr>
            <w:tcW w:w="7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2020</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154,380</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159,118</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263,043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235,295</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44,997</w:t>
            </w:r>
          </w:p>
        </w:tc>
      </w:tr>
      <w:tr>
        <w:trPr>
          <w:trHeight w:val="230"/>
        </w:trPr>
        <w:tc>
          <w:tcPr>
            <w:tcW w:w="7620" w:type="dxa"/>
            <w:vAlign w:val="bottom"/>
          </w:tcPr>
          <w:p>
            <w:pPr>
              <w:ind w:left="360"/>
              <w:spacing w:after="0"/>
              <w:rPr>
                <w:sz w:val="20"/>
                <w:szCs w:val="20"/>
                <w:color w:val="auto"/>
              </w:rPr>
            </w:pPr>
            <w:r>
              <w:rPr>
                <w:rFonts w:ascii="Arial" w:cs="Arial" w:eastAsia="Arial" w:hAnsi="Arial"/>
                <w:sz w:val="16"/>
                <w:szCs w:val="16"/>
                <w:color w:val="auto"/>
              </w:rPr>
              <w:t>Gain on sale of property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undistributed stock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Equity AFUDC</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current assets and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620" w:type="dxa"/>
            <w:vAlign w:val="bottom"/>
          </w:tcPr>
          <w:p>
            <w:pPr>
              <w:ind w:left="68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3,933</w:t>
            </w:r>
          </w:p>
        </w:tc>
      </w:tr>
      <w:tr>
        <w:trPr>
          <w:trHeight w:val="219"/>
        </w:trPr>
        <w:tc>
          <w:tcPr>
            <w:tcW w:w="7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utility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r>
      <w:tr>
        <w:trPr>
          <w:trHeight w:val="213"/>
        </w:trPr>
        <w:tc>
          <w:tcPr>
            <w:tcW w:w="7620" w:type="dxa"/>
            <w:vAlign w:val="bottom"/>
          </w:tcPr>
          <w:p>
            <w:pPr>
              <w:ind w:left="680"/>
              <w:spacing w:after="0"/>
              <w:rPr>
                <w:sz w:val="20"/>
                <w:szCs w:val="20"/>
                <w:color w:val="auto"/>
              </w:rPr>
            </w:pPr>
            <w:r>
              <w:rPr>
                <w:rFonts w:ascii="Arial" w:cs="Arial" w:eastAsia="Arial" w:hAnsi="Arial"/>
                <w:sz w:val="16"/>
                <w:szCs w:val="16"/>
                <w:color w:val="auto"/>
              </w:rPr>
              <w:t>Deferred purchased gas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(158,975)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(343,728)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36,239</w:t>
            </w:r>
          </w:p>
        </w:tc>
      </w:tr>
      <w:tr>
        <w:trPr>
          <w:trHeight w:val="219"/>
        </w:trPr>
        <w:tc>
          <w:tcPr>
            <w:tcW w:w="7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9,618</w:t>
            </w:r>
          </w:p>
        </w:tc>
      </w:tr>
      <w:tr>
        <w:trPr>
          <w:trHeight w:val="213"/>
        </w:trPr>
        <w:tc>
          <w:tcPr>
            <w:tcW w:w="7620" w:type="dxa"/>
            <w:vAlign w:val="bottom"/>
          </w:tcPr>
          <w:p>
            <w:pPr>
              <w:ind w:left="680"/>
              <w:spacing w:after="0"/>
              <w:rPr>
                <w:sz w:val="20"/>
                <w:szCs w:val="20"/>
                <w:color w:val="auto"/>
              </w:rPr>
            </w:pPr>
            <w:r>
              <w:rPr>
                <w:rFonts w:ascii="Arial" w:cs="Arial" w:eastAsia="Arial" w:hAnsi="Arial"/>
                <w:sz w:val="16"/>
                <w:szCs w:val="16"/>
                <w:color w:val="auto"/>
              </w:rPr>
              <w:t>Accrued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(1,527)</w:t>
            </w:r>
          </w:p>
        </w:tc>
      </w:tr>
      <w:tr>
        <w:trPr>
          <w:trHeight w:val="219"/>
        </w:trPr>
        <w:tc>
          <w:tcPr>
            <w:tcW w:w="7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 and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48,545</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Changes in deferred charges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(44,291)</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other liabilities and deferred credits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(65,136)</w:t>
            </w:r>
          </w:p>
        </w:tc>
      </w:tr>
      <w:tr>
        <w:trPr>
          <w:trHeight w:val="206"/>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424,061</w:t>
            </w:r>
          </w:p>
        </w:tc>
      </w:tr>
      <w:tr>
        <w:trPr>
          <w:trHeight w:val="19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INVESTING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Construction expenditures and property 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(683,131)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(601,983)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(692,216)</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customer advances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14,033</w:t>
            </w:r>
          </w:p>
        </w:tc>
      </w:tr>
      <w:tr>
        <w:trPr>
          <w:trHeight w:val="213"/>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r>
      <w:tr>
        <w:trPr>
          <w:trHeight w:val="213"/>
        </w:trPr>
        <w:tc>
          <w:tcPr>
            <w:tcW w:w="7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(654,708)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(586,042)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(677,412)</w:t>
            </w:r>
          </w:p>
        </w:tc>
      </w:tr>
      <w:tr>
        <w:trPr>
          <w:trHeight w:val="193"/>
        </w:trPr>
        <w:tc>
          <w:tcPr>
            <w:tcW w:w="7620" w:type="dxa"/>
            <w:vAlign w:val="bottom"/>
          </w:tcPr>
          <w:p>
            <w:pPr>
              <w:ind w:left="20"/>
              <w:spacing w:after="0"/>
              <w:rPr>
                <w:sz w:val="20"/>
                <w:szCs w:val="20"/>
                <w:color w:val="auto"/>
              </w:rPr>
            </w:pPr>
            <w:r>
              <w:rPr>
                <w:rFonts w:ascii="Arial" w:cs="Arial" w:eastAsia="Arial" w:hAnsi="Arial"/>
                <w:sz w:val="16"/>
                <w:szCs w:val="16"/>
                <w:color w:val="auto"/>
              </w:rPr>
              <w:t>CASH FLOW FROM FINANCING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parent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177,922</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(104,500)</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long-term debt,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446,508</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Retirement of long-term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credit facility and commercial paper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Change in short-term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(137,000)</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Withholding remittance – 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r>
      <w:tr>
        <w:trPr>
          <w:trHeight w:val="213"/>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r>
      <w:tr>
        <w:trPr>
          <w:trHeight w:val="213"/>
        </w:trPr>
        <w:tc>
          <w:tcPr>
            <w:tcW w:w="7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383,437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558,418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253,932</w:t>
            </w:r>
          </w:p>
        </w:tc>
      </w:tr>
      <w:tr>
        <w:trPr>
          <w:trHeight w:val="206"/>
        </w:trPr>
        <w:tc>
          <w:tcPr>
            <w:tcW w:w="7620" w:type="dxa"/>
            <w:vAlign w:val="bottom"/>
          </w:tcPr>
          <w:p>
            <w:pPr>
              <w:ind w:left="360"/>
              <w:spacing w:after="0"/>
              <w:rPr>
                <w:sz w:val="20"/>
                <w:szCs w:val="20"/>
                <w:color w:val="auto"/>
              </w:rPr>
            </w:pPr>
            <w:r>
              <w:rPr>
                <w:rFonts w:ascii="Arial" w:cs="Arial" w:eastAsia="Arial" w:hAnsi="Arial"/>
                <w:sz w:val="16"/>
                <w:szCs w:val="16"/>
                <w:color w:val="auto"/>
              </w:rPr>
              <w:t>Change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9"/>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40,489</w:t>
            </w:r>
          </w:p>
        </w:tc>
      </w:tr>
      <w:tr>
        <w:trPr>
          <w:trHeight w:val="206"/>
        </w:trPr>
        <w:tc>
          <w:tcPr>
            <w:tcW w:w="7620" w:type="dxa"/>
            <w:vAlign w:val="bottom"/>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6"/>
                <w:szCs w:val="16"/>
                <w:color w:val="auto"/>
              </w:rPr>
              <w:t>Interest paid, net of amounts capitalized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107,980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96,726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 (received),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1,618,911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1,410,345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1,229,083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Contributions from Southwest Gas Holdings, Inc.</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202,583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177,922</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1,622,969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1,618,911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1,410,345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0" w:type="dxa"/>
            <w:vAlign w:val="bottom"/>
          </w:tcPr>
          <w:p>
            <w:pPr>
              <w:spacing w:after="0"/>
              <w:rPr>
                <w:sz w:val="1"/>
                <w:szCs w:val="1"/>
                <w:color w:val="auto"/>
              </w:rPr>
            </w:pPr>
          </w:p>
        </w:tc>
      </w:tr>
      <w:tr>
        <w:trPr>
          <w:trHeight w:val="166"/>
        </w:trPr>
        <w:tc>
          <w:tcPr>
            <w:tcW w:w="7600" w:type="dxa"/>
            <w:vAlign w:val="bottom"/>
          </w:tcPr>
          <w:p>
            <w:pPr>
              <w:ind w:left="900"/>
              <w:spacing w:after="0" w:line="166" w:lineRule="exact"/>
              <w:rPr>
                <w:sz w:val="20"/>
                <w:szCs w:val="20"/>
                <w:color w:val="auto"/>
              </w:rPr>
            </w:pPr>
            <w:r>
              <w:rPr>
                <w:rFonts w:ascii="Arial" w:cs="Arial" w:eastAsia="Arial" w:hAnsi="Arial"/>
                <w:sz w:val="16"/>
                <w:szCs w:val="16"/>
                <w:color w:val="auto"/>
                <w:w w:val="94"/>
              </w:rPr>
              <w:t>Net actuarial gain (loss) arising during period, less amortization of unamortized benefit plan cost, net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8,236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(8,451)</w:t>
            </w:r>
          </w:p>
        </w:tc>
        <w:tc>
          <w:tcPr>
            <w:tcW w:w="0" w:type="dxa"/>
            <w:vAlign w:val="bottom"/>
          </w:tcPr>
          <w:p>
            <w:pPr>
              <w:spacing w:after="0"/>
              <w:rPr>
                <w:sz w:val="1"/>
                <w:szCs w:val="1"/>
                <w:color w:val="auto"/>
              </w:rPr>
            </w:pPr>
          </w:p>
        </w:tc>
      </w:tr>
      <w:tr>
        <w:trPr>
          <w:trHeight w:val="209"/>
        </w:trPr>
        <w:tc>
          <w:tcPr>
            <w:tcW w:w="7600" w:type="dxa"/>
            <w:vAlign w:val="bottom"/>
          </w:tcPr>
          <w:p>
            <w:pPr>
              <w:ind w:left="1060"/>
              <w:spacing w:after="0"/>
              <w:rPr>
                <w:sz w:val="20"/>
                <w:szCs w:val="20"/>
                <w:color w:val="auto"/>
              </w:rPr>
            </w:pPr>
            <w:r>
              <w:rPr>
                <w:rFonts w:ascii="Arial" w:cs="Arial" w:eastAsia="Arial" w:hAnsi="Arial"/>
                <w:sz w:val="16"/>
                <w:szCs w:val="16"/>
                <w:color w:val="auto"/>
              </w:rPr>
              <w:t>of tax</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(61,135)</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906,827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782,108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159,118</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Dividends declared to Southwest Gas Holdings, Inc.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(105,300)</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935,355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906,827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835,146</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2,569,175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2,527,937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2,233,468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This is a combined annual report of Southwest Gas Holdings, Inc. and its subsidiaries (the “Company”) and Southwest Gas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its subsidiaries (“Southwest” or the “natural gas distribution” segment). The notes to the consolidated financial statements apply to both entities. Southwest Gas Holdings, Inc., a Delaware corporation, is a holding company, owning all of the shares of common stock of Southwest, all of the shares of common stock of Centuri Group, Inc. (“Centuri” or the “utility infrastructure services” segment), and until February 14, 2023, all of the shares of common stock of MountainWest Pipelines Holding Company (“MountainWest” or the “pipeline and storage” segment).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to Williams Partners Operating LLC (“Williams”) for $1.5 billion in total enterprise value, subject to certain adjustments. Additionally, the Company determined it will pursue a spin-off of Centuri (the “Centuri spin-off”), to form a new independent publicly traded utility infrastructure services company. The MountainWest transaction closed on February 14, 2023, following the expiration of an applicable waiting period under the Hart-Scott-Rodino Antitrust Improvements Act of 1976. The Centuri spin-off is expected to be completed in the fourth quarter of 2023 or the first quarter of 2024 and to be tax free to the Company and its stockholders for U.S. federal income tax purposes. The Centuri spin-off will be subject to, among other things, finalizing the transaction structure, final approval by the Board, approval by the Arizona Corporation Commission, the receipt of a favorable Internal Revenue Service private letter ruling relating to the tax-free nature of the transaction, and the effectiveness of a registration statement that will be filed with the U.S. Securities and Exchange Commission. Upon classifying the pipeline and storage segment disposal group as held for sale, the Company recorded a loss, composed of a goodwill impairment loss of $449.6 million, plus an additional loss of approximately $5.8 million for estimated costs to sell, in the fourth quarter of 2022. The Company elected to not reclassify MountainWest’s assets and liabilities as held for sale as of December 31, 2021; therefore, balance sheet information as of December 31, 2021 in the accompanying notes to financial statements has not been adjusted. See </w:t>
      </w:r>
      <w:r>
        <w:rPr>
          <w:rFonts w:ascii="Arial" w:cs="Arial" w:eastAsia="Arial" w:hAnsi="Arial"/>
          <w:sz w:val="17"/>
          <w:szCs w:val="17"/>
          <w:b w:val="1"/>
          <w:bCs w:val="1"/>
          <w:color w:val="auto"/>
        </w:rPr>
        <w:t>Note 15 - Acquisitions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for additional information.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Construction Co. (“NPL”), New England Utility Constructors, Inc. (“Neuco”), Linetec Services, LLC (“Linetec”), and Riggs Distler &amp; Company, Inc. (“Riggs Distler”), and in Canada, primarily as NPL Canada Ltd.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MountainWest includes MountainWest Pipeline, LLC, along with its subsidiary, MountainWest Overthrust Pipeline, LLC, and an equity interest in White River Hub, LLC, which is not consolidated, along with non-regulated businesses providing analytical and measurement services, and natural gas gathering.</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6, 2022, the Company entered into a Cooperation Agreement (the “Cooperation Agreement”) with Carl C. Icahn and the persons and entities referenced therein (collectively, the “Icahn Group”). In accordance with the Cooperation Agreement, among other things, John P. Hester, then President and Chief Executive Officer of the Company and Southwest, retired from his positions with the Company and Southwest and resigned from the Board. Karen S. Haller, the Company’s former Executive Vice President/Chief Legal and Administrative Officer, was appointed President and Chief Executive Officer of the Company and Chief Executive Officer of Southwest, and was appointed as a member of the Board effective immediately following the completion of the Company’s 2022 annual meeting of stockholders. Justin L. Brown, formerly Southwest’s Senior Vice President/General Counsel, was appointed as President of Southwest.</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pursuant to the Cooperation Agreement, as modified by a letter agreement, dated as of August 3, 2022 (the "Letter Agreement" and together with the Cooperation Agreement, the "Initial Cooperation Agreement") by and between the Company and the Icahn Group, the Icahn Group has the ability to designate up to four directors to the Board (collectively, the "Icahn Designees"), subject to certain ownership thresholds. As of the date of this Annual Report on 10-K, the Icahn Designees are Andrew W. Evans, Henry P. Linginfelter, Ruby Sharma, and Andrew J. Teno.</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7" w:name="page308"/>
    <w:bookmarkEnd w:id="307"/>
    <w:p>
      <w:pPr>
        <w:jc w:val="both"/>
        <w:spacing w:after="0" w:line="279" w:lineRule="auto"/>
        <w:rPr>
          <w:sz w:val="20"/>
          <w:szCs w:val="20"/>
          <w:color w:val="auto"/>
        </w:rPr>
      </w:pPr>
      <w:r>
        <w:rPr>
          <w:rFonts w:ascii="Arial" w:cs="Arial" w:eastAsia="Arial" w:hAnsi="Arial"/>
          <w:sz w:val="17"/>
          <w:szCs w:val="17"/>
          <w:color w:val="auto"/>
        </w:rPr>
        <w:t>The Initial Cooperation Agreement required the Board to expand the Strategic Transactions Committee from three directors to six directors, comprised of the existing members of the Strategic Transactions Committee in addition to the three Initial Icahn Designees. As long as the Icahn Group has the ability to designate at least three members of the Board, three of such individuals are to be included on the Strategic Transactions Committee. If the Icahn Group may only designate two members of the Board, then both would serve on the Strategic Transactions Committee.</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9, 2022, the Company also entered into Amendment No. 1 to the Rights Agreement dated October 10, 2021 (the “Original Rights Agreement” and as amended, the “Amended Rights Agreement”), to increase the triggering percentage from 10% to 24.9% pursuant to the terms of the Initial Cooperation Agreement and permit the subsequent consummation of the Offer. The Amended Rights Agreement expired on October 9, 2022. The Company filed a Certificate of Elimination with the Secretary of State of the State of Delaware on January 13, 2023, eliminating from the Company's Certificate of Incorporation the Certificate of Designation of Series A Junior Participating Preferred Stock filed on October 10, 2022, and the associated Preferred Stock Purchase Rights were deregistered by the SEC and delisted by the New York Stock Exchange on the same day.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earlier civil suit (initiated in November 2021) by Icahn entities against the Company and certain directors and officers of the Company was subject to a stipulation of dismissal as part of the Initial Cooperation Agreement, which also provided for the reimbursement by the Company of certain out-of-pocket third-party expenses, including certain legal fees, incurred by the Icahn Group.</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24, 2022, the Company and the Icahn Group entered into an Amended and Restated Cooperation Agreement (the “Amended Cooperation Agreement”), which amended, restated, superseded, and replaced in its entirety the Initial Cooperation Agreement. Among other things, the Amended Cooperation Agreement provides for the nomination of the Icahn Designees for election at the Company's 2023 annual meeting of stockholders (the "2023 Annual Meeting"), the extension of the standstill restrictions on the Icahn Group through the 2023 Annual Meeting or the Company's 2024 annual meeting of stockholders, subject to certain restrictions and exceptions, and subject to certain ownership thresholds by the Icahn Group and the approval by the Strategic Transactions Committee, certain aspects of the corporate structure and conduct of the first annual meeting of any independent, publicly traded company resulting from a separation of the Company's businesses.</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Company follows accounting principles generally accepted in the United States (“U.S. GAAP”) in accounting for all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Unless specified otherwise, all amounts are in U.S. dollars. Accounting for regulated operations conforms with U.S. GAAP as applied to rate-regulated companies and as prescribed by federal agencies and commissions of the various states in which the rate-regulated companies operate.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financial statements (as of and for the periods presented) are presented on a consolidated basis for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and all subsidiaries and Southwest Gas Corporation and all subsidiaries (except those accounted for using the equity method as discussed below). All significant intercompany balances and transactions have been eliminated with the exception of transactions between Southwest and Centuri in accordance with accounting treatment for rate-regulated entities.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related earnings, and dividends received from Western in 2022 and 2021 were not significant. Centuri’s maximum exposure to loss as a result of its involvement with Western was estimated at $11.4 million as of December 31, 2022.</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MountainWest, through its subsidiaries, holds a 50% noncontrolling interest in MountainWest White River Hub, LLC, a FERC-regulated transporter of natural gas with facilities that connect with six interstate pipeline systems and a major processing plant in Colorado. As noted above, MountainWest does not consolidate the entity and has recorded its investment using the equity method. The investment in White River Hub is approximately $25 million as of December 31, 2022 and the related proportional earnings and dividends in 2022 were not significant to the Company.</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8" w:name="page309"/>
    <w:bookmarkEnd w:id="308"/>
    <w:p>
      <w:pPr>
        <w:jc w:val="both"/>
        <w:spacing w:after="0" w:line="263" w:lineRule="auto"/>
        <w:rPr>
          <w:sz w:val="20"/>
          <w:szCs w:val="20"/>
          <w:color w:val="auto"/>
        </w:rPr>
      </w:pPr>
      <w:r>
        <w:rPr>
          <w:rFonts w:ascii="Arial" w:cs="Arial" w:eastAsia="Arial" w:hAnsi="Arial"/>
          <w:sz w:val="18"/>
          <w:szCs w:val="18"/>
          <w:color w:val="auto"/>
        </w:rPr>
        <w:t>(Level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primarily used quoted market prices and other observable market pricing information (exclusive of any purchase accounting adjustments) in valuing cash and cash equivalents, long-term debt outstanding, and assets of the qualified pension plan and the postretirement benefits other than pensions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Regulated Operations Plant. </w:t>
      </w:r>
      <w:r>
        <w:rPr>
          <w:rFonts w:ascii="Arial" w:cs="Arial" w:eastAsia="Arial" w:hAnsi="Arial"/>
          <w:sz w:val="18"/>
          <w:szCs w:val="18"/>
          <w:color w:val="auto"/>
        </w:rPr>
        <w:t>Net regulated operations plant includes gas plant at original cost, less the accumulated provision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amortization, plus any unamortized balance of acquisition adjustments. Original cost generally includes contracted services, material, payroll, and related costs such as taxes and certain benefits, general and administrative expenses, and an allowance for funds used during construction, less contributions in aid of construction. Aligned with regulatory treatment, when plant is retired, the cost of such plant, net of any salvage value, is charged to accumulated depreciation. See also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Southwest’s and the Company’s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149,947</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r>
      <w:tr>
        <w:trPr>
          <w:trHeight w:val="223"/>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Southwest Gas Corporation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153,093</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Non-regulated property, equipment, and intangibles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1,677,218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1,616,392</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Non-regulated accumulated provision for 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 and investments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59,337</w:t>
            </w:r>
          </w:p>
        </w:tc>
      </w:tr>
      <w:tr>
        <w:trPr>
          <w:trHeight w:val="24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Southwest Gas Holdings,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1,316,479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 and to a more limited extent, MountainWest as of year-end 2021. MountainWest is not reflected in the table above as of December 31, 2022, since the balance has been reclassified as held for sale on the Company’s Consolidated Balance sheet as of that date. See </w:t>
      </w:r>
      <w:r>
        <w:rPr>
          <w:rFonts w:ascii="Arial" w:cs="Arial" w:eastAsia="Arial" w:hAnsi="Arial"/>
          <w:sz w:val="17"/>
          <w:szCs w:val="17"/>
          <w:b w:val="1"/>
          <w:bCs w:val="1"/>
          <w:color w:val="auto"/>
        </w:rPr>
        <w:t>Note 15 - Acquisitions and Dispositions</w:t>
      </w:r>
      <w:r>
        <w:rPr>
          <w:rFonts w:ascii="Arial" w:cs="Arial" w:eastAsia="Arial" w:hAnsi="Arial"/>
          <w:sz w:val="17"/>
          <w:szCs w:val="17"/>
          <w:color w:val="auto"/>
        </w:rPr>
        <w:t xml:space="preserve"> for additional information.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(other than goodwill) are amortized using the straight-line method to reflect the pattern of economic benefits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periods benefited. The recoverability of intangible assets is evaluated when events or circumstances indicate that a revision of estimated useful lives is warranted or that an intangible asset may be impaired. These intangible assets are included in Other property and investments on the Company’s Consolidated Balance</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9" w:name="page310"/>
    <w:bookmarkEnd w:id="309"/>
    <w:p>
      <w:pPr>
        <w:jc w:val="both"/>
        <w:spacing w:after="0" w:line="277" w:lineRule="auto"/>
        <w:rPr>
          <w:sz w:val="20"/>
          <w:szCs w:val="20"/>
          <w:color w:val="auto"/>
        </w:rPr>
      </w:pPr>
      <w:r>
        <w:rPr>
          <w:rFonts w:ascii="Arial" w:cs="Arial" w:eastAsia="Arial" w:hAnsi="Arial"/>
          <w:sz w:val="18"/>
          <w:szCs w:val="18"/>
          <w:color w:val="auto"/>
        </w:rPr>
        <w:t>Sheets. Centuri’s intangible assets (other than goodwill) have finite lives and are associated with businesses previously acquired. The balances at December 31, 2022 and 2021, respectively,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December 31, 2022</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169"/>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0"/>
              </w:rPr>
              <w:t>Gross Carrying</w:t>
            </w:r>
          </w:p>
        </w:tc>
        <w:tc>
          <w:tcPr>
            <w:tcW w:w="140" w:type="dxa"/>
            <w:vAlign w:val="bottom"/>
          </w:tcPr>
          <w:p>
            <w:pPr>
              <w:spacing w:after="0"/>
              <w:rPr>
                <w:sz w:val="14"/>
                <w:szCs w:val="14"/>
                <w:color w:val="auto"/>
              </w:rPr>
            </w:pPr>
          </w:p>
        </w:tc>
        <w:tc>
          <w:tcPr>
            <w:tcW w:w="1700" w:type="dxa"/>
            <w:vAlign w:val="bottom"/>
            <w:gridSpan w:val="2"/>
          </w:tcPr>
          <w:p>
            <w:pPr>
              <w:jc w:val="center"/>
              <w:ind w:right="220"/>
              <w:spacing w:after="0" w:line="169"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4"/>
                <w:szCs w:val="14"/>
                <w:color w:val="auto"/>
              </w:rPr>
            </w:pPr>
          </w:p>
        </w:tc>
        <w:tc>
          <w:tcPr>
            <w:tcW w:w="150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Net Carrying</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1"/>
                <w:szCs w:val="21"/>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1"/>
                <w:szCs w:val="21"/>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260" w:type="dxa"/>
            <w:vAlign w:val="bottom"/>
          </w:tcPr>
          <w:p>
            <w:pPr>
              <w:spacing w:after="0"/>
              <w:rPr>
                <w:sz w:val="21"/>
                <w:szCs w:val="21"/>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Amount</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328,249</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66,999</w:t>
            </w: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395,248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9"/>
        </w:trPr>
        <w:tc>
          <w:tcPr>
            <w:tcW w:w="5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December 31, 2021</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393,834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350,948</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72,557</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contracts backlog</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426,505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the acquired intangible assets listed above for the years ended December 31, 2022, 2021, and 2020 was $29.8 million, $17.3 million, and $10.8 million, respectively. The weighted-average amortization periods for customer relationships, trade names and trademarks, and customer contracts backlog are 19 years, 15 years, and 1 year,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the intangible assets for the next five years and thereafter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26,690</w:t>
            </w:r>
          </w:p>
        </w:tc>
      </w:tr>
      <w:tr>
        <w:trPr>
          <w:trHeight w:val="256"/>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26,690</w:t>
            </w:r>
          </w:p>
        </w:tc>
      </w:tr>
      <w:tr>
        <w:trPr>
          <w:trHeight w:val="25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26,678</w:t>
            </w:r>
          </w:p>
        </w:tc>
      </w:tr>
      <w:tr>
        <w:trPr>
          <w:trHeight w:val="257"/>
        </w:trPr>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26,455</w:t>
            </w:r>
          </w:p>
        </w:tc>
      </w:tr>
      <w:tr>
        <w:trPr>
          <w:trHeight w:val="25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26,088</w:t>
            </w:r>
          </w:p>
        </w:tc>
      </w:tr>
      <w:tr>
        <w:trPr>
          <w:trHeight w:val="25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262,647</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395,248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2 - Regulated Operations Plant and Leases</w:t>
      </w:r>
      <w:r>
        <w:rPr>
          <w:rFonts w:ascii="Arial" w:cs="Arial" w:eastAsia="Arial" w:hAnsi="Arial"/>
          <w:sz w:val="18"/>
          <w:szCs w:val="18"/>
          <w:color w:val="auto"/>
        </w:rPr>
        <w:t xml:space="preserve"> for additional information regarding natural gas distribution intangible assets</w:t>
      </w:r>
      <w:r>
        <w:rPr>
          <w:rFonts w:ascii="Arial" w:cs="Arial" w:eastAsia="Arial" w:hAnsi="Arial"/>
          <w:sz w:val="18"/>
          <w:szCs w:val="18"/>
          <w:b w:val="1"/>
          <w:bCs w:val="1"/>
          <w:color w:val="auto"/>
        </w:rPr>
        <w: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For purposes of reporting consolidated cash flows, cash and cash equivalents include cash on hand and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original maturities of three months or less. Such investments are carried at cost, which approximates market value. Cash and cash equivalents of the Company include $30 million of money market fund investments at December 31, 2022, and $20 million at December 31, 2021. The money market fund investments for Southwest were $17.6 million at December 31, 2022 and insignificant at December 31, 2021. These investments fall within Level 2 of the fair value hierarchy, due to the asset valuation methods used by money market funds.</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Noncash investing activities for the Company and Southwest include capital expenditures that were not yet paid as of year end, thereby remaining in accounts payable, the amounts related to which increased by approximately $23.4 million and $19.7 million, for the Company and Southwest, respectively during the year ended December 31, 2022, and $15.5 million and $13.9 million, for the Company and Southwest, respectively, during the year ended December 31, 2021. Additionally for Southwest, noncash investing activities include customer advances applied as contributions toward utility construction activity, such amounts were not significant for the periods presented herein. Also, see </w:t>
      </w:r>
      <w:r>
        <w:rPr>
          <w:rFonts w:ascii="Arial" w:cs="Arial" w:eastAsia="Arial" w:hAnsi="Arial"/>
          <w:sz w:val="16"/>
          <w:szCs w:val="16"/>
          <w:b w:val="1"/>
          <w:bCs w:val="1"/>
          <w:color w:val="auto"/>
        </w:rPr>
        <w:t>Note 2 - Regulated Operations Plant and Leases</w:t>
      </w:r>
      <w:r>
        <w:rPr>
          <w:rFonts w:ascii="Arial" w:cs="Arial" w:eastAsia="Arial" w:hAnsi="Arial"/>
          <w:sz w:val="16"/>
          <w:szCs w:val="16"/>
          <w:color w:val="auto"/>
        </w:rPr>
        <w:t xml:space="preserve"> for information related to right-of-use (“ROU”) assets obtained in exchange for lease liabilities, which are noncash investing and financing activities. ROU assets and lease liabilities are also subject to noncash impacts as a result of other factors, such as lease terminations and modifications.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asset and liability method of accounting is utilized for the recognition of income taxes. Under the asset and liability method,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anticipated to be recovered or settled. The effect on deferred tax assets and liabilities of a change in tax rates is recognized in the period that includes the enactment date. For regulatory and financial reporting purposes, investment tax credits (“ITC”) related to gas utility operations are deferred and amortized over the life of related fixed assets.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0" w:name="page311"/>
    <w:bookmarkEnd w:id="310"/>
    <w:p>
      <w:pPr>
        <w:jc w:val="both"/>
        <w:spacing w:after="0" w:line="263" w:lineRule="auto"/>
        <w:rPr>
          <w:sz w:val="20"/>
          <w:szCs w:val="20"/>
          <w:color w:val="auto"/>
        </w:rPr>
      </w:pPr>
      <w:r>
        <w:rPr>
          <w:rFonts w:ascii="Arial" w:cs="Arial" w:eastAsia="Arial" w:hAnsi="Arial"/>
          <w:sz w:val="18"/>
          <w:szCs w:val="18"/>
          <w:color w:val="auto"/>
        </w:rPr>
        <w:t>As of December 31, 2022, the Company had cumulative book earnings of approximately $79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Accounting Standards Board (the “FASB”) issued guidance to allow an accounting policy election of either (i) treating taxes attributable to future taxable income related to Global Intangible Low-Taxed Income (“GILTI”) as a current period expense when incurred or (ii) recognizing deferred taxes for temporary differences expected to reverse as GILTI in future years. The Company has elected to treat GILTI as a current period cost when incurred and has considered the estimated 2022 GILTI impact to its 2022 tax expense, which was immaterial.</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the rate-regulated companies to adjust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rates for changes 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Prepaid and other current assets for Southwest and the Company include, among other things, accrued purchased gas</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$207 million in 2022 and $52 million in 2021. Additionally, Southwest had gas pipe materials and operating supplies of $77.3 million in 2022 and $62.9 million in 2021 (carried at weighted average cost). MountainWest’s materials and supplies were immaterial in the 2021 period in which they were included in the balance of Prepaid and other current assets in regard to the Company.</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Held for sale. </w:t>
      </w:r>
      <w:r>
        <w:rPr>
          <w:rFonts w:ascii="Arial" w:cs="Arial" w:eastAsia="Arial" w:hAnsi="Arial"/>
          <w:sz w:val="16"/>
          <w:szCs w:val="16"/>
          <w:color w:val="auto"/>
        </w:rPr>
        <w:t>The Company and Southwest recognize the assets and liabilities of a disposal group as held for sale in the period (i) it has approved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committed to a plan to sell the disposal group, (ii) the disposal group is available for immediate sale in its present condition, (iii) an active program to locate a buyer and other actions to sell the disposal group have been initiated, (iv) it is unlikely that significant changes to the plan will be made or that the plan will be withdrawn. The Company and Southwest initially measure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closing. Upon designation as held for sale, the Company and Southwest stop recording depreciation expense and assess the fair value of the disposal group less any costs to sell at each reporting period, until it is no longer classified as held for sale. See </w:t>
      </w:r>
      <w:r>
        <w:rPr>
          <w:rFonts w:ascii="Arial" w:cs="Arial" w:eastAsia="Arial" w:hAnsi="Arial"/>
          <w:sz w:val="16"/>
          <w:szCs w:val="16"/>
          <w:b w:val="1"/>
          <w:bCs w:val="1"/>
          <w:color w:val="auto"/>
        </w:rPr>
        <w:t>Note 15 - Acquisitions and Dispositions</w:t>
      </w:r>
      <w:r>
        <w:rPr>
          <w:rFonts w:ascii="Arial" w:cs="Arial" w:eastAsia="Arial" w:hAnsi="Arial"/>
          <w:sz w:val="16"/>
          <w:szCs w:val="16"/>
          <w:color w:val="auto"/>
        </w:rPr>
        <w:t xml:space="preserve"> for information related to the MountainWest assets and liabilities held for sale.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Southwest had earlier classified certain assets associated with its previous corporate headquarters as held for sale. The sale was not completed and management determined that the assets no longer meet the criteria to be classified as held for sale. As a result, the Company and Southwest reclassified approximately $27 million from Prepaid and other current assets to Other property and investments on their respective Consolidated Balance Sheets during the fourth quarter of 2022. Southwest also received an updated appraisal on these assets, and as a result, recorded a loss of $2.9 million in the fourth quarter of 2022.</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required by U.S. GAAP, goodwill is assessed for impairment annually, or more frequently, if circumstances indicate impairment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goodwill may have occurred. The goodwill impairment analysis was conducted as of October 1st using a qualitative assessment, as permitted by U.S. GAAP. Management of the Company and Southwest considered its reporting units and segments, determining that they remained consistent between periods presented below, and that no change was necessary with regard to the level at which goodwill is assessed for impairment. The acquisition of MountainWest resulted in a new reportable segment, which was assessed for impairment beginning in 2022, and upon being classified as held for sale, an impairment was recognized, as outlined below. The Company and Southwest determined that it is not more likely than not that the fair values of the Centuri and Southwest reporting units were less than their carrying amounts in either 2022 or 2021, and therefore, no impairment was recorded in either year in regard to these entities.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regard to MountainWest, and the agreement to sell the equity interests to Williams, which was undertaken to simplify the Company’s business overall and ultimately position it as a pure-play local distribution company, management considered the expected proceeds, which were below the carrying value of the equity interests at that time; as such, a loss was recognized, recorded primarily as a goodwill impairment of $449.6 million in the fourth quarter of 2022. See </w:t>
      </w:r>
      <w:r>
        <w:rPr>
          <w:rFonts w:ascii="Arial" w:cs="Arial" w:eastAsia="Arial" w:hAnsi="Arial"/>
          <w:sz w:val="17"/>
          <w:szCs w:val="17"/>
          <w:b w:val="1"/>
          <w:bCs w:val="1"/>
          <w:color w:val="auto"/>
        </w:rPr>
        <w:t>Note 15 - Acquisitions and Dispositions</w:t>
      </w:r>
      <w:r>
        <w:rPr>
          <w:rFonts w:ascii="Arial" w:cs="Arial" w:eastAsia="Arial" w:hAnsi="Arial"/>
          <w:sz w:val="17"/>
          <w:szCs w:val="17"/>
          <w:color w:val="auto"/>
        </w:rPr>
        <w:t xml:space="preserve"> for additional information. Additional losses are possible through the post-closing process for MountainWest, as customary final adjustments are made. There can also be no assurances that future assessments of remaining goodwill on the Company’s and Southwest’s balance sheets will not result in an impairment; various factors, including the planned spin-off of Centuri, or changes in economic conditions, governmental monetary policies, interest rates, or others, on their own or in combination, could result in the fair value of the related reporting units being lower than their carrying value.</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1" w:name="page312"/>
    <w:bookmarkEnd w:id="311"/>
    <w:p>
      <w:pPr>
        <w:spacing w:after="0" w:line="277" w:lineRule="auto"/>
        <w:rPr>
          <w:sz w:val="20"/>
          <w:szCs w:val="20"/>
          <w:color w:val="auto"/>
        </w:rPr>
      </w:pPr>
      <w:r>
        <w:rPr>
          <w:rFonts w:ascii="Arial" w:cs="Arial" w:eastAsia="Arial" w:hAnsi="Arial"/>
          <w:sz w:val="18"/>
          <w:szCs w:val="18"/>
          <w:color w:val="auto"/>
        </w:rPr>
        <w:t>Goodwill in the Natural Gas Distribution and Utility Infrastructure Services segments is included in their respective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Utility</w:t>
            </w:r>
          </w:p>
        </w:tc>
        <w:tc>
          <w:tcPr>
            <w:tcW w:w="200" w:type="dxa"/>
            <w:vAlign w:val="bottom"/>
          </w:tcPr>
          <w:p>
            <w:pPr>
              <w:spacing w:after="0"/>
              <w:rPr>
                <w:sz w:val="17"/>
                <w:szCs w:val="17"/>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Infrastructure</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Services</w:t>
            </w:r>
          </w:p>
        </w:tc>
        <w:tc>
          <w:tcPr>
            <w:tcW w:w="20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345,184</w:t>
            </w: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Additional goodwill from Riggs Distler acquisition</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449,501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785,058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795,153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goodwill from Graham County acquisition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Measurement-period adjustments from Riggs Distler acquisition</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787,250</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180"/>
        <w:spacing w:after="0" w:line="269" w:lineRule="auto"/>
        <w:rPr>
          <w:sz w:val="20"/>
          <w:szCs w:val="20"/>
          <w:color w:val="auto"/>
        </w:rPr>
      </w:pPr>
      <w:r>
        <w:rPr>
          <w:rFonts w:ascii="Arial" w:cs="Arial" w:eastAsia="Arial" w:hAnsi="Arial"/>
          <w:sz w:val="16"/>
          <w:szCs w:val="16"/>
          <w:color w:val="auto"/>
        </w:rPr>
        <w:t xml:space="preserve">Goodwill related to the pipeline and storage segment, which as of December 31, 2021 was $986.2 million, is not reflected in the above table as the balance has been reclassified as held for sale on the Company’s Consolidated Balance sheet as of December 31, 2022. See </w:t>
      </w:r>
      <w:r>
        <w:rPr>
          <w:rFonts w:ascii="Arial" w:cs="Arial" w:eastAsia="Arial" w:hAnsi="Arial"/>
          <w:sz w:val="16"/>
          <w:szCs w:val="16"/>
          <w:b w:val="1"/>
          <w:bCs w:val="1"/>
          <w:color w:val="auto"/>
        </w:rPr>
        <w:t>Note 15 - Acquisitions and Dispositions</w:t>
      </w:r>
      <w:r>
        <w:rPr>
          <w:rFonts w:ascii="Arial" w:cs="Arial" w:eastAsia="Arial" w:hAnsi="Arial"/>
          <w:sz w:val="16"/>
          <w:szCs w:val="16"/>
          <w:color w:val="auto"/>
        </w:rPr>
        <w:t xml:space="preserve"> for additional information.</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Current Liabilities. </w:t>
      </w:r>
      <w:r>
        <w:rPr>
          <w:rFonts w:ascii="Arial" w:cs="Arial" w:eastAsia="Arial" w:hAnsi="Arial"/>
          <w:sz w:val="17"/>
          <w:szCs w:val="17"/>
          <w:color w:val="auto"/>
        </w:rPr>
        <w:t>Management recognizes in its balance sheets various liabilities that are expected to be settled through future cash payment within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next twelve months, including certain regulatory mechanisms (refer to </w:t>
      </w:r>
      <w:r>
        <w:rPr>
          <w:rFonts w:ascii="Arial" w:cs="Arial" w:eastAsia="Arial" w:hAnsi="Arial"/>
          <w:sz w:val="17"/>
          <w:szCs w:val="17"/>
          <w:b w:val="1"/>
          <w:bCs w:val="1"/>
          <w:color w:val="auto"/>
        </w:rPr>
        <w:t>Note 5 - Regulatory Assets and Liabilities</w:t>
      </w:r>
      <w:r>
        <w:rPr>
          <w:rFonts w:ascii="Arial" w:cs="Arial" w:eastAsia="Arial" w:hAnsi="Arial"/>
          <w:sz w:val="17"/>
          <w:szCs w:val="17"/>
          <w:color w:val="auto"/>
        </w:rPr>
        <w:t>), customary accrued expenses for employee compensation and benefits, declared but unpaid dividends, and miscellaneous other accrued liabilities. Other current liabilities for the Company include $41.6 million and $36 million of dividends declared as of December 31, 2022 and 2021, respectively.</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Accumulated Removal Costs. </w:t>
      </w:r>
      <w:r>
        <w:rPr>
          <w:rFonts w:ascii="Arial" w:cs="Arial" w:eastAsia="Arial" w:hAnsi="Arial"/>
          <w:sz w:val="16"/>
          <w:szCs w:val="16"/>
          <w:color w:val="auto"/>
        </w:rPr>
        <w:t>Approved regulatory practices allow Southwest to include in depreciation expense a component intended to recover removal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regulated operations plant retirements. In accordance with the Securities and Exchange Commission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(and actual cost experience) compared to the estimated cost of removal in rates.</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Gas Operating Revenues. </w:t>
      </w:r>
      <w:r>
        <w:rPr>
          <w:rFonts w:ascii="Arial" w:cs="Arial" w:eastAsia="Arial" w:hAnsi="Arial"/>
          <w:sz w:val="17"/>
          <w:szCs w:val="17"/>
          <w:color w:val="auto"/>
        </w:rPr>
        <w:t>Southwest recognizes revenue when it satisfies its performance by transferring gas to the customer. Natural gas is delivered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by the customer simultaneously. Revenues are recorded when customers are billed. Customer billings are substantially based on monthly meter reads and include certain other charges assessed monthly, and are calculated in accordance with applicable tariffs and state and local laws, regulations, and related agreements. An estimate of the margin associated with natural gas service provided, but not yet billed, to residential and commercial customers from the latest meter read date to the end of the reporting period is also recognized as accrued utility revenue. Revenues also include the net impacts of margin tracker/decoupling accruals based on criteria in U.S. GAAP for rate-regulated entities associated with alternative revenue programs. All of Southwest’s service territories have decoupled rate structures, which are designed to eliminate the direct link between volumetric sales and revenue, thereby mitigating the impacts of unusual weather variability and conservation on margin. See </w:t>
      </w:r>
      <w:r>
        <w:rPr>
          <w:rFonts w:ascii="Arial" w:cs="Arial" w:eastAsia="Arial" w:hAnsi="Arial"/>
          <w:sz w:val="17"/>
          <w:szCs w:val="17"/>
          <w:b w:val="1"/>
          <w:bCs w:val="1"/>
          <w:color w:val="auto"/>
        </w:rPr>
        <w:t>Note 3 - Revenue</w:t>
      </w:r>
      <w:r>
        <w:rPr>
          <w:rFonts w:ascii="Arial" w:cs="Arial" w:eastAsia="Arial" w:hAnsi="Arial"/>
          <w:sz w:val="17"/>
          <w:szCs w:val="17"/>
          <w:color w:val="auto"/>
        </w:rPr>
        <w:t xml:space="preserve"> for additional information and also a description of MountainWest’s revenues.</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Utility Infrastructure Services Revenues. </w:t>
      </w:r>
      <w:r>
        <w:rPr>
          <w:rFonts w:ascii="Arial" w:cs="Arial" w:eastAsia="Arial" w:hAnsi="Arial"/>
          <w:sz w:val="17"/>
          <w:szCs w:val="17"/>
          <w:color w:val="auto"/>
        </w:rPr>
        <w:t>The majority of Centuri contracts are performed under unit-price contracts. Generally, these contracts state prices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Changes in job performance, job conditions, and final contract settlements are factors that influence management’s assessment of total contract value and the total estimated costs to complete those contracts. Revisions in estimates of costs and earnings during the course of work are reflected in the accounting period in which the facts requiring revision become known. If a loss on a contract becomes known or is anticipated, the entire amount of the estimated ultimate loss is recognized at that time in the financial statements. Some unit-price contracts contain caps that if encroached, trigger revenue and loss recognition similar to a fixed-price contract model. See </w:t>
      </w:r>
      <w:r>
        <w:rPr>
          <w:rFonts w:ascii="Arial" w:cs="Arial" w:eastAsia="Arial" w:hAnsi="Arial"/>
          <w:sz w:val="17"/>
          <w:szCs w:val="17"/>
          <w:b w:val="1"/>
          <w:bCs w:val="1"/>
          <w:color w:val="auto"/>
        </w:rPr>
        <w:t>Note 3 - Revenue</w:t>
      </w:r>
      <w:r>
        <w:rPr>
          <w:rFonts w:ascii="Arial" w:cs="Arial" w:eastAsia="Arial" w:hAnsi="Arial"/>
          <w:sz w:val="17"/>
          <w:szCs w:val="17"/>
          <w:color w:val="auto"/>
        </w:rPr>
        <w:t>.</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Intercompany Transactions. </w:t>
      </w:r>
      <w:r>
        <w:rPr>
          <w:rFonts w:ascii="Arial" w:cs="Arial" w:eastAsia="Arial" w:hAnsi="Arial"/>
          <w:sz w:val="18"/>
          <w:szCs w:val="18"/>
          <w:color w:val="auto"/>
        </w:rPr>
        <w:t>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13 -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consolidated financial statements of the Company and Southwest and are not eliminated during consolidation in accordance with accounting treatment for rate-regulated entities.</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2" w:name="page313"/>
    <w:bookmarkEnd w:id="312"/>
    <w:p>
      <w:pPr>
        <w:jc w:val="both"/>
        <w:spacing w:after="0" w:line="263" w:lineRule="auto"/>
        <w:rPr>
          <w:sz w:val="20"/>
          <w:szCs w:val="20"/>
          <w:color w:val="auto"/>
        </w:rPr>
      </w:pPr>
      <w:r>
        <w:rPr>
          <w:rFonts w:ascii="Arial" w:cs="Arial" w:eastAsia="Arial" w:hAnsi="Arial"/>
          <w:sz w:val="18"/>
          <w:szCs w:val="18"/>
          <w:i w:val="1"/>
          <w:iCs w:val="1"/>
          <w:color w:val="auto"/>
        </w:rPr>
        <w:t>Utility Infrastructu</w:t>
      </w:r>
      <w:r>
        <w:rPr>
          <w:rFonts w:ascii="Arial" w:cs="Arial" w:eastAsia="Arial" w:hAnsi="Arial"/>
          <w:sz w:val="18"/>
          <w:szCs w:val="18"/>
          <w:b w:val="1"/>
          <w:bCs w:val="1"/>
          <w:i w:val="1"/>
          <w:iCs w:val="1"/>
          <w:color w:val="auto"/>
        </w:rPr>
        <w:t>r</w:t>
      </w:r>
      <w:r>
        <w:rPr>
          <w:rFonts w:ascii="Arial" w:cs="Arial" w:eastAsia="Arial" w:hAnsi="Arial"/>
          <w:sz w:val="18"/>
          <w:szCs w:val="18"/>
          <w:i w:val="1"/>
          <w:iCs w:val="1"/>
          <w:color w:val="auto"/>
        </w:rPr>
        <w:t xml:space="preserve">e Services Expenses. </w:t>
      </w:r>
      <w:r>
        <w:rPr>
          <w:rFonts w:ascii="Arial" w:cs="Arial" w:eastAsia="Arial" w:hAnsi="Arial"/>
          <w:sz w:val="18"/>
          <w:szCs w:val="18"/>
          <w:color w:val="auto"/>
        </w:rPr>
        <w:t>Centuri’s utility infrastructure services expenses in the Consolidated Statements of Income includes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office and equipment rental costs, subcontractor expenses, training, job-related materials, gains and losses on equipment sales, and professional fees.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Cost of Gas Sold. </w:t>
      </w:r>
      <w:r>
        <w:rPr>
          <w:rFonts w:ascii="Arial" w:cs="Arial" w:eastAsia="Arial" w:hAnsi="Arial"/>
          <w:sz w:val="18"/>
          <w:szCs w:val="18"/>
          <w:color w:val="auto"/>
        </w:rPr>
        <w:t>Components of net cost of gas sold include natural gas commodity costs (fixed-price and variable-rate),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capacity/transportation costs, and any actual settled costs of natural gas derivative instruments, where relevant. Also included are the net impacts of PGA deferrals and recoveries, which by their inclusion, result in net cost of gas sold overall that is comparable to amounts included in billed gas operating revenues. Differences between amounts incurred with suppliers, transmission pipelines, etc. and amounts already included in customer rates, are temporarily deferred in PGA accounts pending inclusion in customer rates.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Operations and Maintenance Expense. </w:t>
      </w:r>
      <w:r>
        <w:rPr>
          <w:rFonts w:ascii="Arial" w:cs="Arial" w:eastAsia="Arial" w:hAnsi="Arial"/>
          <w:sz w:val="17"/>
          <w:szCs w:val="17"/>
          <w:color w:val="auto"/>
        </w:rPr>
        <w:t>Operations and maintenance expense includes Southwest’s operating and maintenance costs associated with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utility customers and maintaining its distribution and transmission systems, uncollectible customer accounts expense, administrative and general salaries and expense, employee benefits expense excluding relevant non-service cost components, legal expense (including injuries and damages), professional and other external contracted services, and other business expenses. Also included are similar costs for MountainWest.</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Regulated operations plant depreciation is computed on the straight-line remaining life method at composite rates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considered sufficient to 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Arial" w:cs="Arial" w:eastAsia="Arial" w:hAnsi="Arial"/>
          <w:sz w:val="17"/>
          <w:szCs w:val="17"/>
          <w:i w:val="1"/>
          <w:iCs w:val="1"/>
          <w:color w:val="auto"/>
        </w:rPr>
        <w:t>Accumulated Removal Costs</w:t>
      </w:r>
      <w:r>
        <w:rPr>
          <w:rFonts w:ascii="Arial" w:cs="Arial" w:eastAsia="Arial" w:hAnsi="Arial"/>
          <w:sz w:val="17"/>
          <w:szCs w:val="17"/>
          <w:color w:val="auto"/>
        </w:rPr>
        <w:t xml:space="preserve"> above. Other regulatory assets, including acquisition adjustments, are amortized when appropriate, over time periods authorized by regulators. Non-regulated operations, including utility infrastructure services-related property and equipment, are depreciated on a straight-line method based on the estimated useful lives of the related assets. Costs and gains related to refunding regulated operations debt and debt issuance expenses are deferred and amortized over the weighted-average lives of the new issues and become a component of interest expense.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Allowance for Funds Used During Construction (“AFUDC”). </w:t>
      </w:r>
      <w:r>
        <w:rPr>
          <w:rFonts w:ascii="Arial" w:cs="Arial" w:eastAsia="Arial" w:hAnsi="Arial"/>
          <w:sz w:val="18"/>
          <w:szCs w:val="18"/>
          <w:color w:val="auto"/>
        </w:rPr>
        <w:t>AFUDC represents the cost of both debt and equity funds used to finance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plant construction. AFUDC is capitalized as part of the cost of regulated operations plant. The debt portion of AFUDC is reported in the Company’s and Southwest’s Consolidated Statements of Income as an offset to Net interest deductions and the equity portion is reported as Other income. Regulated operations plant construction costs, including AFUDC, are recoverable as part of authorized rates through depreciation when completed projects are placed into operation, and general rate relief is requested and granted. AFUDC, disaggregated by type, included in the Company’s and Southwest’s Consolidated Statements of Income are presented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AFUDC: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portion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Equity portion</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AFUDC capitalized as part of regulated operations plant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AFUDC rate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AFUDC related to MountainWest includes $86,000 of debt and $465,000 of equity during the year ended December 31, 2022, which is not reflected in the table above. Debt and equity AFUDC at Southwest were impacted in 2022 and 2021 by the amount of short-term debt outstanding based on the regulatory formula for each component.</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3" w:name="page314"/>
    <w:bookmarkEnd w:id="313"/>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COLI policies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AFUDC</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Other components of net periodic benefit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(20,022)</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income and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Southwest Gas Corporation – total other income (deductions)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MountainWest, and Southwest Gas Holdings, Inc.:</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Foreign transaction gain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AFUDC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Equity in earnings of unconsolidated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income and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Holdings, Inc. - total other income (deductions)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the table above is the change in COLI policies (including net death benefits recognized, where relevant). Current tax regulations provide for tax-free treatment of life insurance (death benefit) proceeds. Therefore, changes in the cash surrender value components of COLI policies, as they progress towards the ultimate death benefits, are also recorded without tax consequences. Miscellaneous income and (expense) in 2022 includes the reduction in value of Southwest’s previous corporate campus property.</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no fair value adjustment is required. Southwest does not utilize derivative financial instruments for speculative purposes, nor does it have trading operations.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Foreign Currency Translation and Transactions. </w:t>
      </w:r>
      <w:r>
        <w:rPr>
          <w:rFonts w:ascii="Arial" w:cs="Arial" w:eastAsia="Arial" w:hAnsi="Arial"/>
          <w:sz w:val="17"/>
          <w:szCs w:val="17"/>
          <w:color w:val="auto"/>
        </w:rPr>
        <w:t>Foreign currency-denominated assets and liabilities of consolidated subsidiaries are translated into U.S.</w:t>
      </w:r>
      <w:r>
        <w:rPr>
          <w:rFonts w:ascii="Arial" w:cs="Arial" w:eastAsia="Arial" w:hAnsi="Arial"/>
          <w:sz w:val="17"/>
          <w:szCs w:val="17"/>
          <w:i w:val="1"/>
          <w:iCs w:val="1"/>
          <w:color w:val="auto"/>
        </w:rPr>
        <w:t xml:space="preserve"> </w:t>
      </w:r>
      <w:r>
        <w:rPr>
          <w:rFonts w:ascii="Arial" w:cs="Arial" w:eastAsia="Arial" w:hAnsi="Arial"/>
          <w:sz w:val="17"/>
          <w:szCs w:val="17"/>
          <w:color w:val="auto"/>
        </w:rPr>
        <w:t>dollars at exchange rates existing at the respective balance sheet dates. Translation adjustments resulting from fluctuations in exchange rates are recorded as a separate component of accumulated other comprehensive income within stockholders’ equity. Results of operations of foreign subsidiaries are translated using the monthly weighted-average exchange rates during the respective periods. Gains and losses resulting from foreign currency transactions are included in Other income and (expenses) of the Company. Gains and losses resulting from intercompany foreign currency transactions that are of a long-term investment nature are reported in Other comprehensive income, if applicable.</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Earnings (Loss) Per Share. </w:t>
      </w:r>
      <w:r>
        <w:rPr>
          <w:rFonts w:ascii="Arial" w:cs="Arial" w:eastAsia="Arial" w:hAnsi="Arial"/>
          <w:sz w:val="17"/>
          <w:szCs w:val="17"/>
          <w:color w:val="auto"/>
        </w:rPr>
        <w:t>Basic earnings (loss) per share (“EPS”) in each period of this report were calculated by dividing net income (loss)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to Southwest Gas Holdings, Inc. by the weighted-average number of shares during those periods. Diluted EPS includes additional weighted-average common stock equivalents (performance shares and restricted stock units), if dilutive. Unless otherwise noted, the term “Earnings Per Share” refers to Basic EPS. A reconciliation of the denominator used in Basic and Diluted EPS calculations is shown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 (1)(2)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Weighted average diluted shares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65,558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56,076</w:t>
            </w: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00" w:hanging="230"/>
        <w:spacing w:after="0"/>
        <w:tabs>
          <w:tab w:leader="none" w:pos="40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number of anti-dilutive restricted stock units for 2022 excluded from the calculation of diluted shares is 157,000.</w:t>
      </w:r>
    </w:p>
    <w:p>
      <w:pPr>
        <w:spacing w:after="0" w:line="19" w:lineRule="exact"/>
        <w:rPr>
          <w:rFonts w:ascii="Arial" w:cs="Arial" w:eastAsia="Arial" w:hAnsi="Arial"/>
          <w:sz w:val="16"/>
          <w:szCs w:val="16"/>
          <w:color w:val="auto"/>
        </w:rPr>
      </w:pPr>
    </w:p>
    <w:p>
      <w:pPr>
        <w:ind w:left="180" w:hanging="10"/>
        <w:spacing w:after="0" w:line="257" w:lineRule="auto"/>
        <w:tabs>
          <w:tab w:leader="none" w:pos="41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number of securities granted for 2022, 2021, and 2020 includes 144,000, 104,000, and 69,000 performance shares, respectively, the total of which was derived by assuming that target performance will be achieved during the relevant performance period.</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effective or adopted in 2022:</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Accounting Standards Update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the topic) to replace a reference rate affected by reference rate reform. The update applies only to contracts and hedging relationships that reference the London Interbank Offered Rate (“LIBOR”) or another reference rate expected to be discontinued due to reference rate reform. The guidance was eligible to be applied upon issuance on March 12, 2020, and can generally be applied through December 31, 2022. In December 2022, the FASB issued ASU 2022-06 “Reference Rate Reform (Topic 848): Deferral of the Sunset Date of Topic 848.” The update provides deferral of the sunset date of Topic 848 from December 31, 2022 to December 31, 2024. Management will continue to monitor the impacts this update might have on the Company’s and Southwest’s consolidated financial statements and disclosures, and will reflect such appropriately, in the event that the optional guidance is elected. See also LIBOR discussion in </w:t>
      </w:r>
      <w:r>
        <w:rPr>
          <w:rFonts w:ascii="Arial" w:cs="Arial" w:eastAsia="Arial" w:hAnsi="Arial"/>
          <w:sz w:val="17"/>
          <w:szCs w:val="17"/>
          <w:b w:val="1"/>
          <w:bCs w:val="1"/>
          <w:color w:val="auto"/>
        </w:rPr>
        <w:t>Note 8 - Debt</w:t>
      </w:r>
      <w:r>
        <w:rPr>
          <w:rFonts w:ascii="Arial" w:cs="Arial" w:eastAsia="Arial" w:hAnsi="Arial"/>
          <w:sz w:val="17"/>
          <w:szCs w:val="17"/>
          <w:color w:val="auto"/>
        </w:rPr>
        <w:t>.</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 per share for convertible instruments and contracts in an entity’s own equity. The Company and Southwest adopted the update in the first quarter of 2022, the impact of which was not material to the consolidated financial statements of the Company or Southwest.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standards updates that are expected to be adopted or material to Southwest or the Company effective in 2023 or thereafter.</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Subsequent Events. </w:t>
      </w:r>
      <w:r>
        <w:rPr>
          <w:rFonts w:ascii="Arial" w:cs="Arial" w:eastAsia="Arial" w:hAnsi="Arial"/>
          <w:sz w:val="16"/>
          <w:szCs w:val="16"/>
          <w:color w:val="auto"/>
        </w:rPr>
        <w:t>Management monitors events occurring after the balance sheet date and prior to the issuance of the financial statements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impacts, if any, of events on the financial statements to be issued or disclosures to be made, and has reflected them where appropriate. See </w:t>
      </w:r>
      <w:r>
        <w:rPr>
          <w:rFonts w:ascii="Arial" w:cs="Arial" w:eastAsia="Arial" w:hAnsi="Arial"/>
          <w:sz w:val="16"/>
          <w:szCs w:val="16"/>
          <w:b w:val="1"/>
          <w:bCs w:val="1"/>
          <w:color w:val="auto"/>
        </w:rPr>
        <w:t>Note 1 -</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Background, Organization, and Summary of Significant Accounting Policies, Note 8 - Debt, </w:t>
      </w:r>
      <w:r>
        <w:rPr>
          <w:rFonts w:ascii="Arial" w:cs="Arial" w:eastAsia="Arial" w:hAnsi="Arial"/>
          <w:sz w:val="16"/>
          <w:szCs w:val="16"/>
          <w:color w:val="auto"/>
        </w:rPr>
        <w:t>and</w:t>
      </w:r>
      <w:r>
        <w:rPr>
          <w:rFonts w:ascii="Arial" w:cs="Arial" w:eastAsia="Arial" w:hAnsi="Arial"/>
          <w:sz w:val="16"/>
          <w:szCs w:val="16"/>
          <w:b w:val="1"/>
          <w:bCs w:val="1"/>
          <w:color w:val="auto"/>
        </w:rPr>
        <w:t xml:space="preserve"> Note 15 - Acquisitions and Dispositions</w:t>
      </w:r>
      <w:r>
        <w:rPr>
          <w:rFonts w:ascii="Arial" w:cs="Arial" w:eastAsia="Arial" w:hAnsi="Arial"/>
          <w:sz w:val="16"/>
          <w:szCs w:val="16"/>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Regulated Operations Plant and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Regulated Operations Plant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regulated operations plant and their respective balances as of December 31, 2022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December 31,</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r>
      <w:tr>
        <w:trPr>
          <w:trHeight w:val="169"/>
        </w:trPr>
        <w:tc>
          <w:tcPr>
            <w:tcW w:w="6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center"/>
              <w:ind w:right="70"/>
              <w:spacing w:after="0" w:line="169" w:lineRule="exact"/>
              <w:rPr>
                <w:sz w:val="20"/>
                <w:szCs w:val="20"/>
                <w:color w:val="auto"/>
              </w:rPr>
            </w:pPr>
            <w:r>
              <w:rPr>
                <w:rFonts w:ascii="Arial" w:cs="Arial" w:eastAsia="Arial" w:hAnsi="Arial"/>
                <w:sz w:val="18"/>
                <w:szCs w:val="18"/>
                <w:color w:val="auto"/>
                <w:w w:val="88"/>
              </w:rPr>
              <w:t>Southwest Gas</w:t>
            </w:r>
          </w:p>
        </w:tc>
      </w:tr>
      <w:tr>
        <w:trPr>
          <w:trHeight w:val="243"/>
        </w:trPr>
        <w:tc>
          <w:tcPr>
            <w:tcW w:w="6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Southwest Gas Holdings Inc.*</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Corporation</w:t>
            </w:r>
          </w:p>
        </w:tc>
      </w:tr>
      <w:tr>
        <w:trPr>
          <w:trHeight w:val="210"/>
        </w:trPr>
        <w:tc>
          <w:tcPr>
            <w:tcW w:w="6760" w:type="dxa"/>
            <w:vAlign w:val="bottom"/>
          </w:tcPr>
          <w:p>
            <w:pPr>
              <w:ind w:left="20"/>
              <w:spacing w:after="0"/>
              <w:rPr>
                <w:sz w:val="20"/>
                <w:szCs w:val="20"/>
                <w:color w:val="auto"/>
              </w:rPr>
            </w:pPr>
            <w:r>
              <w:rPr>
                <w:rFonts w:ascii="Arial" w:cs="Arial" w:eastAsia="Arial" w:hAnsi="Arial"/>
                <w:sz w:val="18"/>
                <w:szCs w:val="18"/>
                <w:color w:val="auto"/>
              </w:rPr>
              <w:t>Gas plant:</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Storage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103,874</w:t>
            </w:r>
          </w:p>
        </w:tc>
      </w:tr>
      <w:tr>
        <w:trPr>
          <w:trHeight w:val="230"/>
        </w:trPr>
        <w:tc>
          <w:tcPr>
            <w:tcW w:w="6760" w:type="dxa"/>
            <w:vAlign w:val="bottom"/>
          </w:tcPr>
          <w:p>
            <w:pPr>
              <w:ind w:left="220"/>
              <w:spacing w:after="0"/>
              <w:rPr>
                <w:sz w:val="20"/>
                <w:szCs w:val="20"/>
                <w:color w:val="auto"/>
              </w:rPr>
            </w:pPr>
            <w:r>
              <w:rPr>
                <w:rFonts w:ascii="Arial" w:cs="Arial" w:eastAsia="Arial" w:hAnsi="Arial"/>
                <w:sz w:val="18"/>
                <w:szCs w:val="18"/>
                <w:color w:val="auto"/>
              </w:rPr>
              <w:t>Transmission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1,917,529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397,590</w:t>
            </w: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7,506,489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7,506,489</w:t>
            </w:r>
          </w:p>
        </w:tc>
      </w:tr>
      <w:tr>
        <w:trPr>
          <w:trHeight w:val="230"/>
        </w:trPr>
        <w:tc>
          <w:tcPr>
            <w:tcW w:w="6760" w:type="dxa"/>
            <w:vAlign w:val="bottom"/>
          </w:tcPr>
          <w:p>
            <w:pPr>
              <w:ind w:left="220"/>
              <w:spacing w:after="0"/>
              <w:rPr>
                <w:sz w:val="20"/>
                <w:szCs w:val="20"/>
                <w:color w:val="auto"/>
              </w:rPr>
            </w:pPr>
            <w:r>
              <w:rPr>
                <w:rFonts w:ascii="Arial" w:cs="Arial" w:eastAsia="Arial" w:hAnsi="Arial"/>
                <w:sz w:val="18"/>
                <w:szCs w:val="18"/>
                <w:color w:val="auto"/>
              </w:rPr>
              <w:t>General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530,346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496,643</w:t>
            </w:r>
          </w:p>
        </w:tc>
      </w:tr>
      <w:tr>
        <w:trPr>
          <w:trHeight w:val="229"/>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software-related intangibles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380,372</w:t>
            </w:r>
          </w:p>
        </w:tc>
      </w:tr>
      <w:tr>
        <w:trPr>
          <w:trHeight w:val="230"/>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16,607</w:t>
            </w:r>
          </w:p>
        </w:tc>
      </w:tr>
      <w:tr>
        <w:trPr>
          <w:trHeight w:val="223"/>
        </w:trPr>
        <w:tc>
          <w:tcPr>
            <w:tcW w:w="6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10,789,690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8,901,575</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(2,674,157)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(3,397,736)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(2,538,508)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work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202,068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183,485</w:t>
            </w:r>
          </w:p>
        </w:tc>
      </w:tr>
      <w:tr>
        <w:trPr>
          <w:trHeight w:val="223"/>
        </w:trPr>
        <w:tc>
          <w:tcPr>
            <w:tcW w:w="6760" w:type="dxa"/>
            <w:vAlign w:val="bottom"/>
          </w:tcPr>
          <w:p>
            <w:pPr>
              <w:ind w:left="220"/>
              <w:spacing w:after="0"/>
              <w:rPr>
                <w:sz w:val="20"/>
                <w:szCs w:val="20"/>
                <w:color w:val="auto"/>
              </w:rPr>
            </w:pPr>
            <w:r>
              <w:rPr>
                <w:rFonts w:ascii="Arial" w:cs="Arial" w:eastAsia="Arial" w:hAnsi="Arial"/>
                <w:sz w:val="18"/>
                <w:szCs w:val="18"/>
                <w:color w:val="auto"/>
              </w:rPr>
              <w:t>Net regulated operations plant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7,024,500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7,594,022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6,546,552</w:t>
            </w: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spacing w:after="0" w:line="269" w:lineRule="auto"/>
        <w:rPr>
          <w:sz w:val="20"/>
          <w:szCs w:val="20"/>
          <w:color w:val="auto"/>
        </w:rPr>
      </w:pPr>
      <w:r>
        <w:rPr>
          <w:rFonts w:ascii="Arial" w:cs="Arial" w:eastAsia="Arial" w:hAnsi="Arial"/>
          <w:sz w:val="16"/>
          <w:szCs w:val="16"/>
          <w:color w:val="auto"/>
        </w:rPr>
        <w:t>*Southwest Gas Holdings, Inc. included the regulated operations plant associated with MountainWest only as of December 31, 2021, given that the MountainWest disposal group was deemed held for sale as of December 31, 2022. Therefore, the balances in the table above for Southwest Gas Holdings, Inc. are the same as for Southwest Gas Corporation as of December 31, 2022.</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Regulated operations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5" w:name="page316"/>
    <w:bookmarkEnd w:id="315"/>
    <w:p>
      <w:pPr>
        <w:jc w:val="both"/>
        <w:spacing w:after="0" w:line="279" w:lineRule="auto"/>
        <w:rPr>
          <w:sz w:val="20"/>
          <w:szCs w:val="20"/>
          <w:color w:val="auto"/>
        </w:rPr>
      </w:pPr>
      <w:r>
        <w:rPr>
          <w:rFonts w:ascii="Arial" w:cs="Arial" w:eastAsia="Arial" w:hAnsi="Arial"/>
          <w:sz w:val="17"/>
          <w:szCs w:val="17"/>
          <w:color w:val="auto"/>
        </w:rPr>
        <w:t>commission approvals and/or mandates. In 2022, 2021, and 2020, annual regulated operations depreciation and amortization expense in regard to Southwest averaged 2.7% of the original cost of depreciable and amortizable property. Transmission and distribution plant are associated with the core natural gas delivery infrastructure, and combined, constitute the majority of gas plant. Annual regulated operations depreciation expense for Southwest averaged approximately 2.2% of the original cost of depreciable transmission and distribution plant during the period 2020 through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gas plant, including intangibles,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215,636</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figures above is amortization of regulated operations intangibles of $21 million, $17.7 million, and $13.7 million for the years ended December 31, 2022, 2021, and 2020, respectively. The amounts above exclude regulatory asset and liability amortization.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Determinations are made as to whether an arrangement is a lease at inception. ROU assets represent the right to use an underlying asset for the lease term; lease liabilities represent obligations to make lease payments arising from the lease. Operating lease ROU assets and lease liabilities are recognized at the commencement date based on the present value of lease payments over the lease term. When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 When lease agreements include non-lease components, they are included with the lease component and accounted for as a single component, for all asset classes. Southwest and MountainWest have no significant operating, finance, or short-term leases.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Centuri has operating and finance leases for corporate and field offices, construction equipment, and transportation vehicles. Centuri is currently not a lessor in any significant lease arrangements. Centuri’s leases have remaining lease terms of up to 16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During 2021, the presentation of short-term lease cost changed to include all short-term costs associated with leases with a term of less than one month as compared to the historical presentation of only including short-term lease costs for leases with a duration of over one month and less than one year. The lease costs associated with leases with terms of less than one month were $66.4 million for the year ended December 31, 2020. Due to the seasonality of Centuri’s business, expense for short-term leases will fluctuate throughout the year with higher expense incurred during the warmer months. Short-term leases were not recorded on the balance sheet as permitted under the provisions of Accounting Standards Codification (“ASC”) Topic 842. As of December 31, 2022, Centuri had no executed lease agreements that had not yet commenced.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The components of lease expense for Centuri were as follows:</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7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Arial" w:cs="Arial" w:eastAsia="Arial" w:hAnsi="Arial"/>
                <w:sz w:val="18"/>
                <w:szCs w:val="18"/>
                <w:color w:val="auto"/>
              </w:rPr>
              <w:t>Amortization of ROU assets</w:t>
            </w: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1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60" w:type="dxa"/>
            <w:vAlign w:val="bottom"/>
            <w:vMerge w:val="restart"/>
          </w:tcPr>
          <w:p>
            <w:pPr>
              <w:jc w:val="right"/>
              <w:ind w:right="97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0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t>Supplemental cash flow information related to Centuri leases for the years ended December 31, 2022, 2021, and 2020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4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14,669</w:t>
            </w:r>
          </w:p>
        </w:tc>
        <w:tc>
          <w:tcPr>
            <w:tcW w:w="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84"/>
              </w:rPr>
              <w:t>3,547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830"/>
              <w:spacing w:after="0"/>
              <w:rPr>
                <w:sz w:val="20"/>
                <w:szCs w:val="20"/>
                <w:color w:val="auto"/>
              </w:rPr>
            </w:pPr>
            <w:r>
              <w:rPr>
                <w:rFonts w:ascii="Arial" w:cs="Arial" w:eastAsia="Arial" w:hAnsi="Arial"/>
                <w:sz w:val="18"/>
                <w:szCs w:val="18"/>
                <w:color w:val="auto"/>
                <w:w w:val="93"/>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28,861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84"/>
              </w:rPr>
              <w:t>3,332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9220" w:type="dxa"/>
            <w:vAlign w:val="bottom"/>
            <w:gridSpan w:val="10"/>
          </w:tcPr>
          <w:p>
            <w:pPr>
              <w:spacing w:after="0"/>
              <w:rPr>
                <w:sz w:val="20"/>
                <w:szCs w:val="20"/>
                <w:color w:val="auto"/>
              </w:rPr>
            </w:pPr>
            <w:r>
              <w:rPr>
                <w:rFonts w:ascii="Arial" w:cs="Arial" w:eastAsia="Arial" w:hAnsi="Arial"/>
                <w:sz w:val="18"/>
                <w:szCs w:val="18"/>
                <w:color w:val="auto"/>
                <w:w w:val="96"/>
              </w:rPr>
              <w:t>Supplemental information related to Centuri leases, including location in the Consolidated Balance Sheets, is as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Borders>
              <w:bottom w:val="single" w:sz="8" w:color="CCEEFF"/>
            </w:tcBorders>
          </w:tcPr>
          <w:p>
            <w:pPr>
              <w:spacing w:after="0"/>
              <w:rPr>
                <w:sz w:val="24"/>
                <w:szCs w:val="24"/>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(Thousands of dollars)</w:t>
            </w:r>
          </w:p>
        </w:tc>
        <w:tc>
          <w:tcPr>
            <w:tcW w:w="1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ind w:left="300"/>
              <w:spacing w:after="0"/>
              <w:rPr>
                <w:sz w:val="20"/>
                <w:szCs w:val="20"/>
                <w:color w:val="auto"/>
              </w:rPr>
            </w:pPr>
            <w:r>
              <w:rPr>
                <w:rFonts w:ascii="Arial" w:cs="Arial" w:eastAsia="Arial" w:hAnsi="Arial"/>
                <w:sz w:val="18"/>
                <w:szCs w:val="18"/>
                <w:color w:val="auto"/>
                <w:w w:val="88"/>
              </w:rPr>
              <w:t>December 31,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CCEEFF"/>
            </w:tcBorders>
            <w:shd w:val="clear" w:color="auto" w:fill="CCEEFF"/>
          </w:tcPr>
          <w:p>
            <w:pPr>
              <w:spacing w:after="0"/>
              <w:rPr>
                <w:sz w:val="21"/>
                <w:szCs w:val="21"/>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property and investments</w:t>
            </w:r>
          </w:p>
        </w:tc>
        <w:tc>
          <w:tcPr>
            <w:tcW w:w="1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85,270</w:t>
            </w:r>
          </w:p>
        </w:tc>
        <w:tc>
          <w:tcPr>
            <w:tcW w:w="8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80,638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13,863</w:t>
            </w:r>
          </w:p>
        </w:tc>
        <w:tc>
          <w:tcPr>
            <w:tcW w:w="8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deferred credits and other long-term liabilities</w:t>
            </w:r>
          </w:p>
        </w:tc>
        <w:tc>
          <w:tcPr>
            <w:tcW w:w="14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77,119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72,930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90,982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85,115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Other property and investments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51,313</w:t>
            </w:r>
          </w:p>
        </w:tc>
        <w:tc>
          <w:tcPr>
            <w:tcW w:w="8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30,705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12,028</w:t>
            </w:r>
          </w:p>
        </w:tc>
        <w:tc>
          <w:tcPr>
            <w:tcW w:w="8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deferred credits and other long-term liabilities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34,238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20,585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46,266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29,443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5"/>
              </w:rPr>
              <w:t>6.66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1"/>
              </w:rPr>
              <w:t>7.57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left="310"/>
              <w:spacing w:after="0"/>
              <w:rPr>
                <w:sz w:val="20"/>
                <w:szCs w:val="20"/>
                <w:color w:val="auto"/>
              </w:rPr>
            </w:pPr>
            <w:r>
              <w:rPr>
                <w:rFonts w:ascii="Arial" w:cs="Arial" w:eastAsia="Arial" w:hAnsi="Arial"/>
                <w:sz w:val="18"/>
                <w:szCs w:val="18"/>
                <w:color w:val="auto"/>
                <w:w w:val="85"/>
              </w:rPr>
              <w:t>4.33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830"/>
              <w:spacing w:after="0"/>
              <w:rPr>
                <w:sz w:val="20"/>
                <w:szCs w:val="20"/>
                <w:color w:val="auto"/>
              </w:rPr>
            </w:pPr>
            <w:r>
              <w:rPr>
                <w:rFonts w:ascii="Arial" w:cs="Arial" w:eastAsia="Arial" w:hAnsi="Arial"/>
                <w:sz w:val="18"/>
                <w:szCs w:val="18"/>
                <w:color w:val="auto"/>
                <w:w w:val="91"/>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shd w:val="clear" w:color="auto" w:fill="CCEEFF"/>
          </w:tcPr>
          <w:p>
            <w:pPr>
              <w:spacing w:after="0"/>
              <w:rPr>
                <w:sz w:val="22"/>
                <w:szCs w:val="22"/>
                <w:color w:val="auto"/>
              </w:rPr>
            </w:pPr>
          </w:p>
        </w:tc>
        <w:tc>
          <w:tcPr>
            <w:tcW w:w="5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40" w:type="dxa"/>
            <w:vAlign w:val="bottom"/>
            <w:gridSpan w:val="4"/>
          </w:tcPr>
          <w:p>
            <w:pPr>
              <w:spacing w:after="0"/>
              <w:rPr>
                <w:sz w:val="20"/>
                <w:szCs w:val="20"/>
                <w:color w:val="auto"/>
              </w:rPr>
            </w:pPr>
            <w:r>
              <w:rPr>
                <w:rFonts w:ascii="Arial" w:cs="Arial" w:eastAsia="Arial" w:hAnsi="Arial"/>
                <w:sz w:val="18"/>
                <w:szCs w:val="18"/>
                <w:color w:val="auto"/>
                <w:w w:val="96"/>
              </w:rPr>
              <w:t>The following is a schedule of maturities of Centuri lease liabilities as of December 31, 2022:</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(Thousands of dollars)</w:t>
            </w:r>
          </w:p>
        </w:tc>
        <w:tc>
          <w:tcPr>
            <w:tcW w:w="1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gridSpan w:val="5"/>
          </w:tcPr>
          <w:p>
            <w:pPr>
              <w:jc w:val="right"/>
              <w:ind w:right="220"/>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gridSpan w:val="4"/>
          </w:tcPr>
          <w:p>
            <w:pPr>
              <w:ind w:left="40"/>
              <w:spacing w:after="0"/>
              <w:rPr>
                <w:sz w:val="20"/>
                <w:szCs w:val="20"/>
                <w:color w:val="auto"/>
              </w:rPr>
            </w:pPr>
            <w:r>
              <w:rPr>
                <w:rFonts w:ascii="Arial" w:cs="Arial" w:eastAsia="Arial" w:hAnsi="Arial"/>
                <w:sz w:val="18"/>
                <w:szCs w:val="18"/>
                <w:color w:val="auto"/>
              </w:rPr>
              <w:t>Finance Leases</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4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6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2024</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15,267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2026</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43,078</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109,124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4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18,142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90,982</w:t>
            </w:r>
          </w:p>
        </w:tc>
        <w:tc>
          <w:tcPr>
            <w:tcW w:w="6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Arial" w:cs="Arial" w:eastAsia="Arial" w:hAnsi="Arial"/>
                <w:sz w:val="18"/>
                <w:szCs w:val="18"/>
                <w:color w:val="auto"/>
              </w:rPr>
              <w:t>42</w:t>
            </w: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9A9A9A"/>
            </w:tcBorders>
          </w:tcPr>
          <w:p>
            <w:pPr>
              <w:spacing w:after="0"/>
              <w:rPr>
                <w:sz w:val="17"/>
                <w:szCs w:val="17"/>
                <w:color w:val="auto"/>
              </w:rPr>
            </w:pPr>
          </w:p>
        </w:tc>
        <w:tc>
          <w:tcPr>
            <w:tcW w:w="530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distribution segment, Centuri encompasses the utility infrastructure services segment, and MountainWest, prior to its sale in February 2023, encompassed the pipeline and storage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acts as an agent for state and local taxing authorities in the collection and remittance of a variety of taxes, including sales and use taxes and surcharges. These taxes are not included in Regulated operations revenues. Management uses the net classification method to report taxes collected from customers to be remitted to governmental authorities.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FERC. Southwest provides both the commodity and the related distribution service to nearly all of its approximate 2.2 million customers, and only several hundred customers (who are eligible to secure their own gas) subscribe to transportation-only service.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recognition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billed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related to alternative revenue programs (which excludes recoveries from customers).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8" w:name="page319"/>
    <w:bookmarkEnd w:id="318"/>
    <w:p>
      <w:pPr>
        <w:spacing w:after="0" w:line="277" w:lineRule="auto"/>
        <w:rPr>
          <w:sz w:val="20"/>
          <w:szCs w:val="20"/>
          <w:color w:val="auto"/>
        </w:rPr>
      </w:pPr>
      <w:r>
        <w:rPr>
          <w:rFonts w:ascii="Arial" w:cs="Arial" w:eastAsia="Arial" w:hAnsi="Arial"/>
          <w:sz w:val="18"/>
          <w:szCs w:val="18"/>
          <w:color w:val="auto"/>
        </w:rPr>
        <w:t>Southwest’s operating revenues included on the Consolidated Statements of Income of both the Company and Southwest include revenue from contracts with customers, which is shown below disaggregated by customer type, in addition to other categories of revenue: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958,520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Small commercial</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221,541</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Large commercial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44,633</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Industrial/other</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26,242</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88,215</w:t>
            </w:r>
          </w:p>
        </w:tc>
      </w:tr>
      <w:tr>
        <w:trPr>
          <w:trHeight w:val="223"/>
        </w:trPr>
        <w:tc>
          <w:tcPr>
            <w:tcW w:w="7440" w:type="dxa"/>
            <w:vAlign w:val="bottom"/>
          </w:tcPr>
          <w:p>
            <w:pPr>
              <w:ind w:left="24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1,940,084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1,497,750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1,339,151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 (a)</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48"/>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Regulated operations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325" w:lineRule="auto"/>
        <w:tabs>
          <w:tab w:leader="none" w:pos="401" w:val="left"/>
        </w:tabs>
        <w:numPr>
          <w:ilvl w:val="0"/>
          <w:numId w:val="497"/>
        </w:numPr>
        <w:rPr>
          <w:rFonts w:ascii="Arial" w:cs="Arial" w:eastAsia="Arial" w:hAnsi="Arial"/>
          <w:sz w:val="14"/>
          <w:szCs w:val="14"/>
          <w:color w:val="auto"/>
        </w:rPr>
      </w:pPr>
      <w:r>
        <w:rPr>
          <w:rFonts w:ascii="Arial" w:cs="Arial" w:eastAsia="Arial" w:hAnsi="Arial"/>
          <w:sz w:val="14"/>
          <w:szCs w:val="14"/>
          <w:color w:val="auto"/>
        </w:rPr>
        <w:t>Amounts include late fees and other miscellaneous revenues, and may also include the impact of certain regulatory mechanisms, such as cost-of-service components in current customer rates that are expected to be returned to customers in future periods. Also includes the impacts of a temporary pandemic-period moratorium on late fees and disconnection for nonpayment during the majority of 2020 and part of 2021; 2020 also includes amounts related to tax reform savings reserves/adjustments.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Centuri has operations in the U.S. and Canada. The primary focus of Centuri operations is replacement of natural gas distribution pipe and electric service lines, as well as new infrastructure installations.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toward satisfaction of the performance obligation relative to the total expected effort to satisfy it in full. For unit-price contracts, an output method is used to measure progress towards satisfaction of a performance obligation (based on the completion of each unit that is required under the contract).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9" w:name="page320"/>
    <w:bookmarkEnd w:id="319"/>
    <w:p>
      <w:pPr>
        <w:jc w:val="both"/>
        <w:spacing w:after="0" w:line="279" w:lineRule="auto"/>
        <w:rPr>
          <w:sz w:val="20"/>
          <w:szCs w:val="20"/>
          <w:color w:val="auto"/>
        </w:rPr>
      </w:pPr>
      <w:r>
        <w:rPr>
          <w:rFonts w:ascii="Arial" w:cs="Arial" w:eastAsia="Arial" w:hAnsi="Arial"/>
          <w:sz w:val="17"/>
          <w:szCs w:val="17"/>
          <w:color w:val="auto"/>
        </w:rPr>
        <w:t>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cost, and profit are recognized as necessary in the period determined.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gas construction, electrical construction, and other construction. Gas construction includes work involving previously existing gas pipelines and the installation of new pipelines or service lines. Electrical construction includes work involving installation and maintenance of transmission and distribution lines, including storm restoration services. Other construction includes all other work and can include industrial and water utility services.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Types: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Gas infrastructure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1,531,818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1,302,340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1,261,160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power infrastructure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411,826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275,302</w:t>
            </w:r>
          </w:p>
        </w:tc>
      </w:tr>
      <w:tr>
        <w:trPr>
          <w:trHeight w:val="248"/>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11"/>
        </w:trPr>
        <w:tc>
          <w:tcPr>
            <w:tcW w:w="7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Types: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Master services agreement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2,342,220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1,652,978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1,490,009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Bid contract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458,279</w:t>
            </w:r>
          </w:p>
        </w:tc>
      </w:tr>
      <w:tr>
        <w:trPr>
          <w:trHeight w:val="223"/>
        </w:trPr>
        <w:tc>
          <w:tcPr>
            <w:tcW w:w="7020" w:type="dxa"/>
            <w:vAlign w:val="bottom"/>
          </w:tcPr>
          <w:p>
            <w:pPr>
              <w:ind w:left="24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2,760,327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1,948,288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Unit-price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1,608,131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1,369,082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1,356,640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157,701</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contracts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433,947</w:t>
            </w:r>
          </w:p>
        </w:tc>
      </w:tr>
      <w:tr>
        <w:trPr>
          <w:trHeight w:val="248"/>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both of which are included within Accounts receivable, net of allowances, and provides information</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0" w:name="page321"/>
    <w:bookmarkEnd w:id="320"/>
    <w:p>
      <w:pPr>
        <w:jc w:val="both"/>
        <w:spacing w:after="0" w:line="277" w:lineRule="auto"/>
        <w:rPr>
          <w:sz w:val="20"/>
          <w:szCs w:val="20"/>
          <w:color w:val="auto"/>
        </w:rPr>
      </w:pPr>
      <w:r>
        <w:rPr>
          <w:rFonts w:ascii="Arial" w:cs="Arial" w:eastAsia="Arial" w:hAnsi="Arial"/>
          <w:sz w:val="18"/>
          <w:szCs w:val="18"/>
          <w:color w:val="auto"/>
        </w:rPr>
        <w:t>about amounts billed in excess of revenue earned on contracts (contract liabilities), which are included in Other current liabilities as of December 31, 2022 and 2021 on the Company’s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296,005</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214,774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These contract assets are recoverable from Centuri’s customers based upon various measures of performance, including achievement of certain milestones, completion of specified units or completion of a contract. In addition, many of Centuri’s time and materials arrangements are billed in arrears pursuant to contract terms that are standard within the industry, resulting in contract assets and/or unbilled receivables being recorded, as revenue is recognized in advance of billings. Due to the lag in invoicing associated with contractual provisions (or other economic or market conditions that may impact a customer’s business), Centuri’s ability to bill and subsequently collect amounts due may be impacted. These changes may result in the need to record an estimated valuation allowance to adjust contract asset balances to their net realizable value.</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amounts billed in excess of revenue earned (contract liability) primarily relate to the advance consideration received from customers for which work has not yet been completed. The change in this contract liability balance from December 31, 2021 to December 31, 2022 was due to revenue recognized of approximately $11.9 million that was included in this balance as of January 1, 2022, after which time it became earned and the balance was reduced, in addition to increases due to amounts received, net of revenue recognized during the period related to contracts that commenced during the period.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contracts that have an original duration of one year or less, Centuri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Centuri has 57 contracts with an original duration of more than one year. The aggregate amount of the transaction price allocated to the unsatisfied performance obligations of these contracts as of December 31, 2022 was $440.8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will be provided by the customer.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8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4"/>
                <w:szCs w:val="24"/>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292,770</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r>
      <w:tr>
        <w:trPr>
          <w:trHeight w:val="223"/>
        </w:trPr>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48"/>
        </w:trPr>
        <w:tc>
          <w:tcPr>
            <w:tcW w:w="8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and Storage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MountainWest derives revenue on the basis of services rendered, commodities delivered, or contracts settled and includes amounts yet to be billed to customers. MountainWest generates revenue and earnings from annual reservation payments under firm peaking storage and firm transportation contracts. Straight-fixed-variable rate designs are used to allow for recovery of substantially all fixed costs in demand or reservation charges, thereby reducing the earnings impact of volume changes on gas transportation and storage operations.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MountainWest receives upfront payment for certain storage services it provides to customers, which are considered to be contract liabilities. These payments are amortized to revenue over the term of the contract.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types of sales and service activities reported as revenue from contracts with customers are FERC-regulated gas transportation and storage services, and to a lesser extent, natural gas liquid (“NGL”) revenues consisting primarily of NGL</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1" w:name="page322"/>
    <w:bookmarkEnd w:id="321"/>
    <w:p>
      <w:pPr>
        <w:jc w:val="both"/>
        <w:spacing w:after="0" w:line="277" w:lineRule="auto"/>
        <w:rPr>
          <w:sz w:val="20"/>
          <w:szCs w:val="20"/>
          <w:color w:val="auto"/>
        </w:rPr>
      </w:pPr>
      <w:r>
        <w:rPr>
          <w:rFonts w:ascii="Arial" w:cs="Arial" w:eastAsia="Arial" w:hAnsi="Arial"/>
          <w:sz w:val="18"/>
          <w:szCs w:val="18"/>
          <w:color w:val="auto"/>
        </w:rPr>
        <w:t>processing services, and other revenue (consisting of natural gas sales, as well as services related to gathering and processing activities and miscellaneous service revenue).</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Transportation and storage contracts are primarily stand-ready service contracts that include fixed reservation and variable usage fees. Fixed fees are recognized ratably over the life of the contract as the stand-ready performance obligations are satisfied, while variable usage fees are recognized when MountainWest has a right to consideration from a customer in an amount that corresponds directly with the value to the customer of the performance obligation completed to date. Substantially all of MountainWest’s revenues are derived from performance obligations satisfied over time, rather than recognized at a single point in time. Payment for most sales and services varies by contract type, but is typically due within a month of billing.</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MountainWest typically receives or retains NGLs and natural gas from customers when providing natural gas processing, transportation, or storage services. MountainWest records the fair value of NGLs received as service revenue recognized over time and recognizes revenue from the subsequent sale of the NGLs to customers upon delivery. MountainWest typically retains some natural gas under certain transportation service arrangements, intended to facilitate performance of the service and allow for natural losses that occur. As the intent of the retention amount is to enable fulfillment of the contract rather than to provide compensation for services, the fuel allowance is not included in revenue.</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MountainWest Regulated operations revenues on the Consolidated Statements of Income of the Company include revenue from contracts with customers, which is shown below, disaggregated by categories of sales and service activities.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4"/>
              </w:rPr>
              <w:t>December 31, 2022</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Regulated gas transportation and storage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248,304</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revenues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r>
      <w:tr>
        <w:trPr>
          <w:trHeight w:val="223"/>
        </w:trPr>
        <w:tc>
          <w:tcPr>
            <w:tcW w:w="9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264,439</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48"/>
        </w:trPr>
        <w:tc>
          <w:tcPr>
            <w:tcW w:w="9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Regulated operations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264,613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MountainWest has certain multi-year contracts with fixed-price performance obligations that were unsatisfied (or partially unsatisfied) at the end of the reporting period, whereby revenue will be earned over time as MountainWest stands ready to provide service. These amounts are not material to the Company’s financial statements overall. MountainWest also has certain contract liabilities related to consideration received from customers with an obligation to transfer goods or services subsequent to the balance sheet date, amounts for which are not material.</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t>Note 4 - Receivables and Related Allowances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Business activity with respect to natural gas utility operations is conducted with customers located within the three-state region of Arizona, Nevada, and California. Southwest’s accounts receivable are short-term in nature, with billing due dates customarily not extending beyond one month, with customers’ credit worthiness assessed upon account creation by evaluation of other utility service or their credit file, and related payment history. Although Southwest seeks generally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notice requirements for disconnection of service, and procedures for actual disconnection and/or reestablishment of service). After disconnection of service, accounts are customarily written off approximately two months after disconnection if the account remains inactive.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and write-off processes. They are included in the ratemaking process as a cost of service. The Nevada jurisdictions have a regulatory mechanism associated with the gas-cost-related portion of uncollectible accounts. Such amounts are deferred and collected through a surcharge in the ratemaking process. Southwest lifted the moratorium on disconnection of natural gas service for non-payment in Arizona and Nevada in September 2021, which was initiated (at the same time as a moratorium on late fees) in March 2020 in response to the COVID-19 pandemic. The moratorium on disconnection in California ended in November 2021. Southwest recommenced assessing late fees on past-due balances in Arizona and Nevada in April 2021, and in California in August 2021. After these moratoriums were lifted, Southwest resumed collection efforts. These moratoriums have influenced our bad debt expense and write-offs through 2022. Southwest continues to actively work with customers experiencing financial hardship by means of flexible payment options and partnering with assistance agencies. Management continues to monitor expected credit losses in light of the impacts of events/conditions such as COVID-19, local/regional inflation, and others. In addition, management is monitoring the impact of certain residential disconnection protections recently established in Southwest’s California jurisdictions, such as prohibiting credit deposits and fees for reconnection, among other things. While a two-way balancing account was permitted to track residential uncollectible accounts for future recovery, the mechanism is subject to a cap, above which uncollectible expense would nonetheless be incurred and recognized. The allowance as of December 31, 2022 reflects the expected impact from the pandemic on balances as of that date, including consideration of customers’ current and future ability to pay those amounts that are due.</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accounts receivable are recorded at face amounts less an allowance for doubtful accounts. Centuri’s customers are generally investment-grade gas and electric utility companies for which Centuri has historically recognized an insignificant amount of write-offs. Centuri’s accounts receivable balances carry standard payment terms of up to 60 days. Centuri maintains an allowance that is estimated based on historical collection experience, current and estimated future economic and market conditions, and a review of the current status of each customer's accounts receivable balance. Account balances are monitored at least monthly, and are charged off against the allowance when management determines it is probable the balance will not be recovered. Centuri has not been significantly impacted, nor does it anticipate it will experience significant difficulty in collecting amounts due, given the nature of its customers, as a result of the COVID-19 environment, historically high inflation, or other conditions.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contains information about Southwest’s gas utility customer accounts receivable balance (net of allowance) at December 31, 2022 and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utility customer accounts receivable balance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169,114</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the percentage of customers in each of Southwest’s three states at December 31, 2022, which was consistent with the prior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Percent of customers by state:</w:t>
            </w:r>
          </w:p>
        </w:tc>
        <w:tc>
          <w:tcPr>
            <w:tcW w:w="7380" w:type="dxa"/>
            <w:vAlign w:val="bottom"/>
          </w:tcPr>
          <w:p>
            <w:pPr>
              <w:spacing w:after="0"/>
              <w:rPr>
                <w:sz w:val="20"/>
                <w:szCs w:val="20"/>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Arizona</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Nevada</w:t>
            </w:r>
          </w:p>
        </w:tc>
        <w:tc>
          <w:tcPr>
            <w:tcW w:w="73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891"/>
        </w:trPr>
        <w:tc>
          <w:tcPr>
            <w:tcW w:w="3860" w:type="dxa"/>
            <w:vAlign w:val="bottom"/>
          </w:tcPr>
          <w:p>
            <w:pPr>
              <w:spacing w:after="0"/>
              <w:rPr>
                <w:sz w:val="24"/>
                <w:szCs w:val="24"/>
                <w:color w:val="auto"/>
              </w:rPr>
            </w:pPr>
          </w:p>
        </w:tc>
        <w:tc>
          <w:tcPr>
            <w:tcW w:w="7380" w:type="dxa"/>
            <w:vAlign w:val="bottom"/>
          </w:tcPr>
          <w:p>
            <w:pPr>
              <w:jc w:val="right"/>
              <w:ind w:right="5450"/>
              <w:spacing w:after="0"/>
              <w:rPr>
                <w:sz w:val="20"/>
                <w:szCs w:val="20"/>
                <w:color w:val="auto"/>
              </w:rPr>
            </w:pPr>
            <w:r>
              <w:rPr>
                <w:rFonts w:ascii="Arial" w:cs="Arial" w:eastAsia="Arial" w:hAnsi="Arial"/>
                <w:sz w:val="18"/>
                <w:szCs w:val="18"/>
                <w:color w:val="auto"/>
              </w:rPr>
              <w:t>48</w:t>
            </w:r>
          </w:p>
        </w:tc>
      </w:tr>
      <w:tr>
        <w:trPr>
          <w:trHeight w:val="210"/>
        </w:trPr>
        <w:tc>
          <w:tcPr>
            <w:tcW w:w="3860" w:type="dxa"/>
            <w:vAlign w:val="bottom"/>
            <w:tcBorders>
              <w:bottom w:val="single" w:sz="8" w:color="9A9A9A"/>
            </w:tcBorders>
          </w:tcPr>
          <w:p>
            <w:pPr>
              <w:spacing w:after="0"/>
              <w:rPr>
                <w:sz w:val="18"/>
                <w:szCs w:val="18"/>
                <w:color w:val="auto"/>
              </w:rPr>
            </w:pPr>
          </w:p>
        </w:tc>
        <w:tc>
          <w:tcPr>
            <w:tcW w:w="7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Southwest activity in the allowance account for uncollectibles is summarized as follows: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7"/>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6"/>
              </w:rPr>
              <w:t>Allowance for</w:t>
            </w:r>
          </w:p>
        </w:tc>
      </w:tr>
      <w:tr>
        <w:trPr>
          <w:trHeight w:val="24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Uncollectibles</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4,693</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written off, less recoveries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4,334</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charged to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Accounts written off, less recoveries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12,707</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written off, less recoveries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the utility infrastructure services segment (Centuri) had $632.1 million in combined customer accounts and contracts receivable. The allowance for doubtful accounts at Centuri as of December 31, 2022 was $4.3 million. The allowance for uncollectibles and write-offs related to Centuri customers were insignificant for all periods prior to December 31, 2022 and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t>Note 5 - Regulatory Assets and Liabilities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is subject to the regulation of the Arizona Corporation Commission (“ACC”), the Public Utilities Commission of Nevada (“PUCN”), the California Public Utilities Commission (“CPUC”), and the FERC. Accounting policies for Southwest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 off. Regulatory liabilities are recorded if it is probable that revenues will be reduced for amounts that will be refunded to customers through the ratemaking process. Management records regulatory assets and liabilities based on decisions of the commissions noted above, including the issuance of regulatory orders and precedents established by these commissions. The regulated operations have generally been successful in seeking recovery of regulatory assets, and regularly file rate cases or other administrative filings in the various jurisdictions, in some cases, to establish the basis for recovering regulatory assets reflected in accounting records.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following table represents existing regulatory assets and liabilities: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6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3"/>
        </w:trPr>
        <w:tc>
          <w:tcPr>
            <w:tcW w:w="6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r>
      <w:tr>
        <w:trPr>
          <w:trHeight w:val="169"/>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88"/>
              </w:rPr>
              <w:t>Southwest Gas</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1"/>
                <w:szCs w:val="21"/>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color w:val="auto"/>
              </w:rPr>
              <w:t>Southwest Gas Holdings Inc.*</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3"/>
              </w:rPr>
              <w:t>Corporation</w:t>
            </w: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pension and other postretirement benefit costs (1)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339,356</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Deferred purchased gas costs (2)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450,120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291,145</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Settled interest rate hedges (3)</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Accrued purchased gas costs (4)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207,368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51,631</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premium on reacquired debt (5)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Accrued absence time (9)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16,975</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Margin, interest- and tax-tracking (10)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w:t>
            </w:r>
          </w:p>
        </w:tc>
      </w:tr>
      <w:tr>
        <w:trPr>
          <w:trHeight w:val="230"/>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(12)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60,798</w:t>
            </w:r>
          </w:p>
        </w:tc>
      </w:tr>
      <w:tr>
        <w:trPr>
          <w:trHeight w:val="223"/>
        </w:trPr>
        <w:tc>
          <w:tcPr>
            <w:tcW w:w="67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798,897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purchased gas costs (2)</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Accumulated removal costs (6)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(424,000)</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gain on reacquired debt (7)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Regulatory excess deferred/other taxes and gross-up (8)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(424,921)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(446,333)</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Margin, interest- and property tax-tracking (10)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Unrecognized other postretirement benefit costs (11)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(12)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regulatory assets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195,372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(95,640)</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*Southwest Gas Holdings, Inc. includes the regulatory assets and liabilities associated with MountainWest only as of December 31, 2021, due to the held-for-sale classification of the disposal group as of December 31, 2022. As of that date, the regulatory assets and liabilities for Southwest Gas Corporation are the same, including in amount, as those reflected for the Company.</w:t>
      </w:r>
    </w:p>
    <w:p>
      <w:pPr>
        <w:spacing w:after="0" w:line="76" w:lineRule="exact"/>
        <w:rPr>
          <w:sz w:val="20"/>
          <w:szCs w:val="20"/>
          <w:color w:val="auto"/>
        </w:rPr>
      </w:pPr>
    </w:p>
    <w:p>
      <w:pPr>
        <w:ind w:left="180" w:hanging="10"/>
        <w:spacing w:after="0" w:line="267" w:lineRule="auto"/>
        <w:tabs>
          <w:tab w:leader="none" w:pos="666" w:val="left"/>
        </w:tabs>
        <w:numPr>
          <w:ilvl w:val="0"/>
          <w:numId w:val="498"/>
        </w:numPr>
        <w:rPr>
          <w:rFonts w:ascii="Arial" w:cs="Arial" w:eastAsia="Arial" w:hAnsi="Arial"/>
          <w:sz w:val="16"/>
          <w:szCs w:val="16"/>
          <w:color w:val="auto"/>
        </w:rPr>
      </w:pPr>
      <w:r>
        <w:rPr>
          <w:rFonts w:ascii="Arial" w:cs="Arial" w:eastAsia="Arial" w:hAnsi="Arial"/>
          <w:sz w:val="16"/>
          <w:szCs w:val="16"/>
          <w:color w:val="auto"/>
        </w:rPr>
        <w:t xml:space="preserve">Included in Deferred charges and other assets on the Consolidated Balance Sheets. Recovery period is greater than five years. (See </w:t>
      </w:r>
      <w:r>
        <w:rPr>
          <w:rFonts w:ascii="Arial" w:cs="Arial" w:eastAsia="Arial" w:hAnsi="Arial"/>
          <w:sz w:val="16"/>
          <w:szCs w:val="16"/>
          <w:b w:val="1"/>
          <w:bCs w:val="1"/>
          <w:color w:val="auto"/>
        </w:rPr>
        <w:t>Note 11 - Pension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Postretirement Benefits</w:t>
      </w:r>
      <w:r>
        <w:rPr>
          <w:rFonts w:ascii="Arial" w:cs="Arial" w:eastAsia="Arial" w:hAnsi="Arial"/>
          <w:sz w:val="16"/>
          <w:szCs w:val="16"/>
          <w:color w:val="auto"/>
        </w:rPr>
        <w:t>).</w:t>
      </w:r>
    </w:p>
    <w:p>
      <w:pPr>
        <w:ind w:left="660" w:hanging="490"/>
        <w:spacing w:after="0"/>
        <w:tabs>
          <w:tab w:leader="none" w:pos="66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with interest.</w:t>
      </w:r>
    </w:p>
    <w:p>
      <w:pPr>
        <w:spacing w:after="0" w:line="5" w:lineRule="exact"/>
        <w:rPr>
          <w:rFonts w:ascii="Arial" w:cs="Arial" w:eastAsia="Arial" w:hAnsi="Arial"/>
          <w:sz w:val="16"/>
          <w:szCs w:val="16"/>
          <w:color w:val="auto"/>
        </w:rPr>
      </w:pPr>
    </w:p>
    <w:p>
      <w:pPr>
        <w:jc w:val="both"/>
        <w:ind w:left="180" w:hanging="10"/>
        <w:spacing w:after="0" w:line="270" w:lineRule="auto"/>
        <w:tabs>
          <w:tab w:leader="none" w:pos="666" w:val="left"/>
        </w:tabs>
        <w:numPr>
          <w:ilvl w:val="0"/>
          <w:numId w:val="498"/>
        </w:numPr>
        <w:rPr>
          <w:rFonts w:ascii="Arial" w:cs="Arial" w:eastAsia="Arial" w:hAnsi="Arial"/>
          <w:sz w:val="15"/>
          <w:szCs w:val="15"/>
          <w:color w:val="auto"/>
        </w:rPr>
      </w:pPr>
      <w:r>
        <w:rPr>
          <w:rFonts w:ascii="Arial" w:cs="Arial" w:eastAsia="Arial" w:hAnsi="Arial"/>
          <w:sz w:val="15"/>
          <w:szCs w:val="15"/>
          <w:color w:val="auto"/>
        </w:rPr>
        <w:t>Reflects MountainWest interest rate cash flow hedges entered into in association with the issuance of $180 million principal balance 4.875% unsecured senior notes due in 2041 that are amortized to interest expense over the life of the debt instrument. The current portion at December 31, 2021 was included in Prepaid and other current assets and the long-term portion was included in Deferred charges and other assets on the Company’s 2021 Consolidated Balance Sheet.</w:t>
      </w:r>
    </w:p>
    <w:p>
      <w:pPr>
        <w:spacing w:after="0" w:line="1" w:lineRule="exact"/>
        <w:rPr>
          <w:rFonts w:ascii="Arial" w:cs="Arial" w:eastAsia="Arial" w:hAnsi="Arial"/>
          <w:sz w:val="15"/>
          <w:szCs w:val="15"/>
          <w:color w:val="auto"/>
        </w:rPr>
      </w:pPr>
    </w:p>
    <w:p>
      <w:pPr>
        <w:ind w:left="660" w:hanging="490"/>
        <w:spacing w:after="0"/>
        <w:tabs>
          <w:tab w:leader="none" w:pos="66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 Balance recovered or refunded on an ongoing basis.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 Recovered over life of debt instruments.</w:t>
      </w:r>
    </w:p>
    <w:p>
      <w:pPr>
        <w:spacing w:after="0" w:line="5" w:lineRule="exact"/>
        <w:rPr>
          <w:rFonts w:ascii="Arial" w:cs="Arial" w:eastAsia="Arial" w:hAnsi="Arial"/>
          <w:sz w:val="16"/>
          <w:szCs w:val="16"/>
          <w:color w:val="auto"/>
        </w:rPr>
      </w:pPr>
    </w:p>
    <w:p>
      <w:pPr>
        <w:jc w:val="both"/>
        <w:ind w:left="180" w:hanging="10"/>
        <w:spacing w:after="0" w:line="260" w:lineRule="auto"/>
        <w:tabs>
          <w:tab w:leader="none" w:pos="666"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In 2021, substantially all amounts related to MountainWest were also included in Other deferred credits and other long-term liabilities, except $2 million which was included in Other current liabilities on the Company’s Consolidated Balance Sheet.</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5" w:name="page326"/>
    <w:bookmarkEnd w:id="325"/>
    <w:p>
      <w:pPr>
        <w:ind w:left="620" w:hanging="490"/>
        <w:spacing w:after="0"/>
        <w:tabs>
          <w:tab w:leader="none" w:pos="62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Amortized over life of debt instruments.</w:t>
      </w:r>
    </w:p>
    <w:p>
      <w:pPr>
        <w:spacing w:after="0" w:line="19" w:lineRule="exact"/>
        <w:rPr>
          <w:rFonts w:ascii="Arial" w:cs="Arial" w:eastAsia="Arial" w:hAnsi="Arial"/>
          <w:sz w:val="16"/>
          <w:szCs w:val="16"/>
          <w:color w:val="auto"/>
        </w:rPr>
      </w:pPr>
    </w:p>
    <w:p>
      <w:pPr>
        <w:ind w:left="620" w:hanging="490"/>
        <w:spacing w:after="0"/>
        <w:tabs>
          <w:tab w:leader="none" w:pos="620" w:val="left"/>
        </w:tabs>
        <w:numPr>
          <w:ilvl w:val="0"/>
          <w:numId w:val="499"/>
        </w:numPr>
        <w:rPr>
          <w:rFonts w:ascii="Arial" w:cs="Arial" w:eastAsia="Arial" w:hAnsi="Arial"/>
          <w:sz w:val="14"/>
          <w:szCs w:val="14"/>
          <w:color w:val="auto"/>
        </w:rPr>
      </w:pPr>
      <w:r>
        <w:rPr>
          <w:rFonts w:ascii="Arial" w:cs="Arial" w:eastAsia="Arial" w:hAnsi="Arial"/>
          <w:sz w:val="14"/>
          <w:szCs w:val="14"/>
          <w:color w:val="auto"/>
        </w:rPr>
        <w:t>Includes remeasurement/reduction of the net accumulated deferred income tax liability from U.S. tax reform. The reduction (excess accumulated deferred taxes, or</w:t>
      </w:r>
    </w:p>
    <w:p>
      <w:pPr>
        <w:spacing w:after="0" w:line="31" w:lineRule="exact"/>
        <w:rPr>
          <w:sz w:val="20"/>
          <w:szCs w:val="20"/>
          <w:color w:val="auto"/>
        </w:rPr>
      </w:pPr>
    </w:p>
    <w:p>
      <w:pPr>
        <w:jc w:val="both"/>
        <w:ind w:left="140"/>
        <w:spacing w:after="0" w:line="254" w:lineRule="auto"/>
        <w:rPr>
          <w:sz w:val="20"/>
          <w:szCs w:val="20"/>
          <w:color w:val="auto"/>
        </w:rPr>
      </w:pPr>
      <w:r>
        <w:rPr>
          <w:rFonts w:ascii="Arial" w:cs="Arial" w:eastAsia="Arial" w:hAnsi="Arial"/>
          <w:sz w:val="16"/>
          <w:szCs w:val="16"/>
          <w:color w:val="auto"/>
        </w:rPr>
        <w:t>“EADIT”) became a regulatory liability with tax gross-up. EADIT reduces rate base, and is expected to be returned to utility customers in accordance with IRS and regulatory requirements. Included generally in Other deferred credits and other long-term liabilities on the Consolidated Balance Sheets, except for $30.3 million in 2022 which is in Other current liabilities. Amount also includes difference in current taxes required to be returned to customers and a separate $2.7 million gross-up related to contributions in aid of construction.</w:t>
      </w:r>
    </w:p>
    <w:p>
      <w:pPr>
        <w:spacing w:after="0" w:line="1" w:lineRule="exact"/>
        <w:rPr>
          <w:sz w:val="20"/>
          <w:szCs w:val="20"/>
          <w:color w:val="auto"/>
        </w:rPr>
      </w:pPr>
    </w:p>
    <w:p>
      <w:pPr>
        <w:ind w:left="620" w:hanging="490"/>
        <w:spacing w:after="0"/>
        <w:tabs>
          <w:tab w:leader="none" w:pos="62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Regulatory recovery occurs on a one-year lag basis through the labor loading process. Included in Prepaid and other current assets on the Consolidated Balance</w:t>
      </w:r>
    </w:p>
    <w:p>
      <w:pPr>
        <w:spacing w:after="0" w:line="31" w:lineRule="exact"/>
        <w:rPr>
          <w:rFonts w:ascii="Arial" w:cs="Arial" w:eastAsia="Arial" w:hAnsi="Arial"/>
          <w:sz w:val="14"/>
          <w:szCs w:val="14"/>
          <w:color w:val="auto"/>
        </w:rPr>
      </w:pPr>
    </w:p>
    <w:p>
      <w:pPr>
        <w:ind w:left="140"/>
        <w:spacing w:after="0"/>
        <w:rPr>
          <w:rFonts w:ascii="Arial" w:cs="Arial" w:eastAsia="Arial" w:hAnsi="Arial"/>
          <w:sz w:val="14"/>
          <w:szCs w:val="14"/>
          <w:color w:val="auto"/>
        </w:rPr>
      </w:pPr>
      <w:r>
        <w:rPr>
          <w:rFonts w:ascii="Arial" w:cs="Arial" w:eastAsia="Arial" w:hAnsi="Arial"/>
          <w:sz w:val="16"/>
          <w:szCs w:val="16"/>
          <w:color w:val="auto"/>
        </w:rPr>
        <w:t>Sheets.</w:t>
      </w:r>
    </w:p>
    <w:p>
      <w:pPr>
        <w:spacing w:after="0" w:line="15" w:lineRule="exact"/>
        <w:rPr>
          <w:rFonts w:ascii="Arial" w:cs="Arial" w:eastAsia="Arial" w:hAnsi="Arial"/>
          <w:sz w:val="14"/>
          <w:szCs w:val="14"/>
          <w:color w:val="auto"/>
        </w:rPr>
      </w:pPr>
    </w:p>
    <w:p>
      <w:pPr>
        <w:jc w:val="both"/>
        <w:ind w:left="140" w:hanging="10"/>
        <w:spacing w:after="0" w:line="252" w:lineRule="auto"/>
        <w:tabs>
          <w:tab w:leader="none" w:pos="62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Margin tracking/decoupling mechanisms are alternative revenue programs; revenue associated with under-collections (for the difference between authorized margin levels and amounts billed to customers through rates currently) is recognized as revenue so long as recovery is expected to take place within 24 months. Total category asset balances are included in Prepaid and other current assets on the Consolidated Balance Sheets. Total category liability balances are included in Other current liabilities and Other deferred credits and other long-term liabilities.</w:t>
      </w:r>
    </w:p>
    <w:p>
      <w:pPr>
        <w:jc w:val="both"/>
        <w:ind w:left="140" w:hanging="10"/>
        <w:spacing w:after="0" w:line="252" w:lineRule="auto"/>
        <w:tabs>
          <w:tab w:leader="none" w:pos="62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Reflected a regulatory liability at MountainWest for the collection of postretirement benefit costs allowed in rates in excess of expenses incurred, included in Other deferred credits and other long-term liabilities on the Company’s Consolidated Balance Sheet as of December 31, 2021, before MountainWest balances were included as Current liabilities held for sale.</w:t>
      </w:r>
    </w:p>
    <w:p>
      <w:pPr>
        <w:jc w:val="both"/>
        <w:ind w:left="140" w:right="20" w:hanging="10"/>
        <w:spacing w:after="0" w:line="267" w:lineRule="auto"/>
        <w:tabs>
          <w:tab w:leader="none" w:pos="62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r>
      <w:tr>
        <w:trPr>
          <w:trHeight w:val="169"/>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88"/>
              </w:rPr>
              <w:t>Southwest Gas</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1"/>
                <w:szCs w:val="21"/>
                <w:color w:val="auto"/>
              </w:rPr>
            </w:pPr>
          </w:p>
        </w:tc>
        <w:tc>
          <w:tcPr>
            <w:tcW w:w="2800" w:type="dxa"/>
            <w:vAlign w:val="bottom"/>
            <w:gridSpan w:val="5"/>
          </w:tcPr>
          <w:p>
            <w:pPr>
              <w:ind w:left="160"/>
              <w:spacing w:after="0"/>
              <w:rPr>
                <w:sz w:val="20"/>
                <w:szCs w:val="20"/>
                <w:color w:val="auto"/>
              </w:rPr>
            </w:pPr>
            <w:r>
              <w:rPr>
                <w:rFonts w:ascii="Arial" w:cs="Arial" w:eastAsia="Arial" w:hAnsi="Arial"/>
                <w:sz w:val="18"/>
                <w:szCs w:val="18"/>
                <w:color w:val="auto"/>
              </w:rPr>
              <w:t>Southwest Gas Holdings Inc.</w:t>
            </w:r>
          </w:p>
        </w:tc>
        <w:tc>
          <w:tcPr>
            <w:tcW w:w="14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3"/>
              </w:rPr>
              <w:t>Corporation</w:t>
            </w:r>
          </w:p>
        </w:tc>
      </w:tr>
      <w:tr>
        <w:trPr>
          <w:trHeight w:val="209"/>
        </w:trPr>
        <w:tc>
          <w:tcPr>
            <w:tcW w:w="6700" w:type="dxa"/>
            <w:vAlign w:val="bottom"/>
          </w:tcPr>
          <w:p>
            <w:pPr>
              <w:spacing w:after="0"/>
              <w:rPr>
                <w:sz w:val="20"/>
                <w:szCs w:val="20"/>
                <w:color w:val="auto"/>
              </w:rPr>
            </w:pPr>
            <w:r>
              <w:rPr>
                <w:rFonts w:ascii="Arial" w:cs="Arial" w:eastAsia="Arial" w:hAnsi="Arial"/>
                <w:sz w:val="18"/>
                <w:szCs w:val="18"/>
                <w:color w:val="auto"/>
              </w:rPr>
              <w:t>Other Regulatory Assets: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176"/>
        </w:trPr>
        <w:tc>
          <w:tcPr>
            <w:tcW w:w="67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State mandated public purpose programs (including low income and conservation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programs) (a) (e)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r>
      <w:tr>
        <w:trPr>
          <w:trHeight w:val="230"/>
        </w:trPr>
        <w:tc>
          <w:tcPr>
            <w:tcW w:w="6700" w:type="dxa"/>
            <w:vAlign w:val="bottom"/>
          </w:tcPr>
          <w:p>
            <w:pPr>
              <w:ind w:left="200"/>
              <w:spacing w:after="0"/>
              <w:rPr>
                <w:sz w:val="20"/>
                <w:szCs w:val="20"/>
                <w:color w:val="auto"/>
              </w:rPr>
            </w:pPr>
            <w:r>
              <w:rPr>
                <w:rFonts w:ascii="Arial" w:cs="Arial" w:eastAsia="Arial" w:hAnsi="Arial"/>
                <w:sz w:val="18"/>
                <w:szCs w:val="18"/>
                <w:color w:val="auto"/>
              </w:rPr>
              <w:t>Infrastructure replacement programs and similar (b) (e)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6,545</w:t>
            </w:r>
          </w:p>
        </w:tc>
      </w:tr>
      <w:tr>
        <w:trPr>
          <w:trHeight w:val="230"/>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Environmental compliance programs (c) (e)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r>
      <w:tr>
        <w:trPr>
          <w:trHeight w:val="229"/>
        </w:trPr>
        <w:tc>
          <w:tcPr>
            <w:tcW w:w="6700" w:type="dxa"/>
            <w:vAlign w:val="bottom"/>
          </w:tcPr>
          <w:p>
            <w:pPr>
              <w:ind w:left="200"/>
              <w:spacing w:after="0"/>
              <w:rPr>
                <w:sz w:val="20"/>
                <w:szCs w:val="20"/>
                <w:color w:val="auto"/>
              </w:rPr>
            </w:pPr>
            <w:r>
              <w:rPr>
                <w:rFonts w:ascii="Arial" w:cs="Arial" w:eastAsia="Arial" w:hAnsi="Arial"/>
                <w:sz w:val="18"/>
                <w:szCs w:val="18"/>
                <w:color w:val="auto"/>
              </w:rPr>
              <w:t>Pension tracking mechanism (b)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10,281</w:t>
            </w:r>
          </w:p>
        </w:tc>
      </w:tr>
      <w:tr>
        <w:trPr>
          <w:trHeight w:val="230"/>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r>
      <w:tr>
        <w:trPr>
          <w:trHeight w:val="223"/>
        </w:trPr>
        <w:tc>
          <w:tcPr>
            <w:tcW w:w="67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60,798</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600" w:hanging="470"/>
        <w:spacing w:after="0"/>
        <w:tabs>
          <w:tab w:leader="none" w:pos="60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w:t>
      </w:r>
    </w:p>
    <w:p>
      <w:pPr>
        <w:spacing w:after="0" w:line="22" w:lineRule="exact"/>
        <w:rPr>
          <w:rFonts w:ascii="Arial" w:cs="Arial" w:eastAsia="Arial" w:hAnsi="Arial"/>
          <w:sz w:val="16"/>
          <w:szCs w:val="16"/>
          <w:color w:val="auto"/>
        </w:rPr>
      </w:pPr>
    </w:p>
    <w:p>
      <w:pPr>
        <w:ind w:left="620" w:hanging="490"/>
        <w:spacing w:after="0"/>
        <w:tabs>
          <w:tab w:leader="none" w:pos="62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Included in Deferred charges and other assets on the Consolidated Balance Sheets, except $930,000 which is included in Prepaid and other current assets in 2022.</w:t>
      </w:r>
    </w:p>
    <w:p>
      <w:pPr>
        <w:spacing w:after="0" w:line="38" w:lineRule="exact"/>
        <w:rPr>
          <w:rFonts w:ascii="Arial" w:cs="Arial" w:eastAsia="Arial" w:hAnsi="Arial"/>
          <w:sz w:val="14"/>
          <w:szCs w:val="14"/>
          <w:color w:val="auto"/>
        </w:rPr>
      </w:pPr>
    </w:p>
    <w:p>
      <w:pPr>
        <w:ind w:left="600" w:hanging="470"/>
        <w:spacing w:after="0"/>
        <w:tabs>
          <w:tab w:leader="none" w:pos="600" w:val="left"/>
        </w:tabs>
        <w:numPr>
          <w:ilvl w:val="0"/>
          <w:numId w:val="501"/>
        </w:numPr>
        <w:rPr>
          <w:rFonts w:ascii="Arial" w:cs="Arial" w:eastAsia="Arial" w:hAnsi="Arial"/>
          <w:sz w:val="15"/>
          <w:szCs w:val="15"/>
          <w:color w:val="auto"/>
        </w:rPr>
      </w:pPr>
      <w:r>
        <w:rPr>
          <w:rFonts w:ascii="Arial" w:cs="Arial" w:eastAsia="Arial" w:hAnsi="Arial"/>
          <w:sz w:val="15"/>
          <w:szCs w:val="15"/>
          <w:color w:val="auto"/>
        </w:rPr>
        <w:t>In 2022, approximately $5 million of these balances included in Prepaid and other current assets and $825,000 in Deferred charges and other assets on the</w:t>
      </w:r>
    </w:p>
    <w:p>
      <w:pPr>
        <w:spacing w:after="0" w:line="20" w:lineRule="exact"/>
        <w:rPr>
          <w:sz w:val="20"/>
          <w:szCs w:val="20"/>
          <w:color w:val="auto"/>
        </w:rPr>
      </w:pPr>
    </w:p>
    <w:p>
      <w:pPr>
        <w:ind w:left="140" w:right="20"/>
        <w:spacing w:after="0" w:line="253" w:lineRule="auto"/>
        <w:rPr>
          <w:sz w:val="20"/>
          <w:szCs w:val="20"/>
          <w:color w:val="auto"/>
        </w:rPr>
      </w:pPr>
      <w:r>
        <w:rPr>
          <w:rFonts w:ascii="Arial" w:cs="Arial" w:eastAsia="Arial" w:hAnsi="Arial"/>
          <w:sz w:val="16"/>
          <w:szCs w:val="16"/>
          <w:color w:val="auto"/>
        </w:rPr>
        <w:t>Consolidated Balance Sheets. In 2021, approximately $5.8 million included in Prepaid and other current assets and $1 million included in Deferred charges and other assets on the Consolidated Balance Sheets.</w:t>
      </w:r>
    </w:p>
    <w:p>
      <w:pPr>
        <w:jc w:val="both"/>
        <w:ind w:left="140" w:hanging="10"/>
        <w:spacing w:after="0" w:line="252" w:lineRule="auto"/>
        <w:tabs>
          <w:tab w:leader="none" w:pos="626" w:val="left"/>
        </w:tabs>
        <w:numPr>
          <w:ilvl w:val="0"/>
          <w:numId w:val="502"/>
        </w:numPr>
        <w:rPr>
          <w:rFonts w:ascii="Arial" w:cs="Arial" w:eastAsia="Arial" w:hAnsi="Arial"/>
          <w:sz w:val="16"/>
          <w:szCs w:val="16"/>
          <w:color w:val="auto"/>
        </w:rPr>
      </w:pPr>
      <w:r>
        <w:rPr>
          <w:rFonts w:ascii="Arial" w:cs="Arial" w:eastAsia="Arial" w:hAnsi="Arial"/>
          <w:sz w:val="16"/>
          <w:szCs w:val="16"/>
          <w:color w:val="auto"/>
        </w:rPr>
        <w:t>In 2022, approximately $6.4 million included in Prepaid and other current assets and $13.4 million included in Deferred charges and other assets on the Consolidated Balance Sheets. In 2021, for Southwest Gas Corporation, $6.7 million included in Prepaid and other current assets and $15.2 million included in Deferred charges and other assets on the Consolidated Balance Sheets. For the Company in 2021, $7.7 million included in Prepaid and other current assets and $15.6 million included in Deferred charges and other assets on the Consolidated Balance Sheets.</w:t>
      </w:r>
    </w:p>
    <w:p>
      <w:pPr>
        <w:ind w:left="600" w:hanging="470"/>
        <w:spacing w:after="0"/>
        <w:tabs>
          <w:tab w:leader="none" w:pos="6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6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r>
      <w:tr>
        <w:trPr>
          <w:trHeight w:val="169"/>
        </w:trPr>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88"/>
              </w:rPr>
              <w:t>Southwest Gas</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1"/>
                <w:szCs w:val="21"/>
                <w:color w:val="auto"/>
              </w:rPr>
            </w:pPr>
          </w:p>
        </w:tc>
        <w:tc>
          <w:tcPr>
            <w:tcW w:w="2820" w:type="dxa"/>
            <w:vAlign w:val="bottom"/>
            <w:gridSpan w:val="5"/>
          </w:tcPr>
          <w:p>
            <w:pPr>
              <w:ind w:left="160"/>
              <w:spacing w:after="0"/>
              <w:rPr>
                <w:sz w:val="20"/>
                <w:szCs w:val="20"/>
                <w:color w:val="auto"/>
              </w:rPr>
            </w:pPr>
            <w:r>
              <w:rPr>
                <w:rFonts w:ascii="Arial" w:cs="Arial" w:eastAsia="Arial" w:hAnsi="Arial"/>
                <w:sz w:val="18"/>
                <w:szCs w:val="18"/>
                <w:color w:val="auto"/>
              </w:rPr>
              <w:t>Southwest Gas Holdings Inc.</w:t>
            </w:r>
          </w:p>
        </w:tc>
        <w:tc>
          <w:tcPr>
            <w:tcW w:w="14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3"/>
              </w:rPr>
              <w:t>Corporation</w:t>
            </w:r>
          </w:p>
        </w:tc>
      </w:tr>
      <w:tr>
        <w:trPr>
          <w:trHeight w:val="209"/>
        </w:trPr>
        <w:tc>
          <w:tcPr>
            <w:tcW w:w="6580" w:type="dxa"/>
            <w:vAlign w:val="bottom"/>
          </w:tcPr>
          <w:p>
            <w:pPr>
              <w:spacing w:after="0"/>
              <w:rPr>
                <w:sz w:val="20"/>
                <w:szCs w:val="20"/>
                <w:color w:val="auto"/>
              </w:rPr>
            </w:pPr>
            <w:r>
              <w:rPr>
                <w:rFonts w:ascii="Arial" w:cs="Arial" w:eastAsia="Arial" w:hAnsi="Arial"/>
                <w:sz w:val="18"/>
                <w:szCs w:val="18"/>
                <w:color w:val="auto"/>
              </w:rPr>
              <w:t>Other Regulatory Liabilities: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176"/>
        </w:trPr>
        <w:tc>
          <w:tcPr>
            <w:tcW w:w="6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State mandated public purpose programs (including low income and conservation</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programs) (a) (c)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color w:val="auto"/>
              </w:rPr>
              <w:t>Environmental compliance programs (c) (d)</w:t>
            </w:r>
          </w:p>
        </w:tc>
        <w:tc>
          <w:tcPr>
            <w:tcW w:w="280" w:type="dxa"/>
            <w:vAlign w:val="bottom"/>
          </w:tcPr>
          <w:p>
            <w:pPr>
              <w:spacing w:after="0"/>
              <w:rPr>
                <w:sz w:val="19"/>
                <w:szCs w:val="19"/>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(b) (c)</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r>
      <w:tr>
        <w:trPr>
          <w:trHeight w:val="223"/>
        </w:trPr>
        <w:tc>
          <w:tcPr>
            <w:tcW w:w="65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00" w:hanging="470"/>
        <w:spacing w:after="0"/>
        <w:tabs>
          <w:tab w:leader="none" w:pos="60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Included in Other current liabilities on the Consolidated Balance Sheets.</w:t>
      </w: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130810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048" w:right="339" w:bottom="1440" w:gutter="0" w:footer="0" w:header="0"/>
        </w:sectPr>
      </w:pPr>
    </w:p>
    <w:bookmarkStart w:id="326" w:name="page327"/>
    <w:bookmarkEnd w:id="326"/>
    <w:p>
      <w:pPr>
        <w:ind w:left="180" w:right="20" w:hanging="10"/>
        <w:spacing w:after="0" w:line="257" w:lineRule="auto"/>
        <w:tabs>
          <w:tab w:leader="none" w:pos="666" w:val="left"/>
        </w:tabs>
        <w:numPr>
          <w:ilvl w:val="0"/>
          <w:numId w:val="504"/>
        </w:numPr>
        <w:rPr>
          <w:rFonts w:ascii="Arial" w:cs="Arial" w:eastAsia="Arial" w:hAnsi="Arial"/>
          <w:sz w:val="16"/>
          <w:szCs w:val="16"/>
          <w:color w:val="auto"/>
        </w:rPr>
      </w:pPr>
      <w:r>
        <w:rPr>
          <w:rFonts w:ascii="Arial" w:cs="Arial" w:eastAsia="Arial" w:hAnsi="Arial"/>
          <w:sz w:val="16"/>
          <w:szCs w:val="16"/>
          <w:color w:val="auto"/>
        </w:rPr>
        <w:t>Included in Other current liabilities, except $823,000, in 2022, which is included in Other deferred credits and other long-term liabilities on the Consolidated Balance Sheets.</w:t>
      </w:r>
    </w:p>
    <w:p>
      <w:pPr>
        <w:spacing w:after="0" w:line="1" w:lineRule="exact"/>
        <w:rPr>
          <w:rFonts w:ascii="Arial" w:cs="Arial" w:eastAsia="Arial" w:hAnsi="Arial"/>
          <w:sz w:val="16"/>
          <w:szCs w:val="16"/>
          <w:color w:val="auto"/>
        </w:rPr>
      </w:pPr>
    </w:p>
    <w:p>
      <w:pPr>
        <w:ind w:left="640" w:hanging="470"/>
        <w:spacing w:after="0"/>
        <w:tabs>
          <w:tab w:leader="none" w:pos="64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Balance typically recovered or refunded on an ongoing basis, generally with interest.</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In 2021, included in Other current liabilities on the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 ("AOCI")</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provides insight into amounts impacting the Company’s and Southwest’s Other comprehensive income (loss), both before and after-tax impacts, within the Consolidated Statements of Comprehensive Income, which also impact Accumulated other comprehensive income (“AOCI”) in the Consolidated Balance Sheets and the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8"/>
          </w:tcPr>
          <w:p>
            <w:pPr>
              <w:ind w:left="480"/>
              <w:spacing w:after="0"/>
              <w:rPr>
                <w:sz w:val="20"/>
                <w:szCs w:val="20"/>
                <w:color w:val="auto"/>
              </w:rPr>
            </w:pPr>
            <w:r>
              <w:rPr>
                <w:rFonts w:ascii="Arial" w:cs="Arial" w:eastAsia="Arial" w:hAnsi="Arial"/>
                <w:sz w:val="14"/>
                <w:szCs w:val="14"/>
                <w:color w:val="auto"/>
              </w:rPr>
              <w:t>Year Ended December 31,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color w:val="auto"/>
                <w:w w:val="89"/>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color w:val="auto"/>
                <w:w w:val="89"/>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Before-</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Tax (Expense)</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Net-of-</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2"/>
                <w:szCs w:val="12"/>
                <w:color w:val="auto"/>
              </w:rPr>
            </w:pPr>
          </w:p>
        </w:tc>
        <w:tc>
          <w:tcPr>
            <w:tcW w:w="66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Benefit (1)</w:t>
            </w:r>
          </w:p>
        </w:tc>
        <w:tc>
          <w:tcPr>
            <w:tcW w:w="12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(1)</w:t>
            </w: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(1)</w:t>
            </w:r>
          </w:p>
        </w:tc>
        <w:tc>
          <w:tcPr>
            <w:tcW w:w="12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69"/>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4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59,176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(14,202)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44,974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(57,539)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13,809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(43,730)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2"/>
        </w:trPr>
        <w:tc>
          <w:tcPr>
            <w:tcW w:w="3080" w:type="dxa"/>
            <w:vAlign w:val="bottom"/>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26,461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44,597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33,894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37,830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28,751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21,167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23"/>
        </w:trPr>
        <w:tc>
          <w:tcPr>
            <w:tcW w:w="3080" w:type="dxa"/>
            <w:vAlign w:val="bottom"/>
          </w:tcPr>
          <w:p>
            <w:pPr>
              <w:ind w:left="360"/>
              <w:spacing w:after="0" w:line="123" w:lineRule="exact"/>
              <w:rPr>
                <w:sz w:val="20"/>
                <w:szCs w:val="20"/>
                <w:color w:val="auto"/>
              </w:rPr>
            </w:pPr>
            <w:r>
              <w:rPr>
                <w:rFonts w:ascii="Arial" w:cs="Arial" w:eastAsia="Arial" w:hAnsi="Arial"/>
                <w:sz w:val="14"/>
                <w:szCs w:val="14"/>
                <w:color w:val="auto"/>
                <w:w w:val="99"/>
              </w:rPr>
              <w:t>Pension plans other comprehensive income</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10,840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8,236</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16,538</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(3,968)</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12,570</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(11,119)</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(8,451)</w:t>
            </w:r>
          </w:p>
        </w:tc>
        <w:tc>
          <w:tcPr>
            <w:tcW w:w="0" w:type="dxa"/>
            <w:vAlign w:val="bottom"/>
          </w:tcPr>
          <w:p>
            <w:pPr>
              <w:spacing w:after="0"/>
              <w:rPr>
                <w:sz w:val="1"/>
                <w:szCs w:val="1"/>
                <w:color w:val="auto"/>
              </w:rPr>
            </w:pPr>
          </w:p>
        </w:tc>
      </w:tr>
      <w:tr>
        <w:trPr>
          <w:trHeight w:val="188"/>
        </w:trPr>
        <w:tc>
          <w:tcPr>
            <w:tcW w:w="3080" w:type="dxa"/>
            <w:vAlign w:val="bottom"/>
          </w:tcPr>
          <w:p>
            <w:pPr>
              <w:ind w:left="440"/>
              <w:spacing w:after="0"/>
              <w:rPr>
                <w:sz w:val="20"/>
                <w:szCs w:val="20"/>
                <w:color w:val="auto"/>
              </w:rPr>
            </w:pPr>
            <w:r>
              <w:rPr>
                <w:rFonts w:ascii="Arial" w:cs="Arial" w:eastAsia="Arial" w:hAnsi="Arial"/>
                <w:sz w:val="14"/>
                <w:szCs w:val="14"/>
                <w:color w:val="auto"/>
              </w:rPr>
              <w:t>(loss)</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123"/>
        </w:trPr>
        <w:tc>
          <w:tcPr>
            <w:tcW w:w="3080" w:type="dxa"/>
            <w:vAlign w:val="bottom"/>
          </w:tcPr>
          <w:p>
            <w:pPr>
              <w:ind w:left="20"/>
              <w:spacing w:after="0" w:line="123" w:lineRule="exact"/>
              <w:rPr>
                <w:sz w:val="20"/>
                <w:szCs w:val="20"/>
                <w:color w:val="auto"/>
              </w:rPr>
            </w:pPr>
            <w:r>
              <w:rPr>
                <w:rFonts w:ascii="Arial" w:cs="Arial" w:eastAsia="Arial" w:hAnsi="Arial"/>
                <w:sz w:val="14"/>
                <w:szCs w:val="14"/>
                <w:color w:val="auto"/>
              </w:rPr>
              <w:t>Total other comprehensive income (loss) –</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11,385</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8,652</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18,712</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(4,490)</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14,222</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(7,872)</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(5,984)</w:t>
            </w:r>
          </w:p>
        </w:tc>
        <w:tc>
          <w:tcPr>
            <w:tcW w:w="0" w:type="dxa"/>
            <w:vAlign w:val="bottom"/>
          </w:tcPr>
          <w:p>
            <w:pPr>
              <w:spacing w:after="0"/>
              <w:rPr>
                <w:sz w:val="1"/>
                <w:szCs w:val="1"/>
                <w:color w:val="auto"/>
              </w:rPr>
            </w:pPr>
          </w:p>
        </w:tc>
      </w:tr>
      <w:tr>
        <w:trPr>
          <w:trHeight w:val="188"/>
        </w:trPr>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Southwest Gas Corporation</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CCEEFF"/>
          </w:tcPr>
          <w:p>
            <w:pPr>
              <w:ind w:left="360"/>
              <w:spacing w:after="0" w:line="123" w:lineRule="exact"/>
              <w:rPr>
                <w:sz w:val="20"/>
                <w:szCs w:val="20"/>
                <w:color w:val="auto"/>
              </w:rPr>
            </w:pPr>
            <w:r>
              <w:rPr>
                <w:rFonts w:ascii="Arial" w:cs="Arial" w:eastAsia="Arial" w:hAnsi="Arial"/>
                <w:sz w:val="14"/>
                <w:szCs w:val="14"/>
                <w:color w:val="auto"/>
              </w:rPr>
              <w:t>Foreign currency other comprehensive</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(loss)</w:t>
            </w: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80" w:type="dxa"/>
            <w:vAlign w:val="bottom"/>
          </w:tcPr>
          <w:p>
            <w:pPr>
              <w:ind w:left="20"/>
              <w:spacing w:after="0" w:line="123" w:lineRule="exact"/>
              <w:rPr>
                <w:sz w:val="20"/>
                <w:szCs w:val="20"/>
                <w:color w:val="auto"/>
              </w:rPr>
            </w:pPr>
            <w:r>
              <w:rPr>
                <w:rFonts w:ascii="Arial" w:cs="Arial" w:eastAsia="Arial" w:hAnsi="Arial"/>
                <w:sz w:val="14"/>
                <w:szCs w:val="14"/>
                <w:color w:val="auto"/>
              </w:rPr>
              <w:t>Total other comprehensive income (loss) –</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5,252</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2,519</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18,732</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(4,490)</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14,242</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(6,159)</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72"/>
        </w:trPr>
        <w:tc>
          <w:tcPr>
            <w:tcW w:w="3080" w:type="dxa"/>
            <w:vAlign w:val="bottom"/>
          </w:tcPr>
          <w:p>
            <w:pPr>
              <w:ind w:left="100"/>
              <w:spacing w:after="0"/>
              <w:rPr>
                <w:sz w:val="20"/>
                <w:szCs w:val="20"/>
                <w:color w:val="auto"/>
              </w:rPr>
            </w:pPr>
            <w:r>
              <w:rPr>
                <w:rFonts w:ascii="Arial" w:cs="Arial" w:eastAsia="Arial" w:hAnsi="Arial"/>
                <w:sz w:val="14"/>
                <w:szCs w:val="14"/>
                <w:color w:val="auto"/>
              </w:rPr>
              <w:t>Southwest Gas Holdings, Inc.</w:t>
            </w: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80" w:hanging="10"/>
        <w:spacing w:after="0" w:line="325" w:lineRule="auto"/>
        <w:tabs>
          <w:tab w:leader="none" w:pos="409" w:val="left"/>
        </w:tabs>
        <w:numPr>
          <w:ilvl w:val="0"/>
          <w:numId w:val="505"/>
        </w:numPr>
        <w:rPr>
          <w:rFonts w:ascii="Arial" w:cs="Arial" w:eastAsia="Arial" w:hAnsi="Arial"/>
          <w:sz w:val="14"/>
          <w:szCs w:val="14"/>
          <w:color w:val="auto"/>
        </w:rPr>
      </w:pPr>
      <w:r>
        <w:rPr>
          <w:rFonts w:ascii="Arial" w:cs="Arial" w:eastAsia="Arial" w:hAnsi="Arial"/>
          <w:sz w:val="14"/>
          <w:szCs w:val="14"/>
          <w:color w:val="auto"/>
        </w:rPr>
        <w:t>Tax amounts are calculated using a 24% rate.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in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27" w:name="page328"/>
    <w:bookmarkEnd w:id="327"/>
    <w:p>
      <w:pPr>
        <w:spacing w:after="0"/>
        <w:rPr>
          <w:sz w:val="20"/>
          <w:szCs w:val="20"/>
          <w:color w:val="auto"/>
        </w:rPr>
      </w:pPr>
      <w:r>
        <w:rPr>
          <w:rFonts w:ascii="Arial" w:cs="Arial" w:eastAsia="Arial" w:hAnsi="Arial"/>
          <w:sz w:val="17"/>
          <w:szCs w:val="17"/>
          <w:color w:val="auto"/>
        </w:rPr>
        <w:t>The following table represents a rollforward of AOCI, presented on the Company’s Consolidated Balance Sheets and its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6"/>
          </w:tcPr>
          <w:p>
            <w:pPr>
              <w:jc w:val="center"/>
              <w:ind w:left="428"/>
              <w:spacing w:after="0"/>
              <w:rPr>
                <w:sz w:val="20"/>
                <w:szCs w:val="20"/>
                <w:color w:val="auto"/>
              </w:rPr>
            </w:pPr>
            <w:r>
              <w:rPr>
                <w:rFonts w:ascii="Arial" w:cs="Arial" w:eastAsia="Arial" w:hAnsi="Arial"/>
                <w:sz w:val="14"/>
                <w:szCs w:val="14"/>
                <w:color w:val="auto"/>
                <w:w w:val="93"/>
              </w:rPr>
              <w:t>Defined Benefit Plans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FSIRS</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center"/>
              <w:ind w:left="288"/>
              <w:spacing w:after="0"/>
              <w:rPr>
                <w:sz w:val="20"/>
                <w:szCs w:val="20"/>
                <w:color w:val="auto"/>
              </w:rPr>
            </w:pPr>
            <w:r>
              <w:rPr>
                <w:rFonts w:ascii="Arial" w:cs="Arial" w:eastAsia="Arial" w:hAnsi="Arial"/>
                <w:sz w:val="14"/>
                <w:szCs w:val="14"/>
                <w:color w:val="auto"/>
                <w:w w:val="94"/>
              </w:rPr>
              <w:t>Foreign Currency Items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color w:val="auto"/>
              </w:rPr>
              <w:t>After-Tax</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color w:val="auto"/>
              </w:rPr>
              <w:t>After-Tax</w:t>
            </w: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color w:val="auto"/>
              </w:rPr>
              <w:t>After-Tax</w:t>
            </w:r>
          </w:p>
        </w:tc>
        <w:tc>
          <w:tcPr>
            <w:tcW w:w="14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2"/>
        </w:trPr>
        <w:tc>
          <w:tcPr>
            <w:tcW w:w="27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Benefit (4)</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 (4)</w:t>
            </w:r>
          </w:p>
        </w:tc>
        <w:tc>
          <w:tcPr>
            <w:tcW w:w="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Benefit</w:t>
            </w:r>
          </w:p>
        </w:tc>
        <w:tc>
          <w:tcPr>
            <w:tcW w:w="7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Beginning Balance AOCI December 31, 2021</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(46,761)</w:t>
            </w:r>
          </w:p>
        </w:tc>
        <w:tc>
          <w:tcPr>
            <w:tcW w:w="0" w:type="dxa"/>
            <w:vAlign w:val="bottom"/>
          </w:tcPr>
          <w:p>
            <w:pPr>
              <w:spacing w:after="0"/>
              <w:rPr>
                <w:sz w:val="1"/>
                <w:szCs w:val="1"/>
                <w:color w:val="auto"/>
              </w:rPr>
            </w:pPr>
          </w:p>
        </w:tc>
      </w:tr>
      <w:tr>
        <w:trPr>
          <w:trHeight w:val="176"/>
        </w:trPr>
        <w:tc>
          <w:tcPr>
            <w:tcW w:w="2760" w:type="dxa"/>
            <w:vAlign w:val="bottom"/>
          </w:tcPr>
          <w:p>
            <w:pPr>
              <w:ind w:left="20"/>
              <w:spacing w:after="0"/>
              <w:rPr>
                <w:sz w:val="20"/>
                <w:szCs w:val="20"/>
                <w:color w:val="auto"/>
              </w:rPr>
            </w:pPr>
            <w:r>
              <w:rPr>
                <w:rFonts w:ascii="Arial" w:cs="Arial" w:eastAsia="Arial" w:hAnsi="Arial"/>
                <w:sz w:val="14"/>
                <w:szCs w:val="14"/>
                <w:color w:val="auto"/>
              </w:rPr>
              <w:t>Net actuarial gain/(loss)</w:t>
            </w: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Translation adjustments</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(6,133)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0" w:type="dxa"/>
            <w:vAlign w:val="bottom"/>
          </w:tcPr>
          <w:p>
            <w:pPr>
              <w:spacing w:after="0"/>
              <w:rPr>
                <w:sz w:val="1"/>
                <w:szCs w:val="1"/>
                <w:color w:val="auto"/>
              </w:rPr>
            </w:pPr>
          </w:p>
        </w:tc>
      </w:tr>
      <w:tr>
        <w:trPr>
          <w:trHeight w:val="115"/>
        </w:trPr>
        <w:tc>
          <w:tcPr>
            <w:tcW w:w="2760" w:type="dxa"/>
            <w:vAlign w:val="bottom"/>
          </w:tcPr>
          <w:p>
            <w:pPr>
              <w:ind w:left="60"/>
              <w:spacing w:after="0" w:line="115" w:lineRule="exact"/>
              <w:rPr>
                <w:sz w:val="20"/>
                <w:szCs w:val="20"/>
                <w:color w:val="auto"/>
              </w:rPr>
            </w:pPr>
            <w:r>
              <w:rPr>
                <w:rFonts w:ascii="Arial" w:cs="Arial" w:eastAsia="Arial" w:hAnsi="Arial"/>
                <w:sz w:val="13"/>
                <w:szCs w:val="13"/>
                <w:color w:val="auto"/>
              </w:rPr>
              <w:t>Other comprehensive income before</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(6,133)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ind w:left="5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4"/>
              </w:rPr>
              <w:t>(6,133)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(3,034)</w:t>
            </w:r>
          </w:p>
        </w:tc>
        <w:tc>
          <w:tcPr>
            <w:tcW w:w="0" w:type="dxa"/>
            <w:vAlign w:val="bottom"/>
          </w:tcPr>
          <w:p>
            <w:pPr>
              <w:spacing w:after="0"/>
              <w:rPr>
                <w:sz w:val="1"/>
                <w:szCs w:val="1"/>
                <w:color w:val="auto"/>
              </w:rPr>
            </w:pPr>
          </w:p>
        </w:tc>
      </w:tr>
      <w:tr>
        <w:trPr>
          <w:trHeight w:val="182"/>
        </w:trPr>
        <w:tc>
          <w:tcPr>
            <w:tcW w:w="276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FSIRS amount reclassified from AOCI (1)</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color w:val="auto"/>
              </w:rPr>
              <w:t>Amortization of prior service cost (2)</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net actuarial loss (2)</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26,461</w:t>
            </w: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color w:val="auto"/>
              </w:rPr>
              <w:t>Regulatory adjustment (3)</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(28,232)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(21,457)</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Net current period other comprehensive</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76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w w:val="97"/>
              </w:rPr>
              <w:t>income (loss) attributable to Southwest Gas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Holdings, Inc.</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(6,133)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176"/>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AOCI December 31, 2022</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(50,342)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12,081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(38,261)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(5,981)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(44,242)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the Company’s Consolidated Statements of Income.</w:t>
      </w:r>
    </w:p>
    <w:p>
      <w:pPr>
        <w:spacing w:after="0" w:line="22" w:lineRule="exact"/>
        <w:rPr>
          <w:rFonts w:ascii="Arial" w:cs="Arial" w:eastAsia="Arial" w:hAnsi="Arial"/>
          <w:sz w:val="16"/>
          <w:szCs w:val="16"/>
          <w:color w:val="auto"/>
        </w:rPr>
      </w:pPr>
    </w:p>
    <w:p>
      <w:pPr>
        <w:ind w:left="180" w:hanging="10"/>
        <w:spacing w:after="0" w:line="261" w:lineRule="auto"/>
        <w:tabs>
          <w:tab w:leader="none" w:pos="66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spacing w:after="0" w:line="1" w:lineRule="exact"/>
        <w:rPr>
          <w:rFonts w:ascii="Arial" w:cs="Arial" w:eastAsia="Arial" w:hAnsi="Arial"/>
          <w:sz w:val="16"/>
          <w:szCs w:val="16"/>
          <w:color w:val="auto"/>
        </w:rPr>
      </w:pPr>
    </w:p>
    <w:p>
      <w:pPr>
        <w:ind w:left="180" w:right="20" w:hanging="10"/>
        <w:spacing w:after="0" w:line="257" w:lineRule="auto"/>
        <w:tabs>
          <w:tab w:leader="none" w:pos="66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Consolidated Balance Sheets).</w:t>
      </w:r>
    </w:p>
    <w:p>
      <w:pPr>
        <w:ind w:left="520" w:hanging="350"/>
        <w:spacing w:after="0"/>
        <w:tabs>
          <w:tab w:leader="none" w:pos="52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color w:val="auto"/>
                <w:w w:val="93"/>
              </w:rPr>
              <w:t>Defined Benefit Plans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FSIRS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After-</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Before-</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After-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Arial" w:cs="Arial" w:eastAsia="Arial" w:hAnsi="Arial"/>
                <w:sz w:val="13"/>
                <w:szCs w:val="13"/>
                <w:color w:val="auto"/>
              </w:rPr>
              <w:t>(Thousands of dollars)</w:t>
            </w: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w w:val="92"/>
              </w:rPr>
              <w:t>Before-Tax</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Benefit (9)</w:t>
            </w:r>
          </w:p>
        </w:tc>
        <w:tc>
          <w:tcPr>
            <w:tcW w:w="16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Tax</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Benefit (9)</w:t>
            </w:r>
          </w:p>
        </w:tc>
        <w:tc>
          <w:tcPr>
            <w:tcW w:w="16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7"/>
                <w:szCs w:val="17"/>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(61,182)</w:t>
            </w:r>
          </w:p>
        </w:tc>
        <w:tc>
          <w:tcPr>
            <w:tcW w:w="280" w:type="dxa"/>
            <w:vAlign w:val="bottom"/>
            <w:tcBorders>
              <w:top w:val="single" w:sz="8" w:color="auto"/>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14,685</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(46,913)</w:t>
            </w: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rPr>
                <w:sz w:val="20"/>
                <w:szCs w:val="20"/>
                <w:color w:val="auto"/>
              </w:rPr>
            </w:pPr>
            <w:r>
              <w:rPr>
                <w:rFonts w:ascii="Arial" w:cs="Arial" w:eastAsia="Arial" w:hAnsi="Arial"/>
                <w:sz w:val="14"/>
                <w:szCs w:val="14"/>
                <w:color w:val="auto"/>
              </w:rPr>
              <w:t>Net actuarial gain/(loss)</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Arial" w:cs="Arial" w:eastAsia="Arial" w:hAnsi="Arial"/>
                <w:sz w:val="14"/>
                <w:szCs w:val="14"/>
                <w:color w:val="auto"/>
              </w:rPr>
              <w:t>FSIRS amount reclassified from AOCI (6)</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(7)</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Arial" w:cs="Arial" w:eastAsia="Arial" w:hAnsi="Arial"/>
                <w:sz w:val="14"/>
                <w:szCs w:val="14"/>
                <w:color w:val="auto"/>
              </w:rPr>
              <w:t>Amortization of net actuarial loss (7)</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34,818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26,461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Regulatory adjustment (8)</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(21,457)</w:t>
            </w:r>
          </w:p>
        </w:tc>
        <w:tc>
          <w:tcPr>
            <w:tcW w:w="0" w:type="dxa"/>
            <w:vAlign w:val="bottom"/>
          </w:tcPr>
          <w:p>
            <w:pPr>
              <w:spacing w:after="0"/>
              <w:rPr>
                <w:sz w:val="1"/>
                <w:szCs w:val="1"/>
                <w:color w:val="auto"/>
              </w:rPr>
            </w:pPr>
          </w:p>
        </w:tc>
      </w:tr>
      <w:tr>
        <w:trPr>
          <w:trHeight w:val="115"/>
        </w:trPr>
        <w:tc>
          <w:tcPr>
            <w:tcW w:w="4080" w:type="dxa"/>
            <w:vAlign w:val="bottom"/>
          </w:tcPr>
          <w:p>
            <w:pPr>
              <w:ind w:left="20"/>
              <w:spacing w:after="0" w:line="115" w:lineRule="exact"/>
              <w:rPr>
                <w:sz w:val="20"/>
                <w:szCs w:val="20"/>
                <w:color w:val="auto"/>
              </w:rPr>
            </w:pPr>
            <w:r>
              <w:rPr>
                <w:rFonts w:ascii="Arial" w:cs="Arial" w:eastAsia="Arial" w:hAnsi="Arial"/>
                <w:sz w:val="13"/>
                <w:szCs w:val="13"/>
                <w:color w:val="auto"/>
              </w:rPr>
              <w:t>Net current period other comprehensive income (loss) attributable to</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10,840</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8,236</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8,652</w:t>
            </w:r>
          </w:p>
        </w:tc>
        <w:tc>
          <w:tcPr>
            <w:tcW w:w="0" w:type="dxa"/>
            <w:vAlign w:val="bottom"/>
          </w:tcPr>
          <w:p>
            <w:pPr>
              <w:spacing w:after="0"/>
              <w:rPr>
                <w:sz w:val="1"/>
                <w:szCs w:val="1"/>
                <w:color w:val="auto"/>
              </w:rPr>
            </w:pPr>
          </w:p>
        </w:tc>
      </w:tr>
      <w:tr>
        <w:trPr>
          <w:trHeight w:val="182"/>
        </w:trPr>
        <w:tc>
          <w:tcPr>
            <w:tcW w:w="4080" w:type="dxa"/>
            <w:vAlign w:val="bottom"/>
          </w:tcPr>
          <w:p>
            <w:pPr>
              <w:ind w:left="100"/>
              <w:spacing w:after="0"/>
              <w:rPr>
                <w:sz w:val="20"/>
                <w:szCs w:val="20"/>
                <w:color w:val="auto"/>
              </w:rPr>
            </w:pPr>
            <w:r>
              <w:rPr>
                <w:rFonts w:ascii="Arial" w:cs="Arial" w:eastAsia="Arial" w:hAnsi="Arial"/>
                <w:sz w:val="14"/>
                <w:szCs w:val="14"/>
                <w:color w:val="auto"/>
              </w:rPr>
              <w:t>Southwest Gas Corporation</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December 31,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20" w:hanging="350"/>
        <w:spacing w:after="0"/>
        <w:tabs>
          <w:tab w:leader="none" w:pos="52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Southwest’s Consolidated Statements of Income.</w:t>
      </w:r>
    </w:p>
    <w:p>
      <w:pPr>
        <w:spacing w:after="0" w:line="22" w:lineRule="exact"/>
        <w:rPr>
          <w:rFonts w:ascii="Arial" w:cs="Arial" w:eastAsia="Arial" w:hAnsi="Arial"/>
          <w:sz w:val="16"/>
          <w:szCs w:val="16"/>
          <w:color w:val="auto"/>
        </w:rPr>
      </w:pPr>
    </w:p>
    <w:p>
      <w:pPr>
        <w:ind w:left="180" w:hanging="10"/>
        <w:spacing w:after="0" w:line="253" w:lineRule="auto"/>
        <w:tabs>
          <w:tab w:leader="none" w:pos="57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180" w:hanging="10"/>
        <w:spacing w:after="0" w:line="255" w:lineRule="auto"/>
        <w:tabs>
          <w:tab w:leader="none" w:pos="584"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Deferred charges and other assets on Southwest’s Consolidated Balance Sheets).</w:t>
      </w:r>
    </w:p>
    <w:p>
      <w:pPr>
        <w:ind w:left="520" w:hanging="350"/>
        <w:spacing w:after="0"/>
        <w:tabs>
          <w:tab w:leader="none" w:pos="52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8" w:name="page329"/>
    <w:bookmarkEnd w:id="328"/>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339,356</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w:t>
            </w:r>
          </w:p>
        </w:tc>
      </w:tr>
      <w:tr>
        <w:trPr>
          <w:trHeight w:val="21"/>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xml:space="preserve"> for more information on the defined benefit pension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the Company’s common stock are publicly traded on the New York Stock Exchange, under the ticker symbol “SWX.” Share-based compensation related to Southwest and Centuri is based on awards to be issued in shares of Southwest Gas Holdings, Inc.</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2020, the Company and Southwest jointly filed with the SEC an automatic shelf registration statement (File No. 333-251074), or a “Universal Shelf,”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depository shares, warrants to purchase common stock, preferred stock or depository shares issued by the Company or debt securities issued by the Company or Southwest, units and rights. Additionally as part of the Universal Shelf, Southwest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Universal Shelf. There was no activity under the Equity Shelf Program during the year ended December 31, 2022. The following table provides the life-to-date activity under that program through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158,180,343</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(1,581,803)</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156,598,540</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2,302,407</w:t>
            </w:r>
          </w:p>
        </w:tc>
        <w:tc>
          <w:tcPr>
            <w:tcW w:w="0" w:type="dxa"/>
            <w:vAlign w:val="bottom"/>
          </w:tcPr>
          <w:p>
            <w:pPr>
              <w:spacing w:after="0"/>
              <w:rPr>
                <w:sz w:val="1"/>
                <w:szCs w:val="1"/>
                <w:color w:val="auto"/>
              </w:rPr>
            </w:pP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2022, the Company had approximately $342 million of common stock available for future issuance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issued, through a separate prospectus supplement under the Universal Shelf, an aggregate of 6.325 million shares of common stock, in an underwritten public offering price of $74.00 per share, resulting in proceeds to the Company of $452.3 million, net of an underwriters’ discount of $15.8 million. The Company used the net proceeds to repay a portion of the outstanding borrowings under the 364-day term loan credit agreement that was used to initially fund the MountainWest acquisition.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During 2022, the Company issued approximately 230,000 shares of common stock through the Restricted Stock/Unit Plan and Omnibus Incentive Plan.</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2022, the Company issued 142,000 shares of common stock through the Dividend Reinvestment and Stock Purchase Plan, raising proceeds of approximately $10.5 million.</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9" w:name="page330"/>
    <w:bookmarkEnd w:id="329"/>
    <w:p>
      <w:pPr>
        <w:spacing w:after="0" w:line="342" w:lineRule="auto"/>
        <w:rPr>
          <w:sz w:val="20"/>
          <w:szCs w:val="20"/>
          <w:color w:val="auto"/>
        </w:rPr>
      </w:pPr>
      <w:r>
        <w:rPr>
          <w:rFonts w:ascii="Arial" w:cs="Arial" w:eastAsia="Arial" w:hAnsi="Arial"/>
          <w:sz w:val="16"/>
          <w:szCs w:val="16"/>
          <w:color w:val="auto"/>
        </w:rPr>
        <w:t>As of December 31, 2022, there were 3.3 million shares of common stock registered and available for issuance under the provisions of the various stock issuance plans, which does not include the amount of common stock available that is separately disclosed with respect to the Equity Shelf Program above.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Long-term debt is recognized in the Company’s and Southwest’s Consolidated Balance Sheets generally at the carrying value of the obligations outstanding. Details surrounding the fair value and individual carrying values of instruments are provided in the table that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auto"/>
            </w:tcBorders>
          </w:tcPr>
          <w:p>
            <w:pPr>
              <w:spacing w:after="0"/>
              <w:rPr>
                <w:sz w:val="19"/>
                <w:szCs w:val="19"/>
                <w:color w:val="auto"/>
              </w:rPr>
            </w:pPr>
          </w:p>
        </w:tc>
      </w:tr>
      <w:tr>
        <w:trPr>
          <w:trHeight w:val="169"/>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9"/>
              </w:rPr>
              <w:t>Carrying</w:t>
            </w:r>
          </w:p>
        </w:tc>
        <w:tc>
          <w:tcPr>
            <w:tcW w:w="34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Arial" w:cs="Arial" w:eastAsia="Arial" w:hAnsi="Arial"/>
                <w:sz w:val="18"/>
                <w:szCs w:val="18"/>
                <w:color w:val="auto"/>
              </w:rPr>
              <w:t>Fair</w:t>
            </w:r>
          </w:p>
        </w:tc>
      </w:tr>
      <w:tr>
        <w:trPr>
          <w:trHeight w:val="237"/>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Value</w:t>
            </w: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113,184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166,380</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4.05%, due 2032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3.875%, due 2022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250,603</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4.875%, due 2043</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307,538</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3.8%, due 2046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329,055</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3.7%, due 2028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325,191</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4.15%, due 2049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218,712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342,030</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2.2%, due 2030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440,838</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3.18%, due 2051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292,116</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5.8%, due 2027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92,623</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7.78% series, due 2022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25,122</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7.92% series, due 2027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31,555</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6.76% series, due 2027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(29,471)</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(19,959)</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3,003,029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2,387,541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130,000</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Tax-exempt Series A, due 2028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2003 Series A, due 2038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2008 Series A, due 2038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 Series A, due 2039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198,062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 total long-term debt, less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3,251,296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2,440,603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Centuri secured term loan facility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1,008,550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995,852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1,117,138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1,117,841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81,955</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82,315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MountainWest unsecured senior notes, 3.53%, due in 2028*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102,078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102,078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MountainWest unsecured senior notes, 4.875%, due in 2041*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MountainWest unsecured senior notes, 3.91%, due in 2038*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147,735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147,735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118,314</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(20,789)</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(24,466)</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(44,557)</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Holdings, Inc. total long-term debt, less current maturities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4,403,299</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4,115,684</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spacing w:after="0" w:line="275" w:lineRule="auto"/>
        <w:rPr>
          <w:sz w:val="20"/>
          <w:szCs w:val="20"/>
          <w:color w:val="auto"/>
        </w:rPr>
      </w:pPr>
      <w:r>
        <w:rPr>
          <w:rFonts w:ascii="Arial" w:cs="Arial" w:eastAsia="Arial" w:hAnsi="Arial"/>
          <w:sz w:val="16"/>
          <w:szCs w:val="16"/>
          <w:color w:val="auto"/>
        </w:rPr>
        <w:t xml:space="preserve">*MountainWest amounts are not reflected in the above table as of December 31, 2022 as the balance has been reclassified as held for sale on the Company’s Consolidated Balance Sheet as of December 31, 2022. See </w:t>
      </w:r>
      <w:r>
        <w:rPr>
          <w:rFonts w:ascii="Arial" w:cs="Arial" w:eastAsia="Arial" w:hAnsi="Arial"/>
          <w:sz w:val="16"/>
          <w:szCs w:val="16"/>
          <w:b w:val="1"/>
          <w:bCs w:val="1"/>
          <w:color w:val="auto"/>
        </w:rPr>
        <w:t>Note 15 - Acquisitions and Dispositions</w:t>
      </w:r>
      <w:r>
        <w:rPr>
          <w:rFonts w:ascii="Arial" w:cs="Arial" w:eastAsia="Arial" w:hAnsi="Arial"/>
          <w:sz w:val="16"/>
          <w:szCs w:val="16"/>
          <w:color w:val="auto"/>
        </w:rPr>
        <w:t xml:space="preserve"> for additional information.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of Southwest's and the Company’s revolving credit facilities and Southwest’s Industrial Development Revenue Bonds (“IDRBs”) are categorized as Level 1 based on the FASB’s fair value hierarchy, due to the ability to access similar debt arrangements at measurement dates with comparable terms, including variable/market rates. Additionally, Southwest’s revolving credit facility and IDRBs have interest rates that reset frequently. The fair values of Southwest’s debentures (which include senior and medium-term notes) and the Company's term loan facility and unsecured senior notes were determined utilizing a market-based valuation approach, where fair values are determined based on evaluated pricing data, and as such are categorized as Level 2 in the hierarchy.</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December 31, 2022, the applicable margin ranges from 0.750% to 1.500% for loans bearing interest with reference to SOFR and from 0.000% to 0.500% for loans bearing interest with reference to the alternative base rate. At December 31, 2022, the applicable margin is 1.125% for loans with reference to SOFR and 0.125% for loans bearing interest with reference to the alternative base rate. Southwest is also required to pay a commitment fee, ranging from 0.075% to 0.200% per annum, on the unfunded portion of the commitments, which was not significant for the year ended December 31, 2022. The credit facility contains a financial covenant requiring Southwest to maintain a ratio of funded debt to total capitalization not to exceed 0.70 to 1.00 as of the end of any quarter of any fiscal year. At December 31, 2022, $50 million was outstanding on the long-term portion (no borrowings were outstanding under the commercial paper program discussed below). The effective interest rate on the long-term portion of the credit facility was 5.88% at December 31, 2022.</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current revolving credit facility and, therefore, do not represent additional borrowing capacity. Borrowings under the commercial paper program, if any, are designated as long-term debt. Interest rates for the program are calculated at the then current commercial paper rate. At December 31, 2022, as noted above, no borrowings were outstanding under the commercial paper program.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Southwest issued $600 million aggregate principal amount of 4.05% Senior Notes at a discount of 0.65%. The notes will mature in March 2032. Southwest used the net proceeds to redeem the $250 million 3.875% notes due in April 2022 and to repay outstanding amounts under its credit facility, with the remaining net proceeds used for general corporate purposes.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Centuri has a $1.545 billion secured revolving credit and term loan multi-currency facility. Amounts can be borrowed in either Canadian or U.S. dollars. On November 4, 2022, Centuri amended the financial covenants of its revolving credit facility to increase the maximum total net leverage ratio during the period from December 31, 2022 through December 31, 2023 (the “Centuri Credit Facility Amendment”). The Centuri Credit Facility Amendment also transitioned the interest rate benchmark for the revolving credit facility from LIBOR to SOFR. The applicable margin for the revolving credit facility now ranges from 1.0% to 2.5% for SOFR loans and from 0.0% to 1.5% for Canadian Dealer Offered Rate (“CDOR”) and “base rate” loans, depending on Centuri’s total net leverage ratio. Further, the Centuri Credit Facility Amendment increases a letter of credit sub-facility from $100 million to $125 million. The Centuri Credit Facility Amendment did not modify any terms of the term loan facility. The revolving credit facility matures on August 27, 2026 and the term loan facility matures on August 27, 2028. The capacity of the line of credit portion of the facility is $400 million; related amounts borrowed and repaid are available to be re-borrowed. The term loan portion of the facility has a limit of $1.145 billion. The obligations under the credit agreement are</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331" w:name="page332"/>
    <w:bookmarkEnd w:id="331"/>
    <w:p>
      <w:pPr>
        <w:jc w:val="both"/>
        <w:spacing w:after="0" w:line="308" w:lineRule="auto"/>
        <w:rPr>
          <w:sz w:val="20"/>
          <w:szCs w:val="20"/>
          <w:color w:val="auto"/>
        </w:rPr>
      </w:pPr>
      <w:r>
        <w:rPr>
          <w:rFonts w:ascii="Arial" w:cs="Arial" w:eastAsia="Arial" w:hAnsi="Arial"/>
          <w:sz w:val="17"/>
          <w:szCs w:val="17"/>
          <w:color w:val="auto"/>
        </w:rPr>
        <w:t>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loan facility is subject to a LIBOR floor of 0.50%. Furthermore, Centuri Canada Division Inc. may borrow under the revolving credit facility with interest rates based on terms referred to above. The margin for the term loan facility is 1.50% for base rate loans and 2.50% for LIBOR loans. Centuri is also required to pay a commitment fee on the unused portion of the commitments. The commitment fee ranges from 0.15% to 0.35% per annum. The credit agreement contains certain customary representations and warranties, affirmative and negative covenants, and events of default. There are no financial covenants related to the term loan facility. The revolving credit facility requires Centuri to maintain a maximum total net leverage ratio of 6.00 to 1.00 from December 31, 2022 through June 30, 2023, 5.50 to 1.00 from July 1, 2023 through September 30, 2023, 4.50 to 1.00 from October 1, 2023 through December 31, 2023, and 4.00 to 1.00 from January 1, 2024 and thereafter. The agreement also requires Centuri to maintain a minimum interest coverage ratio of 2.50 to 1.00. Centuri’s assets securing the facility at December 31, 2022 totaled $2.5 billion. At December 31, 2022, $1.091 billion in borrowings were outstanding under Centuri’s combined secured revolving credit and term loan facility.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outstanding are considered long-term borrowings. The effective interest rate on the secured revolving credit and term loan facility was 7.2% at December 31,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The effective interest rates on Southwest’s variable-rate IDRBs are included in the table below:</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864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2003 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2008 Series A</w:t>
            </w:r>
          </w:p>
        </w:tc>
        <w:tc>
          <w:tcPr>
            <w:tcW w:w="1240" w:type="dxa"/>
            <w:vAlign w:val="bottom"/>
          </w:tcPr>
          <w:p>
            <w:pPr>
              <w:jc w:val="right"/>
              <w:spacing w:after="0"/>
              <w:rPr>
                <w:sz w:val="20"/>
                <w:szCs w:val="20"/>
                <w:color w:val="auto"/>
              </w:rPr>
            </w:pPr>
            <w:r>
              <w:rPr>
                <w:rFonts w:ascii="Arial" w:cs="Arial" w:eastAsia="Arial" w:hAnsi="Arial"/>
                <w:sz w:val="18"/>
                <w:szCs w:val="18"/>
                <w:color w:val="auto"/>
              </w:rPr>
              <w:t>4.84 %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0.90 %</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0.88 %</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Tax-exempt Series A</w:t>
            </w:r>
          </w:p>
        </w:tc>
        <w:tc>
          <w:tcPr>
            <w:tcW w:w="1240" w:type="dxa"/>
            <w:vAlign w:val="bottom"/>
          </w:tcPr>
          <w:p>
            <w:pPr>
              <w:jc w:val="right"/>
              <w:spacing w:after="0"/>
              <w:rPr>
                <w:sz w:val="20"/>
                <w:szCs w:val="20"/>
                <w:color w:val="auto"/>
              </w:rPr>
            </w:pPr>
            <w:r>
              <w:rPr>
                <w:rFonts w:ascii="Arial" w:cs="Arial" w:eastAsia="Arial" w:hAnsi="Arial"/>
                <w:sz w:val="18"/>
                <w:szCs w:val="18"/>
                <w:color w:val="auto"/>
              </w:rPr>
              <w:t>4.30 %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0.92 %</w:t>
            </w:r>
          </w:p>
        </w:tc>
      </w:tr>
    </w:tbl>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Nevada, interest fluctuations due to changing interest rates on Southwest’s 2003 Series A, 2008 Series A, and 2009 Series A variable-rate IDRBs are tracked and recovered from customers through a variable interest expense recovery mechanism.</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2022, Southwest was in compliance with all of its covenants. Under the most restrictive of the financial covenants, approximately $2.5 billion in additional debt could be issued while still meeting the leverage ratio requirement. Relating to the minimum net worth requirement, as of December 31, 2022, there is at least $2 billion of cushion in equity. No specific dividend restrictions exist under the collective covenants. None of the debt instruments contain material adverse change clauses.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Centuri debt instruments have leverage ratio caps and fixed charge ratio coverage requirements. At December 31, 2022, Centuri was in compliance with all of its covenants. Under the most restrictive of the covenants, Centuri could issue over $222 million in additional debt and meet the leverage ratio requirement. Centuri has at least $33 million of cushion relating to the minimum fixed charge ratio coverage requirement. Centuri’s covenants limit its ability to provide cash dividends to Southwest Gas Holdings, Inc., its parent. The dividend restriction is equal to a calculated available amount generally defined as 50% of its rolling twelve-month consolidated net income adjusted for certain items, such as parent contribution inflows, Linetec redeemable noncontrolling interest payments, or dividend payments, among other adjustments, as applicable.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t>Estimated maturities of long-term debt for the next five years 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Debentures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332,500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407,500</w:t>
            </w: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Revolving credit facility and commercial paper</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3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332,500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457,500</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Centuri secured term loan facility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60,113</w:t>
            </w: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Centuri secured revolving credit facility</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81,955</w:t>
            </w:r>
          </w:p>
        </w:tc>
      </w:tr>
      <w:tr>
        <w:trPr>
          <w:trHeight w:val="229"/>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debt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126,844</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726,412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Gas Holdings, Inc. has a $300 million credit facility that is primarily used for short-term financing needs. Interest rates for this facility are calculated at either SOFR or the “alternate base rate,” plus in each case an applicable margin that is determined based on the Company’s senior unsecured debt rating. There was $173 million and $59 million outstanding under this facility with a weighted average interest rate of 5.588% and 1.323% at December 31, 2022 and 2021, respectively.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30, 2022, in connection with that certain Amended and Restated Revolving Credit Agreement, dated as of April 10, 2020 (as amended by Amendment No. 1 thereto, dated as of December 28, 2021), by and between Southwest Gas Holdings, Inc., the lenders party thereto, and The Bank of New York Mellon, as Administrative Agent, and pursuant to an Increase Request delivered by the Company to the Administrative Agent, the total commitment amount available under the credit facility was increased, from $200 million to $300 million. Interest rate benchmarks (SOFR or an alternative) as well as related ranges, including with regard to the applicable margin, largely mirror those included in Southwest’s amended facility agreement noted above, determined in this case based on Southwest Gas Holdings, Inc.’s senior unsecured long-term debt rating. At December 31, 2022, the applicable margin is 1.250% for loans bearing interest with reference to SOFR and 0.250% for loans bearing interest with reference to the alternative base rate. The commitment fee rates, terms, and covenants, noted above for Southwest, are also applicable to Southwest Gas Holdings, Inc. in its amended credit facility, including the noted ratio of funded debt to total capitalization as of the end of any quarter of any fiscal year. The commitment fee under this credit facility was not significant for the year ended December 31, 2022.</w:t>
      </w:r>
    </w:p>
    <w:p>
      <w:pPr>
        <w:spacing w:after="0" w:line="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2022, Southwest amended its $250 million Term Loan (the “March 2021 Term Loan”) extending the maturity date to March 21, 2023 and replacing LIBOR interest rate benchmarks with SOFR interest rate benchmarks. The proceeds were originally used to fund the increased cost of natural gas supply during the month of February 2021, caused by extreme weather conditions in the central U.S. There was $225 million outstanding under the March 2021 Term Loan as of December 31, 2022. Interest rates for the amended term loan are calculated at either SOFR or an “alternate base rate,” plus in each case an applicable margin that is determined based on Southwest’s senior unsecured long-term debt rating. The applicable margin ranges from 0.550% to 1.000% for loans bearing interest with reference to SOFR and 0.000% for loans bearing interest with reference to an alternate base rate. The amended agreement contains a financial covenant requiring Southwest to maintain a ratio of funded debt to total capitalization not to exceed 0.70 to 1.00 as of the end of any quarter of any fiscal year. The weighted average interest rate at December 31, 2022 was 5.173%.</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26, 2022, Southwest Gas Holdings, Inc. entered into Amendment No. 1 to the 364-day Term Loan Credit Agreement. The Credit Agreement provided for a $1.6 billion delayed-draw term loan (the “Term Loan Facility”) to primarily fund the acquisition of the equity interests in MountainWest. The amended Credit Agreement, among other things, (1) extended the maturity date of the Term Loan to December 30, 2023 and (2) replaced LIBOR benchmarks with SOFR interest rate benchmarks. The Company agreed to pay the Lenders fees equal to 0.10% of the aggregate principal amount outstanding under the Term Loan on March 31, 2023, 0.15% of the aggregate principal amount outstanding under the Term Loan on June 30, 2023, and 0.20% of the aggregate principal amount outstanding under the Term Loan on September 30, 2023. There was $1.15 billion outstanding under the Term Loan Facility as of December 31, 2022. Upon the close of the MountainWest sale, the Company paid down $1.075 billion of the Term Loan Facility, leaving approximately $72 million in aggregate principal amount outstanding. The applicable margin for the Term Loan Facility is 0.500% to 1.250% for base rate loans and 1.500% to 2.250% for SOFR loans, depending on the applicable pricing level in effect. Each of the interest rate spreads will increase by 0.25% at certain time intervals beginning June 30, 2023. The commitment fee ranges from 0.060% to 0.175% per calendar quarter commencing January 3, 2022, depending on the applicable pricing level in effect. The pricing levels are based on the</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3" w:name="page334"/>
    <w:bookmarkEnd w:id="333"/>
    <w:p>
      <w:pPr>
        <w:jc w:val="both"/>
        <w:spacing w:after="0" w:line="277" w:lineRule="auto"/>
        <w:rPr>
          <w:sz w:val="20"/>
          <w:szCs w:val="20"/>
          <w:color w:val="auto"/>
        </w:rPr>
      </w:pPr>
      <w:r>
        <w:rPr>
          <w:rFonts w:ascii="Arial" w:cs="Arial" w:eastAsia="Arial" w:hAnsi="Arial"/>
          <w:sz w:val="18"/>
          <w:szCs w:val="18"/>
          <w:color w:val="auto"/>
        </w:rPr>
        <w:t>Company’s senior debt ratings. The interest rate is subject to customary benchmark replacement provisions. The weighted average interest rate at December 31, 2022 was 6.423%.</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representations and warranties, affirmative, negative, and financial covenants and events of default substantially similar to the Company’s existing credit facility. Subject to certain exceptions, after the funding date, the Company must make a mandatory prepayment from 100% of the net cash proceeds received by the Company or any of its subsidiaries from any debt offerings or equity issuances and/or 100% of the committed amount under any specified acquisition financings.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Southwest Gas Holdings, Inc. was in compliance with all of its credit facility and 364-day Term Loan covenants. Interest and fees on the credit facility and 364-day Term Loan are subject to adjustment depending on its senior debt ratings. The credit facility and 364-day Term Loan are subject to a leverage ratio cap. Under the most restrictive of the financial covenants, approximately $1.2 billion in additional debt could be issued while still meeting the leverage ratio requirement. No specific dividend restrictions exist under the collective covenants. The credit facility and 364-day Term Loan do not contain material adverse change clauses.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indicated above, under Southwest’s $400 million credit facility, $250 million has been designated by management for working capital purposes.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had no short-term borrowings outstanding at December 31, 2022 and 2021.</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2023, Southwest entered into a 364-day $450 million term loan agreement that matures on January 19, 2024. The Company used the proceeds to fund higher than expected natural gas costs for the November 2022 through March 2023 winter period, caused by numerous market forces including historically low storage levels, unexpected upstream pipeline maintenance events, and cold weather conditions across the western region. Interest rates for this term loan are calculated at either SOFR plus an adjustment of 0.100% or an “alternate base rate,” plus in each case an applicable margin that is determined based on Southwest’s senior unsecured long-term debt rating. The applicable margin is 0.950% with reference to SOFR and 0.000% with reference to the alternate base rate. The term loan agreement contains a financial covenant requiring Southwest to maintain a ratio of funded debt to total capitalization not to exceed 0.70 to 1.00 as of the end of any quarter of any fiscal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rates established at LIBOR were scheduled to be discontinued as a benchmark or reference rate after 2021, while other LIBOR-based rates are scheduled to be discontinued after June 2023. As of December 31, 2022, the Company had $1.009 billion in aggregate outstanding borrowings under Centuri’s Term Loan Facility. Southwest and Southwest Gas Holdings, Inc. had no outstanding borrowings or variable rate debt agreements with reference to LIBOR as of December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 following share-based compensation plans existed at the Company: an omnibus incentive plan and a restricted stock/unit plan. The fair value of share grants is primarily based on the closing price of the Company’s stock on the date of grant. All share grants in 2022, including time-lapse restricted stock units and performance shares, occurred under the omnibus incentive plan. The table below shows total share-based plan compensation expense which was recognized in the Consolidated Statements of Income: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plan expense, net of related tax benefits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Share-based compensation plan related tax benefits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Omnibus Incentive Plan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omnibus incentive plan is used to promote the long-term growth and profitability of the Company, including its subsidiaries,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shares, and other equity-based and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 of Directors.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Performance-based incentive opportunities under the omnibus plan were granted to all officers of Southwest in the form of performance shares and are based, depending on the officer, on consolidated earnings per share, utility net income, and utility return on equity, with an adjustment based on relative total shareholder return, in each case, measured over a three-year</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4" w:name="page335"/>
    <w:bookmarkEnd w:id="334"/>
    <w:p>
      <w:pPr>
        <w:jc w:val="both"/>
        <w:spacing w:after="0" w:line="263" w:lineRule="auto"/>
        <w:rPr>
          <w:sz w:val="20"/>
          <w:szCs w:val="20"/>
          <w:color w:val="auto"/>
        </w:rPr>
      </w:pPr>
      <w:r>
        <w:rPr>
          <w:rFonts w:ascii="Arial" w:cs="Arial" w:eastAsia="Arial" w:hAnsi="Arial"/>
          <w:sz w:val="18"/>
          <w:szCs w:val="18"/>
          <w:color w:val="auto"/>
        </w:rPr>
        <w:t>performance period. Like other restricted stock/unit programs, shares are restricted based on vesting, and in this case, further subject to future performance determinations against relevant benchmarks. Southwest recorded $2.1 million, $3.4 million, and $2.8 million of estimated compensation expense associated with these shares during 2022,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Stock/Units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Restricted stock/units under the restricted stock/unit plan were previously granted to attract, motivate, retain, and reward key employees of the Company with an incentive to attain high levels of individual performance and improved financial performance. The legacy plan was also established to attract, motivate, and retain experienced and knowledgeable directors. As noted above, grants of restricted stock during 2022, were granted under the omnibus incentive plan. All remaining shares under the legacy restricted stock/unit plan (in regard to employees) were issued during 2021; remaining unissued legacy program shares relate solely to directors, and such shares were immediately vested at the time of grant, with distribution to occur when service on the Board ends. No new grants are made under the legacy plan, as all future stock-based incentive compensation, including with regard to restricted stock, is granted under programs of the omnibus incentive plan, which for directors, with advance election, issuance may occur upon grant. Conversely, with regard to management, grants under the omnibus plan are of time-lapse character, with graded vesting (and issuance in the form of common stock) occurring, 40% at the end of year one and 30% at the end of years two and three.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restricted stock/units programs as of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Restricted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6"/>
                <w:szCs w:val="16"/>
                <w:color w:val="auto"/>
                <w:w w:val="93"/>
              </w:rPr>
              <w:t>Weighted-</w:t>
            </w:r>
          </w:p>
        </w:tc>
        <w:tc>
          <w:tcPr>
            <w:tcW w:w="0" w:type="dxa"/>
            <w:vAlign w:val="bottom"/>
          </w:tcPr>
          <w:p>
            <w:pPr>
              <w:spacing w:after="0"/>
              <w:rPr>
                <w:sz w:val="1"/>
                <w:szCs w:val="1"/>
                <w:color w:val="auto"/>
              </w:rPr>
            </w:pPr>
          </w:p>
        </w:tc>
      </w:tr>
      <w:tr>
        <w:trPr>
          <w:trHeight w:val="162"/>
        </w:trPr>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(Thousands of shares)</w:t>
            </w:r>
          </w:p>
        </w:tc>
        <w:tc>
          <w:tcPr>
            <w:tcW w:w="1320" w:type="dxa"/>
            <w:vAlign w:val="bottom"/>
          </w:tcPr>
          <w:p>
            <w:pPr>
              <w:jc w:val="center"/>
              <w:spacing w:after="0" w:line="162" w:lineRule="exact"/>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4"/>
                <w:szCs w:val="14"/>
                <w:color w:val="auto"/>
              </w:rPr>
            </w:pPr>
          </w:p>
        </w:tc>
        <w:tc>
          <w:tcPr>
            <w:tcW w:w="132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89"/>
              </w:rPr>
              <w:t>average grant date</w:t>
            </w:r>
          </w:p>
        </w:tc>
        <w:tc>
          <w:tcPr>
            <w:tcW w:w="0" w:type="dxa"/>
            <w:vAlign w:val="bottom"/>
          </w:tcPr>
          <w:p>
            <w:pPr>
              <w:spacing w:after="0"/>
              <w:rPr>
                <w:sz w:val="1"/>
                <w:szCs w:val="1"/>
                <w:color w:val="auto"/>
              </w:rPr>
            </w:pPr>
          </w:p>
        </w:tc>
      </w:tr>
      <w:tr>
        <w:trPr>
          <w:trHeight w:val="212"/>
        </w:trPr>
        <w:tc>
          <w:tcPr>
            <w:tcW w:w="8480" w:type="dxa"/>
            <w:vAlign w:val="bottom"/>
            <w:tcBorders>
              <w:bottom w:val="single" w:sz="8" w:color="CCEEFF"/>
            </w:tcBorders>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Units (1)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color w:val="auto"/>
                <w:w w:val="92"/>
              </w:rPr>
              <w:t>fair value</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Nonvested/unissued at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232"/>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issued (2)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Nonvested/unissued at December 31,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64.34</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right="20" w:hanging="10"/>
        <w:spacing w:after="0" w:line="264" w:lineRule="auto"/>
        <w:tabs>
          <w:tab w:leader="none" w:pos="66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number of performance shares includes 167,200 granted and 41,100 vested and issued, which was derived by assuming that target performance will be achieved during the relevant performance period.</w:t>
      </w:r>
    </w:p>
    <w:p>
      <w:pPr>
        <w:ind w:left="660" w:hanging="490"/>
        <w:spacing w:after="0"/>
        <w:tabs>
          <w:tab w:leader="none" w:pos="66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Includes shares for retiree payouts and those converted for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all restricted stock/units granted in 2021 and 2020 was $65.38 and $76.85,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total compensation cost related to all nonvested omnibus shares not yet recognized is $5.3 million, which is expected to be recognized over a weighted average period of 2.4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and Southwest are defendants in miscellaneous legal proceedings. They are also parties to various regulatory proceedings. The ultimate dispositions of these proceedings are not presently determinable; however, it is the opinion of management that no litigation or regulatory proceeding to which the Company and Southwest are currently subject will have a material adverse impact on their financial position, results of operations, or cash flows.</w:t>
      </w:r>
    </w:p>
    <w:p>
      <w:pPr>
        <w:spacing w:after="0" w:line="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liability insurance that covers both Southwest and through the sale date, MountainWest, for various risks associated with the operation of the natural gas pipelines and facilities. In connection with these liability insurance policies, each entity is responsible for an initial deductible or self-insured retention amount per incident, after which the insurance carriers would be responsible for amounts up to the policy limits. For the policy year August 2022 to July 2023, these liability insurance policies require Southwest or MountainWest, as applicable, to be responsible for the first $1 million (self-insured retention) of each incident plus the first $4 million in aggregate claims above its self-insured retention in the policy year. When amounts are expected to be incurred above these amounts, subject to insurance carrier indemnity, a liability is recognized for the additional amount, in addition to a receivable from the insurance carrier amounts, without impact to earnings.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May 2022 to April 2023, Centuri is responsible for the first $750,000 (self-insured retention) per occurrence under these liability insurance policies.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a natural gas pipe operated by Southwest was involved in an explosion that injured four individuals and damaged property. The explosion was caused by a leak in the pipe, and is under investigation. Individuals that were injured have each brought legal claims against Southwest and other parties. If Southwest is deemed fully or partially responsible,</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5" w:name="page336"/>
    <w:bookmarkEnd w:id="335"/>
    <w:p>
      <w:pPr>
        <w:jc w:val="both"/>
        <w:spacing w:after="0" w:line="275" w:lineRule="auto"/>
        <w:rPr>
          <w:sz w:val="20"/>
          <w:szCs w:val="20"/>
          <w:color w:val="auto"/>
        </w:rPr>
      </w:pPr>
      <w:r>
        <w:rPr>
          <w:rFonts w:ascii="Arial" w:cs="Arial" w:eastAsia="Arial" w:hAnsi="Arial"/>
          <w:sz w:val="17"/>
          <w:szCs w:val="17"/>
          <w:color w:val="auto"/>
        </w:rPr>
        <w:t xml:space="preserve">Southwest estimates its net exposure could be equal to the self-insured retention of $5 million (the maximum noted above). In 2021, pursuant to ASC 450 - </w:t>
      </w:r>
      <w:r>
        <w:rPr>
          <w:rFonts w:ascii="Arial" w:cs="Arial" w:eastAsia="Arial" w:hAnsi="Arial"/>
          <w:sz w:val="17"/>
          <w:szCs w:val="17"/>
          <w:i w:val="1"/>
          <w:iCs w:val="1"/>
          <w:color w:val="auto"/>
        </w:rPr>
        <w:t>Contingencies</w:t>
      </w:r>
      <w:r>
        <w:rPr>
          <w:rFonts w:ascii="Arial" w:cs="Arial" w:eastAsia="Arial" w:hAnsi="Arial"/>
          <w:sz w:val="17"/>
          <w:szCs w:val="17"/>
          <w:color w:val="auto"/>
        </w:rPr>
        <w:t>, Southwest recorded a $5 million liability related to this incident reflecting its best estimate of the probable loss at that time.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subject to insurance indemnity, have been recognized on the consolidated balance sheets, in accordance with the above-noted accounting for amounts above the self-insurance retention provisions, which were not material to our financial position. Any amounts above that which has already been recognized (to be covered by insurance) cannot be estimated as of the date these financial statements are issued.</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contingencies are also recognized where appropriate, if claims are brought, or expected to be brought, against the Company or Southwest, where management expects it may settle (or be required to settle) claims in cash, or in some cases, by means of insurance indemnification. The balance of such reserves was updated for additional accruals, including in regard to a contract dispute. For that item, $6.2 million was recorded during the second quarter of 2022, based on management’s estimate of Southwest’s exposure. The amount was paid in the fourth quarter of 2022 and the matter is closed.</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the November 2021 civil suit filed by the Icahn Group, against the Company and certain officers and directors, was subject to a stipulation of dismissal with prejudice in May 2022, pursuant to the terms of the Cooperation Agreement.</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18, 2021, the City Pension Fund for Firefighters and Police Officers in the City of Miami Beach commenced a putative class action lawsuit in the Court of Chancery for the State of Delaware on behalf of a putative class of persons who purchased the Company’s stock. The action is captioned City Pension Fund for Firefighters and Police Officers in the City of Miami Beach v. Robert L. Boughner, et al., C.A. No. 2021-0990-KSJM (Del. Ch.). The complaint was later amended on November 30, 2021. The amended complaint named the Company and the individual members of the Board as defendants. The complaint sought to assert breach of fiduciary duty claims, alleging that the Board’s recommendation that stockholders reject Icahn’s offer to purchase shares of the Company’s common stock omitted material information about the Company’s financial analysis; and sought to have the Board approve Icahn’s slate of nominees as “continuing directors” under certain of the Company’s debt instruments. In March 2022, the City Pension Fund filed a motion for summary judgment on its claim; however, in April 2022, the City Pension Fund filed a notice of withdrawal of its motion for summary judgment. The Company believes that the claims lack merit and intends to vigorously defend against them.</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an assessment process of commitments and contingencies of any kind, the Company and Southwest may determine that certain costs are likely to be incurred in the future related to specific legal matters. In these circumstances and in accordance with accounting policies, the Company and Southwest will make an accrual, as necessary.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Investment Plan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Employees’ Investment Plan (“EIP”) is offered to eligible employees of Southwest through deduction of a percentage of base compensation, subject to Internal Revenue Service (“IRS”) limitations. The EIP provides for purchases of various mutual fund investments and Company common stock. For employees hired on or before December 31, 2021, one-half of amounts deferred are matched, up to a maximum matching contribution of 3.5% of an employee’s annual compensation. Employees hired on or after January 1, 2022 are eligible for non-elective employer contributions of 3% plus a matching contribution (dollar-for-dollar) up to 7% of eligible compensation. Officers hired after January 1, 2022 are eligible for non-elective and matching contributions. Contributions to the plan by Southwest were $6.9 million, $6.1 million, and $5.9 million for 2022, 2021, and 2020,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deferred compensation plan is offered to all officers of Southwest and a separate deferred compensation plan is offered to members of the Company’s Board of Directors.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noncontributory qualified retirement plan with defined benefits covering substantially all Southwest employees hired on or before December 31, 2021 is available, in addition to a separate unfunded supplemental executive retirement plan (“SERP”), which is limited to Southwest’s officers. Postretirement benefits other than pensions (“PBOP”) are provided to qualified retirees for health care, dental, vision and life insurance benefits. The defined benefit qualified retirement plan, SERP, and PBOP are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6" w:name="page337"/>
    <w:bookmarkEnd w:id="336"/>
    <w:p>
      <w:pPr>
        <w:jc w:val="both"/>
        <w:spacing w:after="0" w:line="277" w:lineRule="auto"/>
        <w:rPr>
          <w:sz w:val="20"/>
          <w:szCs w:val="20"/>
          <w:color w:val="auto"/>
        </w:rPr>
      </w:pPr>
      <w:r>
        <w:rPr>
          <w:rFonts w:ascii="Arial" w:cs="Arial" w:eastAsia="Arial" w:hAnsi="Arial"/>
          <w:sz w:val="18"/>
          <w:szCs w:val="18"/>
          <w:color w:val="auto"/>
        </w:rPr>
        <w:t>not available to Southwest employees hired on or after January 1, 2022. As noted above, employees hired on or after that date, are eligible for enhanced contributions to the EIP.</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Accumulated other comprehensive income under Stockholders’ equity, net of tax, until they are amortized as a component of net periodic benefit cost.</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qualified retirement plan invests the majority of its plan assets in common collective trusts, which include a well-diversified portfolio of domestic and international equity securities and fixed income securities, and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In 2016, Southwest adopted a liability driven investment (“LDI”) strategy for part of the portfolio, a form of investing designed to better match the movement in pension plan assets with the impact of interest rate changes and inflation assumption changes on the pension plan liability. The implementation of the LDI strategy will be phased in over time by using a glide path. The glide path is designed to increase the allocation of the plan’s assets to fixed income securities, as the funded status of the plan increases, in order to more closely match the duration of the plan assets to that of the plan liability. Pension plan assets are held in a Master Trust. The pension plan funding policy is in compliance with the federal government’s funding requirements.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was a 225 basis point increase in the discount rate between years, as reflected below. The methodology utilized to determine the discount rate was consistent with prior years. The weighted-average rate of compensation increase remained the same (consistent with management’s expectations overall). The asset return assumption (which impacts the following year’s expense) increased by 25 basis points. The rates are presented in the table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Weighted-average rate of compensation increase</w:t>
            </w:r>
          </w:p>
        </w:tc>
        <w:tc>
          <w:tcPr>
            <w:tcW w:w="1240" w:type="dxa"/>
            <w:vAlign w:val="bottom"/>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3.25 %</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 assumption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Future years’ expense level movements (up or down) will continue to be greatly influenced by long-term interest rates, asset returns, and funding levels.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7" w:name="page338"/>
    <w:bookmarkEnd w:id="337"/>
    <w:p>
      <w:pPr>
        <w:jc w:val="both"/>
        <w:ind w:right="20"/>
        <w:spacing w:after="0" w:line="277" w:lineRule="auto"/>
        <w:rPr>
          <w:sz w:val="20"/>
          <w:szCs w:val="20"/>
          <w:color w:val="auto"/>
        </w:rPr>
      </w:pPr>
      <w:r>
        <w:rPr>
          <w:rFonts w:ascii="Arial" w:cs="Arial" w:eastAsia="Arial" w:hAnsi="Arial"/>
          <w:sz w:val="18"/>
          <w:szCs w:val="18"/>
          <w:color w:val="auto"/>
        </w:rPr>
        <w:t>The following table sets forth the retirement plan, SERP, and PBOP funded statuses and amounts recognized on the Consolidated Balance Sheets and Consolidated Statements of Income.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color w:val="auto"/>
              </w:rPr>
              <w:t>Year Ended December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7"/>
              </w:rPr>
              <w:t>Qualified</w:t>
            </w:r>
          </w:p>
        </w:tc>
        <w:tc>
          <w:tcPr>
            <w:tcW w:w="18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color w:val="auto"/>
              </w:rPr>
              <w:t>PBOP</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7"/>
              </w:rPr>
              <w:t>Qualified</w:t>
            </w:r>
          </w:p>
        </w:tc>
        <w:tc>
          <w:tcPr>
            <w:tcW w:w="1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1"/>
                <w:szCs w:val="11"/>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color w:val="auto"/>
              </w:rPr>
              <w:t>PBOP</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benefit obligations:</w:t>
            </w:r>
          </w:p>
        </w:tc>
        <w:tc>
          <w:tcPr>
            <w:tcW w:w="1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140"/>
              <w:spacing w:after="0" w:line="135" w:lineRule="exact"/>
              <w:rPr>
                <w:sz w:val="20"/>
                <w:szCs w:val="20"/>
                <w:color w:val="auto"/>
              </w:rPr>
            </w:pPr>
            <w:r>
              <w:rPr>
                <w:rFonts w:ascii="Arial" w:cs="Arial" w:eastAsia="Arial" w:hAnsi="Arial"/>
                <w:sz w:val="14"/>
                <w:szCs w:val="14"/>
                <w:color w:val="auto"/>
              </w:rPr>
              <w:t>Benefit obligation for service rendered to date at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1,531,197</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49,530</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84,226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1,499,239</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53,631</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82,205</w:t>
            </w:r>
          </w:p>
        </w:tc>
        <w:tc>
          <w:tcPr>
            <w:tcW w:w="0" w:type="dxa"/>
            <w:vAlign w:val="bottom"/>
          </w:tcPr>
          <w:p>
            <w:pPr>
              <w:spacing w:after="0"/>
              <w:rPr>
                <w:sz w:val="1"/>
                <w:szCs w:val="1"/>
                <w:color w:val="auto"/>
              </w:rPr>
            </w:pPr>
          </w:p>
        </w:tc>
      </w:tr>
      <w:tr>
        <w:trPr>
          <w:trHeight w:val="182"/>
        </w:trPr>
        <w:tc>
          <w:tcPr>
            <w:tcW w:w="3540" w:type="dxa"/>
            <w:vAlign w:val="bottom"/>
          </w:tcPr>
          <w:p>
            <w:pPr>
              <w:ind w:left="300"/>
              <w:spacing w:after="0"/>
              <w:rPr>
                <w:sz w:val="20"/>
                <w:szCs w:val="20"/>
                <w:color w:val="auto"/>
              </w:rPr>
            </w:pPr>
            <w:r>
              <w:rPr>
                <w:rFonts w:ascii="Arial" w:cs="Arial" w:eastAsia="Arial" w:hAnsi="Arial"/>
                <w:sz w:val="14"/>
                <w:szCs w:val="14"/>
                <w:color w:val="auto"/>
              </w:rPr>
              <w:t>beginning of year (PBO/PBO/APBO)</w:t>
            </w:r>
          </w:p>
        </w:tc>
        <w:tc>
          <w:tcPr>
            <w:tcW w:w="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Service cost</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44,110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1,941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41,159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526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182"/>
        </w:trPr>
        <w:tc>
          <w:tcPr>
            <w:tcW w:w="3540" w:type="dxa"/>
            <w:vAlign w:val="bottom"/>
          </w:tcPr>
          <w:p>
            <w:pPr>
              <w:ind w:left="14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45,006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40,432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Actuarial loss (gain)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(399,066)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(6,134)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(18,260)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8,908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(3,244)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182"/>
        </w:trPr>
        <w:tc>
          <w:tcPr>
            <w:tcW w:w="3540" w:type="dxa"/>
            <w:vAlign w:val="bottom"/>
          </w:tcPr>
          <w:p>
            <w:pPr>
              <w:ind w:left="140"/>
              <w:spacing w:after="0"/>
              <w:rPr>
                <w:sz w:val="20"/>
                <w:szCs w:val="20"/>
                <w:color w:val="auto"/>
              </w:rPr>
            </w:pPr>
            <w:r>
              <w:rPr>
                <w:rFonts w:ascii="Arial" w:cs="Arial" w:eastAsia="Arial" w:hAnsi="Arial"/>
                <w:sz w:val="14"/>
                <w:szCs w:val="14"/>
                <w:color w:val="auto"/>
              </w:rPr>
              <w:t>Benefits paid</w:t>
            </w:r>
          </w:p>
        </w:tc>
        <w:tc>
          <w:tcPr>
            <w:tcW w:w="1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(61,796)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(4,922)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(58,541)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Benefit obligation at end of year (PBO/PBO/APBO)</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1,159,451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42,097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65,437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1,531,197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49,530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84,226</w:t>
            </w: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rPr>
                <w:sz w:val="20"/>
                <w:szCs w:val="20"/>
                <w:color w:val="auto"/>
              </w:rPr>
            </w:pPr>
            <w:r>
              <w:rPr>
                <w:rFonts w:ascii="Arial" w:cs="Arial" w:eastAsia="Arial" w:hAnsi="Arial"/>
                <w:sz w:val="14"/>
                <w:szCs w:val="14"/>
                <w:color w:val="auto"/>
              </w:rPr>
              <w:t>Change in plan assets:</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Market value of plan assets at beginning of year</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1,366,043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52,168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1,186,433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52,286</w:t>
            </w:r>
          </w:p>
        </w:tc>
        <w:tc>
          <w:tcPr>
            <w:tcW w:w="0" w:type="dxa"/>
            <w:vAlign w:val="bottom"/>
          </w:tcPr>
          <w:p>
            <w:pPr>
              <w:spacing w:after="0"/>
              <w:rPr>
                <w:sz w:val="1"/>
                <w:szCs w:val="1"/>
                <w:color w:val="auto"/>
              </w:rPr>
            </w:pPr>
          </w:p>
        </w:tc>
      </w:tr>
      <w:tr>
        <w:trPr>
          <w:trHeight w:val="182"/>
        </w:trPr>
        <w:tc>
          <w:tcPr>
            <w:tcW w:w="3540" w:type="dxa"/>
            <w:vAlign w:val="bottom"/>
          </w:tcPr>
          <w:p>
            <w:pPr>
              <w:ind w:left="140"/>
              <w:spacing w:after="0"/>
              <w:rPr>
                <w:sz w:val="20"/>
                <w:szCs w:val="20"/>
                <w:color w:val="auto"/>
              </w:rPr>
            </w:pPr>
            <w:r>
              <w:rPr>
                <w:rFonts w:ascii="Arial" w:cs="Arial" w:eastAsia="Arial" w:hAnsi="Arial"/>
                <w:sz w:val="14"/>
                <w:szCs w:val="14"/>
                <w:color w:val="auto"/>
              </w:rPr>
              <w:t>Actual return on plan assets</w:t>
            </w:r>
          </w:p>
        </w:tc>
        <w:tc>
          <w:tcPr>
            <w:tcW w:w="1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(330,203)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(6,036)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136,151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7,717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Employer contributions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56,000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3,164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102,000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2,814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40" w:type="dxa"/>
            <w:vAlign w:val="bottom"/>
          </w:tcPr>
          <w:p>
            <w:pPr>
              <w:ind w:left="140"/>
              <w:spacing w:after="0"/>
              <w:rPr>
                <w:sz w:val="20"/>
                <w:szCs w:val="20"/>
                <w:color w:val="auto"/>
              </w:rPr>
            </w:pPr>
            <w:r>
              <w:rPr>
                <w:rFonts w:ascii="Arial" w:cs="Arial" w:eastAsia="Arial" w:hAnsi="Arial"/>
                <w:sz w:val="14"/>
                <w:szCs w:val="14"/>
                <w:color w:val="auto"/>
              </w:rPr>
              <w:t>Benefits paid</w:t>
            </w:r>
          </w:p>
        </w:tc>
        <w:tc>
          <w:tcPr>
            <w:tcW w:w="1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(61,796)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(7,673)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(58,541)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Market value of plan assets at end of year</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1,030,044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38,459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1,366,043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52,168</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rPr>
                <w:sz w:val="20"/>
                <w:szCs w:val="20"/>
                <w:color w:val="auto"/>
              </w:rPr>
            </w:pPr>
            <w:r>
              <w:rPr>
                <w:rFonts w:ascii="Arial" w:cs="Arial" w:eastAsia="Arial" w:hAnsi="Arial"/>
                <w:sz w:val="14"/>
                <w:szCs w:val="14"/>
                <w:color w:val="auto"/>
              </w:rPr>
              <w:t>Funded status at year end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(129,407)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(42,097)</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(26,978)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(165,154)</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(49,530)</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(32,058)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Weighted-average assumptions (benefit obligation):</w:t>
            </w:r>
          </w:p>
        </w:tc>
        <w:tc>
          <w:tcPr>
            <w:tcW w:w="1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rate of compensation increase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funding for the plans above during calendar year 2023 is expected to be approximately $59 million, of which $56 million pertains to the retirement plan. Management monitors plan assets and liabilities and may, at its discretion, increase plan funding levels above the minimum in order to achieve a desired funded status and avoid or minimize potential benefit restrictions.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The accumulated benefit obligation for the retirement plan and the SERP is presented below:</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December 31,</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plan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1,395,773</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SERP</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46,885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Benefits expected to be paid for pension, SERP, and PBOP over the next 10 years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(Millions of dollars)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2028-2032</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SERP</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PBOP</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made that actual funding and benefits paid will match these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PBOP measurement purposes, the per capita cost of the covered health care benefits medical rate trend assumption is 6.0%, declining to 4.5%. Specific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regulated operations plant, and Deferred charges and other assets for both the Company and Southwest. The non-service cost components of net periodic benefit cost are reflected in Other income (deductions) on the Consolidated Statements of Income of each entity, based on accounting guidance for the presentation of such costs.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t>Components of net periodic benefit cost: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spacing w:after="0"/>
              <w:rPr>
                <w:sz w:val="17"/>
                <w:szCs w:val="17"/>
                <w:color w:val="auto"/>
              </w:rPr>
            </w:pPr>
          </w:p>
        </w:tc>
        <w:tc>
          <w:tcPr>
            <w:tcW w:w="3080" w:type="dxa"/>
            <w:vAlign w:val="bottom"/>
            <w:gridSpan w:val="6"/>
          </w:tcPr>
          <w:p>
            <w:pPr>
              <w:ind w:left="640"/>
              <w:spacing w:after="0"/>
              <w:rPr>
                <w:sz w:val="20"/>
                <w:szCs w:val="20"/>
                <w:color w:val="auto"/>
              </w:rPr>
            </w:pPr>
            <w:r>
              <w:rPr>
                <w:rFonts w:ascii="Arial" w:cs="Arial" w:eastAsia="Arial" w:hAnsi="Arial"/>
                <w:sz w:val="16"/>
                <w:szCs w:val="16"/>
                <w:color w:val="auto"/>
              </w:rPr>
              <w:t>Qualified Retirement Plan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6"/>
                <w:szCs w:val="16"/>
                <w:color w:val="auto"/>
              </w:rPr>
              <w:t>SERP</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6"/>
                <w:szCs w:val="16"/>
                <w:color w:val="auto"/>
              </w:rPr>
              <w:t>PBOP</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5"/>
              </w:rPr>
              <w:t>2020</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5"/>
              </w:rPr>
              <w:t>2020</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 cost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$44,110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$41,159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$34,299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$1,581</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45,006</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40,432</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45,555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1,441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1,431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1,604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2,452</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2,193</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2,582</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(79,913)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(72,352)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(65,296)</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(3,228)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(3,239)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(3,408)</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Amortization of prior service cost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175</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959</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1,155</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32,468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41,955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36,025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2,350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2,642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1,805</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7"/>
        </w:trPr>
        <w:tc>
          <w:tcPr>
            <w:tcW w:w="2600" w:type="dxa"/>
            <w:vAlign w:val="bottom"/>
          </w:tcPr>
          <w:p>
            <w:pPr>
              <w:ind w:left="140"/>
              <w:spacing w:after="0"/>
              <w:rPr>
                <w:sz w:val="20"/>
                <w:szCs w:val="20"/>
                <w:color w:val="auto"/>
              </w:rPr>
            </w:pPr>
            <w:r>
              <w:rPr>
                <w:rFonts w:ascii="Arial" w:cs="Arial" w:eastAsia="Arial" w:hAnsi="Arial"/>
                <w:sz w:val="16"/>
                <w:szCs w:val="16"/>
                <w:color w:val="auto"/>
              </w:rPr>
              <w:t>Net periodic benefit cost</w:t>
            </w: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$41,671</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$51,194</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$50,583</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$4,215</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$4,599</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$3,798</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$1,340</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$1,604</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$1,910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assumptions (net</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cost)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Discount rate</w:t>
            </w:r>
          </w:p>
        </w:tc>
        <w:tc>
          <w:tcPr>
            <w:tcW w:w="920" w:type="dxa"/>
            <w:vAlign w:val="bottom"/>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0" w:type="dxa"/>
            <w:vAlign w:val="bottom"/>
          </w:tcPr>
          <w:p>
            <w:pPr>
              <w:spacing w:after="0"/>
              <w:rPr>
                <w:sz w:val="1"/>
                <w:szCs w:val="1"/>
                <w:color w:val="auto"/>
              </w:rPr>
            </w:pPr>
          </w:p>
        </w:tc>
      </w:tr>
      <w:tr>
        <w:trPr>
          <w:trHeight w:val="166"/>
        </w:trPr>
        <w:tc>
          <w:tcPr>
            <w:tcW w:w="2600" w:type="dxa"/>
            <w:vAlign w:val="bottom"/>
          </w:tcPr>
          <w:p>
            <w:pPr>
              <w:ind w:left="140"/>
              <w:spacing w:after="0" w:line="166" w:lineRule="exact"/>
              <w:rPr>
                <w:sz w:val="20"/>
                <w:szCs w:val="20"/>
                <w:color w:val="auto"/>
              </w:rPr>
            </w:pPr>
            <w:r>
              <w:rPr>
                <w:rFonts w:ascii="Arial" w:cs="Arial" w:eastAsia="Arial" w:hAnsi="Arial"/>
                <w:sz w:val="16"/>
                <w:szCs w:val="16"/>
                <w:color w:val="auto"/>
              </w:rPr>
              <w:t>Weighted-average rate of</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600" w:type="dxa"/>
            <w:vAlign w:val="bottom"/>
          </w:tcPr>
          <w:p>
            <w:pPr>
              <w:ind w:left="300"/>
              <w:spacing w:after="0"/>
              <w:rPr>
                <w:sz w:val="20"/>
                <w:szCs w:val="20"/>
                <w:color w:val="auto"/>
              </w:rPr>
            </w:pPr>
            <w:r>
              <w:rPr>
                <w:rFonts w:ascii="Arial" w:cs="Arial" w:eastAsia="Arial" w:hAnsi="Arial"/>
                <w:sz w:val="16"/>
                <w:szCs w:val="16"/>
                <w:color w:val="auto"/>
              </w:rPr>
              <w:t>compensation increase</w:t>
            </w: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Net Periodic Benefit Cost and Other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color w:val="auto"/>
              </w:rPr>
              <w:t>Year Ended December 31,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2022</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2021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2020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3"/>
              </w:rPr>
              <w:t>Qualified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9"/>
              </w:rPr>
              <w:t>Qualified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9"/>
              </w:rPr>
              <w:t>Qualified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4" w:lineRule="exact"/>
              <w:rPr>
                <w:sz w:val="20"/>
                <w:szCs w:val="20"/>
                <w:color w:val="auto"/>
              </w:rPr>
            </w:pPr>
            <w:r>
              <w:rPr>
                <w:rFonts w:ascii="Arial" w:cs="Arial" w:eastAsia="Arial" w:hAnsi="Arial"/>
                <w:sz w:val="13"/>
                <w:szCs w:val="13"/>
                <w:color w:val="auto"/>
                <w:w w:val="88"/>
              </w:rPr>
              <w:t>Retirement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4" w:lineRule="exact"/>
              <w:rPr>
                <w:sz w:val="20"/>
                <w:szCs w:val="20"/>
                <w:color w:val="auto"/>
              </w:rPr>
            </w:pPr>
            <w:r>
              <w:rPr>
                <w:rFonts w:ascii="Arial" w:cs="Arial" w:eastAsia="Arial" w:hAnsi="Arial"/>
                <w:sz w:val="13"/>
                <w:szCs w:val="13"/>
                <w:color w:val="auto"/>
                <w:w w:val="88"/>
              </w:rPr>
              <w:t>Retirement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4" w:lineRule="exact"/>
              <w:rPr>
                <w:sz w:val="20"/>
                <w:szCs w:val="20"/>
                <w:color w:val="auto"/>
              </w:rPr>
            </w:pPr>
            <w:r>
              <w:rPr>
                <w:rFonts w:ascii="Arial" w:cs="Arial" w:eastAsia="Arial" w:hAnsi="Arial"/>
                <w:sz w:val="13"/>
                <w:szCs w:val="13"/>
                <w:color w:val="auto"/>
                <w:w w:val="88"/>
              </w:rPr>
              <w:t>Retirement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00" w:type="dxa"/>
            <w:vAlign w:val="bottom"/>
          </w:tcPr>
          <w:p>
            <w:pPr>
              <w:ind w:left="80"/>
              <w:spacing w:after="0"/>
              <w:rPr>
                <w:sz w:val="20"/>
                <w:szCs w:val="20"/>
                <w:color w:val="auto"/>
              </w:rPr>
            </w:pPr>
            <w:r>
              <w:rPr>
                <w:rFonts w:ascii="Arial" w:cs="Arial" w:eastAsia="Arial" w:hAnsi="Arial"/>
                <w:sz w:val="13"/>
                <w:szCs w:val="13"/>
                <w:color w:val="auto"/>
              </w:rPr>
              <w:t>(Thousands of dollars)</w:t>
            </w: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color w:val="auto"/>
                <w:w w:val="84"/>
              </w:rPr>
              <w:t>Plan</w:t>
            </w: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auto"/>
              </w:rPr>
              <w:t>SERP</w:t>
            </w:r>
          </w:p>
        </w:tc>
        <w:tc>
          <w:tcPr>
            <w:tcW w:w="1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color w:val="auto"/>
              </w:rPr>
              <w:t>PBOP</w:t>
            </w: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Plan</w:t>
            </w:r>
          </w:p>
        </w:tc>
        <w:tc>
          <w:tcPr>
            <w:tcW w:w="1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SERP</w:t>
            </w:r>
          </w:p>
        </w:tc>
        <w:tc>
          <w:tcPr>
            <w:tcW w:w="1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PBOP</w:t>
            </w: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Plan</w:t>
            </w:r>
          </w:p>
        </w:tc>
        <w:tc>
          <w:tcPr>
            <w:tcW w:w="1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color w:val="auto"/>
              </w:rPr>
              <w:t>SERP</w:t>
            </w:r>
          </w:p>
        </w:tc>
        <w:tc>
          <w:tcPr>
            <w:tcW w:w="140" w:type="dxa"/>
            <w:vAlign w:val="bottom"/>
          </w:tcPr>
          <w:p>
            <w:pPr>
              <w:spacing w:after="0"/>
              <w:rPr>
                <w:sz w:val="14"/>
                <w:szCs w:val="14"/>
                <w:color w:val="auto"/>
              </w:rPr>
            </w:pPr>
          </w:p>
        </w:tc>
        <w:tc>
          <w:tcPr>
            <w:tcW w:w="500" w:type="dxa"/>
            <w:vAlign w:val="bottom"/>
          </w:tcPr>
          <w:p>
            <w:pPr>
              <w:jc w:val="right"/>
              <w:ind w:right="89"/>
              <w:spacing w:after="0"/>
              <w:rPr>
                <w:sz w:val="20"/>
                <w:szCs w:val="20"/>
                <w:color w:val="auto"/>
              </w:rPr>
            </w:pPr>
            <w:r>
              <w:rPr>
                <w:rFonts w:ascii="Arial" w:cs="Arial" w:eastAsia="Arial" w:hAnsi="Arial"/>
                <w:sz w:val="13"/>
                <w:szCs w:val="13"/>
                <w:color w:val="auto"/>
                <w:w w:val="88"/>
              </w:rPr>
              <w:t>PBOP</w:t>
            </w:r>
          </w:p>
        </w:tc>
        <w:tc>
          <w:tcPr>
            <w:tcW w:w="0" w:type="dxa"/>
            <w:vAlign w:val="bottom"/>
          </w:tcPr>
          <w:p>
            <w:pPr>
              <w:spacing w:after="0"/>
              <w:rPr>
                <w:sz w:val="1"/>
                <w:szCs w:val="1"/>
                <w:color w:val="auto"/>
              </w:rPr>
            </w:pPr>
          </w:p>
        </w:tc>
      </w:tr>
      <w:tr>
        <w:trPr>
          <w:trHeight w:val="130"/>
        </w:trPr>
        <w:tc>
          <w:tcPr>
            <w:tcW w:w="170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Net actuarial loss</w:t>
            </w: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11,049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(8,995)</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(59,176)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(54,892)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57,539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45,665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7,240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4,634</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(a)</w:t>
            </w:r>
          </w:p>
        </w:tc>
        <w:tc>
          <w:tcPr>
            <w:tcW w:w="1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prior</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88"/>
        </w:trPr>
        <w:tc>
          <w:tcPr>
            <w:tcW w:w="1700" w:type="dxa"/>
            <w:vAlign w:val="bottom"/>
          </w:tcPr>
          <w:p>
            <w:pPr>
              <w:ind w:left="100"/>
              <w:spacing w:after="0"/>
              <w:rPr>
                <w:sz w:val="20"/>
                <w:szCs w:val="20"/>
                <w:color w:val="auto"/>
              </w:rPr>
            </w:pPr>
            <w:r>
              <w:rPr>
                <w:rFonts w:ascii="Arial" w:cs="Arial" w:eastAsia="Arial" w:hAnsi="Arial"/>
                <w:sz w:val="14"/>
                <w:szCs w:val="14"/>
                <w:color w:val="auto"/>
              </w:rPr>
              <w:t>service cost (b)</w:t>
            </w: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net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(37,830)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actuarial loss (b)</w:t>
            </w: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Regulatory adjustment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19,062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123"/>
        </w:trPr>
        <w:tc>
          <w:tcPr>
            <w:tcW w:w="1700" w:type="dxa"/>
            <w:vAlign w:val="bottom"/>
          </w:tcPr>
          <w:p>
            <w:pPr>
              <w:ind w:left="20"/>
              <w:spacing w:after="0" w:line="123" w:lineRule="exact"/>
              <w:rPr>
                <w:sz w:val="20"/>
                <w:szCs w:val="20"/>
                <w:color w:val="auto"/>
              </w:rPr>
            </w:pPr>
            <w:r>
              <w:rPr>
                <w:rFonts w:ascii="Arial" w:cs="Arial" w:eastAsia="Arial" w:hAnsi="Arial"/>
                <w:sz w:val="14"/>
                <w:szCs w:val="14"/>
                <w:color w:val="auto"/>
              </w:rPr>
              <w:t>Recognized in other</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100"/>
              <w:spacing w:after="0" w:line="141" w:lineRule="exact"/>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(10,840)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(8,483)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(10,651)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(5,887)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11,119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5,435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ind w:left="100"/>
              <w:spacing w:after="0"/>
              <w:rPr>
                <w:sz w:val="20"/>
                <w:szCs w:val="20"/>
                <w:color w:val="auto"/>
              </w:rPr>
            </w:pPr>
            <w:r>
              <w:rPr>
                <w:rFonts w:ascii="Arial" w:cs="Arial" w:eastAsia="Arial" w:hAnsi="Arial"/>
                <w:sz w:val="14"/>
                <w:szCs w:val="14"/>
                <w:color w:val="auto"/>
              </w:rPr>
              <w:t>loss</w:t>
            </w: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periodic benefit costs</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3,798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recognized in net income</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700" w:type="dxa"/>
            <w:vAlign w:val="bottom"/>
          </w:tcPr>
          <w:p>
            <w:pPr>
              <w:ind w:left="20"/>
              <w:spacing w:after="0" w:line="123" w:lineRule="exact"/>
              <w:rPr>
                <w:sz w:val="20"/>
                <w:szCs w:val="20"/>
                <w:color w:val="auto"/>
              </w:rPr>
            </w:pPr>
            <w:r>
              <w:rPr>
                <w:rFonts w:ascii="Arial" w:cs="Arial" w:eastAsia="Arial" w:hAnsi="Arial"/>
                <w:sz w:val="14"/>
                <w:szCs w:val="14"/>
                <w:color w:val="auto"/>
              </w:rPr>
              <w:t>Total of amount</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100"/>
              <w:spacing w:after="0" w:line="141" w:lineRule="exact"/>
              <w:rPr>
                <w:sz w:val="20"/>
                <w:szCs w:val="20"/>
                <w:color w:val="auto"/>
              </w:rPr>
            </w:pPr>
            <w:r>
              <w:rPr>
                <w:rFonts w:ascii="Arial" w:cs="Arial" w:eastAsia="Arial" w:hAnsi="Arial"/>
                <w:sz w:val="14"/>
                <w:szCs w:val="14"/>
                <w:color w:val="auto"/>
              </w:rPr>
              <w:t>recognized in net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100"/>
              <w:spacing w:after="0" w:line="143" w:lineRule="exact"/>
              <w:rPr>
                <w:sz w:val="20"/>
                <w:szCs w:val="20"/>
                <w:color w:val="auto"/>
              </w:rPr>
            </w:pPr>
            <w:r>
              <w:rPr>
                <w:rFonts w:ascii="Arial" w:cs="Arial" w:eastAsia="Arial" w:hAnsi="Arial"/>
                <w:sz w:val="14"/>
                <w:szCs w:val="14"/>
                <w:color w:val="auto"/>
              </w:rPr>
              <w:t>periodic benefit cost and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00"/>
              <w:spacing w:after="0" w:line="149" w:lineRule="exact"/>
              <w:rPr>
                <w:sz w:val="20"/>
                <w:szCs w:val="20"/>
                <w:color w:val="auto"/>
              </w:rPr>
            </w:pPr>
            <w:r>
              <w:rPr>
                <w:rFonts w:ascii="Arial" w:cs="Arial" w:eastAsia="Arial" w:hAnsi="Arial"/>
                <w:sz w:val="14"/>
                <w:szCs w:val="14"/>
                <w:color w:val="auto"/>
              </w:rPr>
              <w:t>other comprehensive</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36,386</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39,314</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(4,268)</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1,340</w:t>
            </w:r>
          </w:p>
        </w:tc>
        <w:tc>
          <w:tcPr>
            <w:tcW w:w="8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40,859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40,543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67,410</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56,267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9,233</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172"/>
        </w:trPr>
        <w:tc>
          <w:tcPr>
            <w:tcW w:w="1700" w:type="dxa"/>
            <w:vAlign w:val="bottom"/>
          </w:tcPr>
          <w:p>
            <w:pPr>
              <w:ind w:left="100"/>
              <w:spacing w:after="0"/>
              <w:rPr>
                <w:sz w:val="20"/>
                <w:szCs w:val="20"/>
                <w:color w:val="auto"/>
              </w:rPr>
            </w:pPr>
            <w:r>
              <w:rPr>
                <w:rFonts w:ascii="Arial" w:cs="Arial" w:eastAsia="Arial" w:hAnsi="Arial"/>
                <w:sz w:val="14"/>
                <w:szCs w:val="14"/>
                <w:color w:val="auto"/>
              </w:rPr>
              <w:t>(income) loss</w:t>
            </w:r>
          </w:p>
        </w:tc>
        <w:tc>
          <w:tcPr>
            <w:tcW w:w="1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80"/>
        <w:spacing w:after="0" w:line="286" w:lineRule="auto"/>
        <w:rPr>
          <w:sz w:val="20"/>
          <w:szCs w:val="20"/>
          <w:color w:val="auto"/>
        </w:rPr>
      </w:pPr>
      <w:r>
        <w:rPr>
          <w:rFonts w:ascii="Arial" w:cs="Arial" w:eastAsia="Arial" w:hAnsi="Arial"/>
          <w:sz w:val="15"/>
          <w:szCs w:val="15"/>
          <w:color w:val="auto"/>
        </w:rPr>
        <w:t xml:space="preserve">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 See also </w:t>
      </w:r>
      <w:r>
        <w:rPr>
          <w:rFonts w:ascii="Arial" w:cs="Arial" w:eastAsia="Arial" w:hAnsi="Arial"/>
          <w:sz w:val="15"/>
          <w:szCs w:val="15"/>
          <w:b w:val="1"/>
          <w:bCs w:val="1"/>
          <w:color w:val="auto"/>
        </w:rPr>
        <w:t>Note 6 - Other Comprehensive Income and Accumulated Other Comprehensive Income ("AOCI")</w:t>
      </w:r>
      <w:r>
        <w:rPr>
          <w:rFonts w:ascii="Arial" w:cs="Arial" w:eastAsia="Arial" w:hAnsi="Arial"/>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9" w:name="page340"/>
    <w:bookmarkEnd w:id="339"/>
    <w:p>
      <w:pPr>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the fair values of the assets of the qualified pension plan and the PBOP as of December 31, 2022 and 2021. The SERP has no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color w:val="auto"/>
              </w:rPr>
              <w:t>December 31,</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4"/>
              </w:rPr>
              <w:t>Qualified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4"/>
              </w:rPr>
              <w:t>Qualified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16"/>
                <w:szCs w:val="16"/>
                <w:color w:val="auto"/>
              </w:rPr>
              <w:t>(Thousands of dollars)</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1"/>
              </w:rPr>
              <w:t>Retirement</w:t>
            </w:r>
          </w:p>
        </w:tc>
        <w:tc>
          <w:tcPr>
            <w:tcW w:w="16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color w:val="auto"/>
              </w:rPr>
              <w:t>PBOP</w:t>
            </w:r>
          </w:p>
        </w:tc>
        <w:tc>
          <w:tcPr>
            <w:tcW w:w="22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1"/>
              </w:rPr>
              <w:t>Retirement</w:t>
            </w:r>
          </w:p>
        </w:tc>
        <w:tc>
          <w:tcPr>
            <w:tcW w:w="16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color w:val="auto"/>
              </w:rPr>
              <w:t>PBOP</w:t>
            </w:r>
          </w:p>
        </w:tc>
        <w:tc>
          <w:tcPr>
            <w:tcW w:w="220" w:type="dxa"/>
            <w:vAlign w:val="bottom"/>
          </w:tcPr>
          <w:p>
            <w:pPr>
              <w:spacing w:after="0"/>
              <w:rPr>
                <w:sz w:val="14"/>
                <w:szCs w:val="14"/>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Plan</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Plan</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at fair value:</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w w:val="96"/>
              </w:rPr>
              <w:t>Level 1 – Quoted prices in active markets for identical financial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35,194</w:t>
            </w:r>
          </w:p>
        </w:tc>
        <w:tc>
          <w:tcPr>
            <w:tcW w:w="0" w:type="dxa"/>
            <w:vAlign w:val="bottom"/>
          </w:tcPr>
          <w:p>
            <w:pPr>
              <w:spacing w:after="0"/>
              <w:rPr>
                <w:sz w:val="1"/>
                <w:szCs w:val="1"/>
                <w:color w:val="auto"/>
              </w:rPr>
            </w:pPr>
          </w:p>
        </w:tc>
      </w:tr>
      <w:tr>
        <w:trPr>
          <w:trHeight w:val="206"/>
        </w:trPr>
        <w:tc>
          <w:tcPr>
            <w:tcW w:w="4780" w:type="dxa"/>
            <w:vAlign w:val="bottom"/>
          </w:tcPr>
          <w:p>
            <w:pPr>
              <w:ind w:left="20"/>
              <w:spacing w:after="0"/>
              <w:rPr>
                <w:sz w:val="20"/>
                <w:szCs w:val="20"/>
                <w:color w:val="auto"/>
              </w:rPr>
            </w:pPr>
            <w:r>
              <w:rPr>
                <w:rFonts w:ascii="Arial" w:cs="Arial" w:eastAsia="Arial" w:hAnsi="Arial"/>
                <w:sz w:val="16"/>
                <w:szCs w:val="16"/>
                <w:color w:val="auto"/>
              </w:rPr>
              <w:t>Total Level 1 Assets (1)</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35,194</w:t>
            </w:r>
          </w:p>
        </w:tc>
        <w:tc>
          <w:tcPr>
            <w:tcW w:w="0" w:type="dxa"/>
            <w:vAlign w:val="bottom"/>
          </w:tcPr>
          <w:p>
            <w:pPr>
              <w:spacing w:after="0"/>
              <w:rPr>
                <w:sz w:val="1"/>
                <w:szCs w:val="1"/>
                <w:color w:val="auto"/>
              </w:rPr>
            </w:pP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2 – Significant other observable inputs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Commingled trust equity funds (2)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Global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378,474</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117,976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160,384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equity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282,448</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Emerging markets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82,999</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Commingled trust fixed income funds (3)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469,572</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Pooled funds and mutual funds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Government fixed income and mortgage 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Level 2 assets (4)</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1,027,668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1,034,496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1,363,580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1,380,554</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Plan assets at fair value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1,027,668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1,415,748</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Insurance company general account contracts (5)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Plan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1,030,044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1,366,043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1,418,211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180" w:hanging="10"/>
        <w:spacing w:after="0" w:line="258" w:lineRule="auto"/>
        <w:tabs>
          <w:tab w:leader="none" w:pos="666"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Mutual funds category above is a balanced fund that invests in a diversified portfolio of common stocks, preferred stocks, and fixed-income securities. Under normal circumstances the balanced fund will hold no more than 75%, and no less than 25%, of its total assets in equity securities. The fund seeks regular income, conservation of principal, and an opportunity for long-term growth of principal and income.</w:t>
      </w:r>
    </w:p>
    <w:p>
      <w:pPr>
        <w:spacing w:after="0" w:line="1" w:lineRule="exact"/>
        <w:rPr>
          <w:rFonts w:ascii="Arial" w:cs="Arial" w:eastAsia="Arial" w:hAnsi="Arial"/>
          <w:sz w:val="16"/>
          <w:szCs w:val="16"/>
          <w:color w:val="auto"/>
        </w:rPr>
      </w:pPr>
    </w:p>
    <w:p>
      <w:pPr>
        <w:jc w:val="both"/>
        <w:ind w:left="180" w:right="20" w:hanging="10"/>
        <w:spacing w:after="0" w:line="253" w:lineRule="auto"/>
        <w:tabs>
          <w:tab w:leader="none" w:pos="666"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commingled trust equity funds include common collective trusts that invest in a diversified portfolio of securities regularly traded on securities exchanges. These funds are shown in the above table at net asset value (“NAV”), which is the value of securities in the fund less the amount of any liabilities outstanding. Strategies employed by the funds include investment in:</w:t>
      </w:r>
    </w:p>
    <w:p>
      <w:pPr>
        <w:spacing w:after="0" w:line="1" w:lineRule="exact"/>
        <w:rPr>
          <w:rFonts w:ascii="Arial" w:cs="Arial" w:eastAsia="Arial" w:hAnsi="Arial"/>
          <w:sz w:val="16"/>
          <w:szCs w:val="16"/>
          <w:color w:val="auto"/>
        </w:rPr>
      </w:pPr>
    </w:p>
    <w:p>
      <w:pPr>
        <w:ind w:left="1300" w:hanging="482"/>
        <w:spacing w:after="0"/>
        <w:tabs>
          <w:tab w:leader="none" w:pos="130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Global equities, including domestic equities</w:t>
      </w:r>
    </w:p>
    <w:p>
      <w:pPr>
        <w:spacing w:after="0" w:line="15" w:lineRule="exact"/>
        <w:rPr>
          <w:rFonts w:ascii="Arial" w:cs="Arial" w:eastAsia="Arial" w:hAnsi="Arial"/>
          <w:sz w:val="16"/>
          <w:szCs w:val="16"/>
          <w:color w:val="auto"/>
        </w:rPr>
      </w:pPr>
    </w:p>
    <w:p>
      <w:pPr>
        <w:ind w:left="1300" w:hanging="482"/>
        <w:spacing w:after="0"/>
        <w:tabs>
          <w:tab w:leader="none" w:pos="130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International developed countries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Domestic equities</w:t>
      </w:r>
    </w:p>
    <w:p>
      <w:pPr>
        <w:spacing w:after="0" w:line="8" w:lineRule="exact"/>
        <w:rPr>
          <w:rFonts w:ascii="Arial" w:cs="Arial" w:eastAsia="Arial" w:hAnsi="Arial"/>
          <w:sz w:val="16"/>
          <w:szCs w:val="16"/>
          <w:color w:val="auto"/>
        </w:rPr>
      </w:pPr>
    </w:p>
    <w:p>
      <w:pPr>
        <w:ind w:left="1300" w:hanging="482"/>
        <w:spacing w:after="0"/>
        <w:tabs>
          <w:tab w:leader="none" w:pos="130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Emerging markets equities</w:t>
      </w:r>
    </w:p>
    <w:p>
      <w:pPr>
        <w:spacing w:after="0" w:line="15" w:lineRule="exact"/>
        <w:rPr>
          <w:sz w:val="20"/>
          <w:szCs w:val="20"/>
          <w:color w:val="auto"/>
        </w:rPr>
      </w:pPr>
    </w:p>
    <w:p>
      <w:pPr>
        <w:jc w:val="both"/>
        <w:ind w:left="180"/>
        <w:spacing w:after="0" w:line="256" w:lineRule="auto"/>
        <w:rPr>
          <w:sz w:val="20"/>
          <w:szCs w:val="20"/>
          <w:color w:val="auto"/>
        </w:rPr>
      </w:pPr>
      <w:r>
        <w:rPr>
          <w:rFonts w:ascii="Arial" w:cs="Arial" w:eastAsia="Arial" w:hAnsi="Arial"/>
          <w:sz w:val="16"/>
          <w:szCs w:val="16"/>
          <w:color w:val="auto"/>
        </w:rPr>
        <w:t>Shares in the commingled trust equity funds may be redeemed given one business day notice. While they are trust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in the fair value hierarchy and are therefore not excluded from the body of the fair value table as a reconciling item.</w:t>
      </w:r>
    </w:p>
    <w:p>
      <w:pPr>
        <w:spacing w:after="0" w:line="38" w:lineRule="exact"/>
        <w:rPr>
          <w:sz w:val="20"/>
          <w:szCs w:val="20"/>
          <w:color w:val="auto"/>
        </w:rPr>
      </w:pPr>
    </w:p>
    <w:p>
      <w:pPr>
        <w:jc w:val="both"/>
        <w:ind w:left="180" w:right="20"/>
        <w:spacing w:after="0" w:line="309" w:lineRule="auto"/>
        <w:rPr>
          <w:sz w:val="20"/>
          <w:szCs w:val="20"/>
          <w:color w:val="auto"/>
        </w:rPr>
      </w:pPr>
      <w:r>
        <w:rPr>
          <w:rFonts w:ascii="Arial" w:cs="Arial" w:eastAsia="Arial" w:hAnsi="Arial"/>
          <w:sz w:val="15"/>
          <w:szCs w:val="15"/>
          <w:color w:val="auto"/>
        </w:rPr>
        <w:t>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 w:lineRule="exact"/>
        <w:rPr>
          <w:sz w:val="20"/>
          <w:szCs w:val="20"/>
          <w:color w:val="auto"/>
        </w:rPr>
      </w:pPr>
    </w:p>
    <w:p>
      <w:pPr>
        <w:jc w:val="both"/>
        <w:ind w:left="180"/>
        <w:spacing w:after="0" w:line="300" w:lineRule="auto"/>
        <w:rPr>
          <w:sz w:val="20"/>
          <w:szCs w:val="20"/>
          <w:color w:val="auto"/>
        </w:rPr>
      </w:pPr>
      <w:r>
        <w:rPr>
          <w:rFonts w:ascii="Arial" w:cs="Arial" w:eastAsia="Arial" w:hAnsi="Arial"/>
          <w:sz w:val="15"/>
          <w:szCs w:val="15"/>
          <w:color w:val="auto"/>
        </w:rPr>
        <w:t>The international fund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w:t>
      </w:r>
    </w:p>
    <w:p>
      <w:pPr>
        <w:spacing w:after="0" w:line="1" w:lineRule="exact"/>
        <w:rPr>
          <w:sz w:val="20"/>
          <w:szCs w:val="20"/>
          <w:color w:val="auto"/>
        </w:rPr>
      </w:pPr>
    </w:p>
    <w:p>
      <w:pPr>
        <w:jc w:val="both"/>
        <w:ind w:left="180"/>
        <w:spacing w:after="0" w:line="268" w:lineRule="auto"/>
        <w:rPr>
          <w:sz w:val="20"/>
          <w:szCs w:val="20"/>
          <w:color w:val="auto"/>
        </w:rPr>
      </w:pPr>
      <w:r>
        <w:rPr>
          <w:rFonts w:ascii="Arial" w:cs="Arial" w:eastAsia="Arial" w:hAnsi="Arial"/>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15" w:lineRule="exact"/>
        <w:rPr>
          <w:sz w:val="20"/>
          <w:szCs w:val="20"/>
          <w:color w:val="auto"/>
        </w:rPr>
      </w:pPr>
    </w:p>
    <w:p>
      <w:pPr>
        <w:jc w:val="both"/>
        <w:ind w:left="180"/>
        <w:spacing w:after="0" w:line="258" w:lineRule="auto"/>
        <w:rPr>
          <w:sz w:val="20"/>
          <w:szCs w:val="20"/>
          <w:color w:val="auto"/>
        </w:rPr>
      </w:pPr>
      <w:r>
        <w:rPr>
          <w:rFonts w:ascii="Arial" w:cs="Arial" w:eastAsia="Arial" w:hAnsi="Arial"/>
          <w:sz w:val="16"/>
          <w:szCs w:val="16"/>
          <w:color w:val="auto"/>
        </w:rPr>
        <w:t>The emerging markets fund invests in countries defined as an emerging market country. Fund investments are made directly in each country or, where direct investment is inefficient or prohibited, through appropriate financial instruments or participation in commingled funds. Major emerging markets include Brazil, India, China, and other developing countries around the world.</w:t>
      </w:r>
    </w:p>
    <w:p>
      <w:pPr>
        <w:spacing w:after="0" w:line="1" w:lineRule="exact"/>
        <w:rPr>
          <w:sz w:val="20"/>
          <w:szCs w:val="20"/>
          <w:color w:val="auto"/>
        </w:rPr>
      </w:pPr>
    </w:p>
    <w:p>
      <w:pPr>
        <w:jc w:val="both"/>
        <w:ind w:left="180" w:hanging="10"/>
        <w:spacing w:after="0" w:line="260" w:lineRule="auto"/>
        <w:tabs>
          <w:tab w:leader="none" w:pos="66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 commingled trust fixed income funds consist primarily of fixed income debt securities issued by the U.S. Treasury, government agencies, and fixed income debt securities issued by corporations. The fixed income fund investments may include the use of high yield, international fixed income securities and other instruments, including derivatives, to ensure prudent diversification over a broad spectrum</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0" w:name="page341"/>
    <w:bookmarkEnd w:id="340"/>
    <w:p>
      <w:pPr>
        <w:ind w:left="180"/>
        <w:spacing w:after="0"/>
        <w:rPr>
          <w:sz w:val="20"/>
          <w:szCs w:val="20"/>
          <w:color w:val="auto"/>
        </w:rPr>
      </w:pPr>
      <w:r>
        <w:rPr>
          <w:rFonts w:ascii="Arial" w:cs="Arial" w:eastAsia="Arial" w:hAnsi="Arial"/>
          <w:sz w:val="14"/>
          <w:szCs w:val="14"/>
          <w:color w:val="auto"/>
        </w:rPr>
        <w:t>of investments. The changes in the value of the fixed income funds are intended to offset the changes in the pension plan liabilities due to changes in the discount rate.</w:t>
      </w:r>
    </w:p>
    <w:p>
      <w:pPr>
        <w:spacing w:after="0" w:line="82" w:lineRule="exact"/>
        <w:rPr>
          <w:sz w:val="20"/>
          <w:szCs w:val="20"/>
          <w:color w:val="auto"/>
        </w:rPr>
      </w:pPr>
    </w:p>
    <w:p>
      <w:pPr>
        <w:jc w:val="both"/>
        <w:ind w:left="180"/>
        <w:spacing w:after="0" w:line="259" w:lineRule="auto"/>
        <w:rPr>
          <w:sz w:val="20"/>
          <w:szCs w:val="20"/>
          <w:color w:val="auto"/>
        </w:rPr>
      </w:pPr>
      <w:r>
        <w:rPr>
          <w:rFonts w:ascii="Arial" w:cs="Arial" w:eastAsia="Arial" w:hAnsi="Arial"/>
          <w:sz w:val="16"/>
          <w:szCs w:val="16"/>
          <w:color w:val="auto"/>
        </w:rPr>
        <w:t>These funds are shown in the above table at NAV. Investments in the commingled trust fixed equity funds may be redeemed given one business day notice. While they are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spacing w:after="0" w:line="3" w:lineRule="exact"/>
        <w:rPr>
          <w:sz w:val="20"/>
          <w:szCs w:val="20"/>
          <w:color w:val="auto"/>
        </w:rPr>
      </w:pPr>
    </w:p>
    <w:p>
      <w:pPr>
        <w:ind w:left="180" w:hanging="10"/>
        <w:spacing w:after="0" w:line="248" w:lineRule="auto"/>
        <w:tabs>
          <w:tab w:leader="none" w:pos="666" w:val="left"/>
        </w:tabs>
        <w:numPr>
          <w:ilvl w:val="0"/>
          <w:numId w:val="511"/>
        </w:numPr>
        <w:rPr>
          <w:rFonts w:ascii="Arial" w:cs="Arial" w:eastAsia="Arial" w:hAnsi="Arial"/>
          <w:sz w:val="16"/>
          <w:szCs w:val="16"/>
          <w:color w:val="auto"/>
        </w:rPr>
      </w:pPr>
      <w:r>
        <w:rPr>
          <w:rFonts w:ascii="Arial" w:cs="Arial" w:eastAsia="Arial" w:hAnsi="Arial"/>
          <w:sz w:val="16"/>
          <w:szCs w:val="16"/>
          <w:color w:val="auto"/>
        </w:rPr>
        <w:t>With the exception of items (2) and (3), which are discussed above, the Level 2 assets consist mainly of pooled funds and mutual funds. These funds are collective short-term funds that invest in Treasury bills and money market funds and are used as a temporary cash repository.</w:t>
      </w:r>
    </w:p>
    <w:p>
      <w:pPr>
        <w:spacing w:after="0" w:line="1" w:lineRule="exact"/>
        <w:rPr>
          <w:rFonts w:ascii="Arial" w:cs="Arial" w:eastAsia="Arial" w:hAnsi="Arial"/>
          <w:sz w:val="16"/>
          <w:szCs w:val="16"/>
          <w:color w:val="auto"/>
        </w:rPr>
      </w:pPr>
    </w:p>
    <w:p>
      <w:pPr>
        <w:ind w:left="180" w:right="20" w:hanging="10"/>
        <w:spacing w:after="0" w:line="270" w:lineRule="auto"/>
        <w:tabs>
          <w:tab w:leader="none" w:pos="666"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Centuri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offers defined contribution plans under Section 401(k) of the Internal Revenue Code to its eligible employees, regardless of whether they are covered under collective-bargaining agreements. Eligibility requirements vary, as does timing of participation, matching, vesting, and profit-sharing features of the plans. Contributions by Centuri to these plans for the years ended December 31, 2022, 2021, and 2020 were $13 million, $9 million, and $9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Centuri sponsors a nonqualified deferred compensation plan that is offered to a select group of management and highly-compensated employees. The plan allows participants to defer up to 80% of base salary and provides a match of 100% of contributions up to 5% of a participant’s salary. The plan also allows Centuri, at its election, to credit participant accounts with discretionary contributions. Participants are 100% vested in salary deferrals, contributions, and all earnings. Participant accounts include a return based on the performance of the underlying investment options selected. Payments from the plan are designated at each annual enrollment period based on specified triggering events and are payable by lump sum or on an annual installment basis.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Centuri makes defined contributions to several multiemployer defined benefit pension plans under the terms of collective bargaining agreements (“CBAs”) with various unions representing certain employees. Contribution rates are generally specified in the CBAs and are made to the plans on a “pay-as-you-go” basis. Such contributions correspond to the number of union employees and the particular plans in which they participate, and vary depending upon the location, number of ongoing projects, and the need for union resources in connection with those projects.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of participating in multiemployer plans are different from single-employer plans, including: (i) assets contributed to the multiemployer plan by one employer may be used to provide benefits to employees of other participating employers; (ii) if a participating employer stops contributing to the multiemployer plan, the unfunded obligations of the plan may become the obligation of the remaining participating employers; and (iii) if a participating employer chooses to stop participating in these multiemployer plans, the employer may be required to pay those plans an amount based on the underfunded status of the plan.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Protection Act of 2006 requires special funding and operational rules for multiemployer plans in the U.S., including classification of the plans (based on multiple factors, including the funded status of the plan), the most severe of which is “critical.” Depending upon the classification, plans may be required to adopt measures to improve their funded status through a funding improvement or rehabilitation plan, which may require additional contributions from employers (in the form of a surcharge on benefit contributions) and/or modification of retiree benefits. The amount of additional funds, if any, that Centuri may be obligated to contribute to these plans in the future cannot be estimated due to the uncertainty regarding future levels of work that may require the utilization of union employees covered by these plans, as well as uncertainty as to the future contribution levels and possible surcharges on contributions that may apply to these plans at that time.</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Centuri contributed $71 million, $57.4 million, and $44.3 million collectively to the plans for the years ended December 31, 2022, 2021, and 2020, respectively. Substantially all of the contributions made by Centuri during these years were to U.S. plans that were not classified as critical, and for which no special surcharges were assessed. Eight plans were classified as critical and required special surcharges; the aggregate contributions to these plans were $3.8 million for the year ended December 31, 2022 and were insignificant during the periods ending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Southwest Gas Holdings, Inc.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income (loss) before taxes and noncontrolling interests for domestic and foreign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282,489</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(loss)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304,738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44,547</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Property-related items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50,504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Alternative minimum tax</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 deferred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federal and 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46,235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ITC,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above and below to Deferred payroll taxes relate to the employer portion of Social Security tax, for which deferment of remittance was permissible under the Coronavirus Aid, Relief, and Economic Security (“CARES”) Act.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2" w:name="page343"/>
    <w:bookmarkEnd w:id="342"/>
    <w:p>
      <w:pPr>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state taxes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Company-owned life insurance</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excess deferred taxes</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All other differences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effective income tax rate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109,093</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116,496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39,181</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223,557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102,853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payroll taxes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Lease-related item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13,197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498,209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290,583</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873,328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843,559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77,818</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97,860</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Lease-related item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17,254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28,275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1,180,194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1,059,330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noncurrent deferred tax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681,985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768,747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noncurrent deferred tax liabilities above at December 31, 2022 and 2021 are reflected net of $82,000 and $121,000 of noncurrent deferred tax assets associated with the Company’s Canadian operations, which are shown separately on the Company’s Consolidated Balance Sheets.</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Gross increases – tax positions in prior period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 current period tax positions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Gross decreases – current period tax 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Lapse in statute of limitations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Southwest Gas Corporation</w:t>
            </w:r>
            <w:r>
              <w:rPr>
                <w:rFonts w:ascii="Arial" w:cs="Arial" w:eastAsia="Arial" w:hAnsi="Arial"/>
                <w:sz w:val="18"/>
                <w:szCs w:val="18"/>
                <w:color w:val="auto"/>
              </w:rPr>
              <w:t>:</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spacing w:after="0"/>
              <w:rPr>
                <w:sz w:val="20"/>
                <w:szCs w:val="20"/>
                <w:color w:val="auto"/>
              </w:rPr>
            </w:pPr>
            <w:r>
              <w:rPr>
                <w:rFonts w:ascii="Arial" w:cs="Arial" w:eastAsia="Arial" w:hAnsi="Arial"/>
                <w:sz w:val="18"/>
                <w:szCs w:val="18"/>
                <w:color w:val="auto"/>
              </w:rPr>
              <w:t>The following is a summary of income before taxes: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194,873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38,561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Property-related items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29,633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36,029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 deferred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federal and 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40,664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ITC,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income tax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44" w:name="page345"/>
    <w:bookmarkEnd w:id="344"/>
    <w:p>
      <w:pPr>
        <w:jc w:val="both"/>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state taxes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Company-owned life insurance</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excess deferred taxes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differences</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94,273</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101,133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2"/>
              </w:rPr>
              <w:t>(12,604)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135,200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59,119</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payroll taxes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219,381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163,228</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733,011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703,374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77,818</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903,329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802,056</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683,948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638,828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A reconciliation of the beginning and ending amount of unrecognized tax benefits is as follows:</w:t>
            </w: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Gross increases – tax positions in prior period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tax positions in prior period</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Gross increases – current period tax positions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current period tax positions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in statute of limitations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2,644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45" w:name="page346"/>
    <w:bookmarkEnd w:id="345"/>
    <w:p>
      <w:pPr>
        <w:jc w:val="both"/>
        <w:spacing w:after="0" w:line="308" w:lineRule="auto"/>
        <w:rPr>
          <w:sz w:val="20"/>
          <w:szCs w:val="20"/>
          <w:color w:val="auto"/>
        </w:rPr>
      </w:pPr>
      <w:r>
        <w:rPr>
          <w:rFonts w:ascii="Arial" w:cs="Arial" w:eastAsia="Arial" w:hAnsi="Arial"/>
          <w:sz w:val="17"/>
          <w:szCs w:val="17"/>
          <w:color w:val="auto"/>
        </w:rPr>
        <w:t>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2022, the total amount of unrecognized tax benefits that, if recognized, would impact the effective tax rate was $3.1 million for the Company and $2.6 million for Southwest. No significant increases or decreases in unrecognized tax benefits are expected within the next 12 months.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Southwest recognize interest expense and income and penalties related to income tax matters in income tax expense. There was $0, $21,000, and $523,000 of tax-related interest income for 2022, 2021, and 2020, respectively.</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regulated operations accounting for income taxes is impacted by the FASB’s ASC Topic 980 –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Reductions in accumulated deferred income tax balances due to the reduction in the corporate income tax rates to 21% under the provisions of the Tax Cuts and Jobs Act (the “TCJA”), enacted in December 2017, may continue to result in a refund of excess deferred taxes to customers, generally through reductions in future rates. The TCJA included provisions that stipulate how these excess deferred taxes may be passed back to customers for certain accelerated tax depreciation benefits. The December 31, 2022 Consolidated Balance Sheets of Southwest and the Company reflect the impact of the TCJA and the remaining unamortized balance of the regulatory liability (including a gross-up), barring further changes to income tax rates. See also </w:t>
      </w:r>
      <w:r>
        <w:rPr>
          <w:rFonts w:ascii="Arial" w:cs="Arial" w:eastAsia="Arial" w:hAnsi="Arial"/>
          <w:sz w:val="18"/>
          <w:szCs w:val="18"/>
          <w:b w:val="1"/>
          <w:bCs w:val="1"/>
          <w:color w:val="auto"/>
        </w:rPr>
        <w:t>Note 5 - 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Assets and Liabilities</w:t>
      </w:r>
      <w:r>
        <w:rPr>
          <w:rFonts w:ascii="Arial" w:cs="Arial" w:eastAsia="Arial" w:hAnsi="Arial"/>
          <w:sz w:val="18"/>
          <w:szCs w:val="18"/>
          <w:color w:val="auto"/>
        </w:rPr>
        <w:t>.</w:t>
      </w:r>
    </w:p>
    <w:p>
      <w:pPr>
        <w:spacing w:after="0" w:line="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and its subsidiaries file a consolidated federal income tax return in the U.S. and in various states, as well as separate returns in Canada. With few exceptions, the Company is no longer subject to U.S. federal, state and local, or Canadian income tax examinations for years before 2018.</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of MountainWest by the Company was a taxable transaction for U.S. federal and state income tax purposes. As a result, the Company obtained a step-up in the basis of the assets acquired (as determined for income tax purposes), without succeeding to the holding period, accounting methods, or historical income tax liabilities associated with MountainWest. Accordingly, the deferred income taxes were redetermined on the date of acquisition, December 31, 2021.</w:t>
      </w:r>
    </w:p>
    <w:p>
      <w:pPr>
        <w:spacing w:after="0" w:line="7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At December 31, 2022, the Company has a U.S. federal net operating loss carryforward of $932.8 million. The Company also has general business credits of $4 million, which begin to expire in 2041. The Company has no capital loss carryforwards. At December 31, 2022, the Company has an income tax net operating loss carryforward related to Canadian operations of $21.2 million, which begins to expire in 2034. As of the same date, the Company has $519 million of state net operating loss carryforwards. Depending on the jurisdiction in which the state net operating loss was generated, the carryforwards will begin to expire in 2031.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continue to permanently reinvest any future foreign earnings in Canada.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operating segments are determined based on the nature of their activities. The natural gas distribution segment is engaged in the business of purchasing, distributing, and transporting natural gas. The utility infrastructure services segment is primarily engaged in the business of providing gas and electric providers installation, replacement, repair, and maintenance of energy networks. Although the utility infrastructure services operations are geographically dispersed, they are aggregated and reported as a single segment as each reporting unit has similar economic characteristics. Over 99% of the total Company’s long-lived assets are in the U.S. The pipeline and storage segment (sold in 2023) is primarily engaged in the business of providing interstate transportation and underground storage services, primarily composed of regulated operations under the jurisdiction of the FERC.</w:t>
      </w:r>
    </w:p>
    <w:p>
      <w:pPr>
        <w:spacing w:after="0" w:line="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accounting policies of the reported segments are the same as those described within </w:t>
      </w:r>
      <w:r>
        <w:rPr>
          <w:rFonts w:ascii="Arial" w:cs="Arial" w:eastAsia="Arial" w:hAnsi="Arial"/>
          <w:sz w:val="18"/>
          <w:szCs w:val="18"/>
          <w:b w:val="1"/>
          <w:bCs w:val="1"/>
          <w:color w:val="auto"/>
        </w:rPr>
        <w:t>Note 1 - Background, Organization, and Summary of</w:t>
      </w:r>
      <w:r>
        <w:rPr>
          <w:rFonts w:ascii="Arial" w:cs="Arial" w:eastAsia="Arial" w:hAnsi="Arial"/>
          <w:sz w:val="18"/>
          <w:szCs w:val="18"/>
          <w:color w:val="auto"/>
        </w:rPr>
        <w:t xml:space="preserve"> </w:t>
      </w:r>
      <w:r>
        <w:rPr>
          <w:rFonts w:ascii="Arial" w:cs="Arial" w:eastAsia="Arial" w:hAnsi="Arial"/>
          <w:sz w:val="18"/>
          <w:szCs w:val="18"/>
          <w:b w:val="1"/>
          <w:bCs w:val="1"/>
          <w:color w:val="auto"/>
        </w:rPr>
        <w:t>Significant Accounting Policies</w:t>
      </w:r>
      <w:r>
        <w:rPr>
          <w:rFonts w:ascii="Arial" w:cs="Arial" w:eastAsia="Arial" w:hAnsi="Arial"/>
          <w:sz w:val="18"/>
          <w:szCs w:val="18"/>
          <w:color w:val="auto"/>
        </w:rPr>
        <w:t>. Centuri accounts for the services provided to Southwest at contractual prices at contract inception.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these services, which are not eliminated during consolidation, are presented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December 31,</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for Centuri services</w:t>
            </w:r>
          </w:p>
        </w:tc>
        <w:tc>
          <w:tcPr>
            <w:tcW w:w="45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r>
      <w:tr>
        <w:trPr>
          <w:trHeight w:val="891"/>
        </w:trPr>
        <w:tc>
          <w:tcPr>
            <w:tcW w:w="4240" w:type="dxa"/>
            <w:vAlign w:val="bottom"/>
          </w:tcPr>
          <w:p>
            <w:pPr>
              <w:spacing w:after="0"/>
              <w:rPr>
                <w:sz w:val="24"/>
                <w:szCs w:val="24"/>
                <w:color w:val="auto"/>
              </w:rPr>
            </w:pPr>
          </w:p>
        </w:tc>
        <w:tc>
          <w:tcPr>
            <w:tcW w:w="4540" w:type="dxa"/>
            <w:vAlign w:val="bottom"/>
          </w:tcPr>
          <w:p>
            <w:pPr>
              <w:jc w:val="right"/>
              <w:ind w:right="299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240" w:type="dxa"/>
            <w:vAlign w:val="bottom"/>
            <w:tcBorders>
              <w:bottom w:val="single" w:sz="8" w:color="9A9A9A"/>
            </w:tcBorders>
          </w:tcPr>
          <w:p>
            <w:pPr>
              <w:spacing w:after="0"/>
              <w:rPr>
                <w:sz w:val="17"/>
                <w:szCs w:val="17"/>
                <w:color w:val="auto"/>
              </w:rPr>
            </w:pPr>
          </w:p>
        </w:tc>
        <w:tc>
          <w:tcPr>
            <w:tcW w:w="45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The following table presents the amount of revenues by geographic area: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Revenues (a)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3,057,041</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241,832</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3,680,451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3,298,873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Revenues are attributed to countries based on the location of customers.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reportable segments beginning in 2021: natural gas distribution, utility infrastructure services, and pipeline and storage. In order to reconcile to net income as disclosed in the Consolidated Statements of Income, an Other column is included associated with impacts of corporate and administrative activities related to Southwest Gas Holdings, Inc. The financial information pertaining to each segment as of and for the three years ended December 31, 2022, 2021, and 2020 are as follows:</w:t>
      </w:r>
    </w:p>
    <w:p>
      <w:pPr>
        <w:spacing w:after="0" w:line="9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color w:val="auto"/>
                <w:w w:val="89"/>
              </w:rPr>
              <w:t>Year Ended December 31, 2022</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Arial" w:cs="Arial" w:eastAsia="Arial" w:hAnsi="Arial"/>
                <w:sz w:val="18"/>
                <w:szCs w:val="18"/>
                <w:color w:val="auto"/>
              </w:rPr>
              <w:t>Utility</w:t>
            </w: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Pipeline and</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vMerge w:val="restart"/>
          </w:tcPr>
          <w:p>
            <w:pPr>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Services</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Storage</w:t>
            </w:r>
          </w:p>
        </w:tc>
        <w:tc>
          <w:tcPr>
            <w:tcW w:w="4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2,625,669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264,613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4,825,351</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Intersegment sales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134,658</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16,183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242,750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263,043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155,353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52,059</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470,455</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154,380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(283,733)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(76,002)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(203,290)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1,743,349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13,196,614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683,131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130,166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46,124</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859,421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spacing w:after="0" w:line="275" w:lineRule="auto"/>
        <w:rPr>
          <w:sz w:val="20"/>
          <w:szCs w:val="20"/>
          <w:color w:val="auto"/>
        </w:rPr>
      </w:pPr>
      <w:r>
        <w:rPr>
          <w:rFonts w:ascii="Arial" w:cs="Arial" w:eastAsia="Arial" w:hAnsi="Arial"/>
          <w:sz w:val="16"/>
          <w:szCs w:val="16"/>
          <w:color w:val="auto"/>
        </w:rPr>
        <w:t xml:space="preserve">*The segment assets of the Pipeline and Storage segment represented by MountainWest have been reclassified, as of December 31, 2022, as current assets held for sale on the Company’s Consolidated Balance Sheet. See </w:t>
      </w:r>
      <w:r>
        <w:rPr>
          <w:rFonts w:ascii="Arial" w:cs="Arial" w:eastAsia="Arial" w:hAnsi="Arial"/>
          <w:sz w:val="16"/>
          <w:szCs w:val="16"/>
          <w:b w:val="1"/>
          <w:bCs w:val="1"/>
          <w:color w:val="auto"/>
        </w:rPr>
        <w:t>Note 15 - Acquisitions and Dispositions</w:t>
      </w:r>
      <w:r>
        <w:rPr>
          <w:rFonts w:ascii="Arial" w:cs="Arial" w:eastAsia="Arial" w:hAnsi="Arial"/>
          <w:sz w:val="16"/>
          <w:szCs w:val="16"/>
          <w:color w:val="auto"/>
        </w:rPr>
        <w:t xml:space="preserve"> for additional information.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color w:val="auto"/>
                <w:w w:val="89"/>
              </w:rPr>
              <w:t>Year Ended December 31, 2021</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Natural Gas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0"/>
              </w:rPr>
              <w:t>Pipeline and</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9"/>
              </w:rPr>
              <w:t>Distribution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Storage</w:t>
            </w:r>
          </w:p>
        </w:tc>
        <w:tc>
          <w:tcPr>
            <w:tcW w:w="4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2,056,315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97,560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119,198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18,776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(8,466)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7,950,263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2,579,748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2,187,582</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47,664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12,765,257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72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9A9A9A"/>
            </w:tcBorders>
          </w:tcPr>
          <w:p>
            <w:pPr>
              <w:spacing w:after="0"/>
              <w:rPr>
                <w:sz w:val="17"/>
                <w:szCs w:val="17"/>
                <w:color w:val="auto"/>
              </w:rPr>
            </w:pPr>
          </w:p>
        </w:tc>
        <w:tc>
          <w:tcPr>
            <w:tcW w:w="4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 2020</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Natural Gas</w:t>
            </w:r>
          </w:p>
        </w:tc>
        <w:tc>
          <w:tcPr>
            <w:tcW w:w="1580" w:type="dxa"/>
            <w:vAlign w:val="bottom"/>
            <w:gridSpan w:val="2"/>
          </w:tcPr>
          <w:p>
            <w:pPr>
              <w:ind w:left="40"/>
              <w:spacing w:after="0" w:line="169" w:lineRule="exact"/>
              <w:rPr>
                <w:sz w:val="20"/>
                <w:szCs w:val="20"/>
                <w:color w:val="auto"/>
              </w:rPr>
            </w:pPr>
            <w:r>
              <w:rPr>
                <w:rFonts w:ascii="Arial" w:cs="Arial" w:eastAsia="Arial" w:hAnsi="Arial"/>
                <w:sz w:val="18"/>
                <w:szCs w:val="18"/>
                <w:color w:val="auto"/>
                <w:w w:val="98"/>
              </w:rPr>
              <w:t>Utility Infrastructure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1,813,429</w:t>
            </w:r>
          </w:p>
        </w:tc>
        <w:tc>
          <w:tcPr>
            <w:tcW w:w="80" w:type="dxa"/>
            <w:vAlign w:val="bottom"/>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3,164,014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134,859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134,859</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3,298,873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235,295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96,732</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332,027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159,118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74,862</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232,324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8,735,853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692,216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132,889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825,105</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corporate and administrative activities for Southwest Gas Holdings, Inc. in 2022 and 2021 include expenses incurred to acquire MountainWest (2021 only), as well as shareholder activism costs, costs related to the strategic review, the settlement agreement with the Icahn Group, and the most significant individual amount being the financing costs for the MountainWest acquisition in 2022, collectively net of tax impacts.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Redeemable Noncontrolling Interests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by means of Centuri, has the right, but not the obligation, to purchase at fair value (subject to a floor) a portion of the interest held by the noncontrolling party, and in incremental amounts each year thereafter. In March 2022, the parties agreed to a partial redemption based on these provisions, and as a result, Centuri paid $39.6 million to the previous owner of Linetec for a 5% equity interest in Linetec, thereby reducing the balance continuing to be redeemable to 15% under the terms of the original agreement. In order to fund the redemption, Southwest Gas Holdings, Inc. contributed capital to Centuri.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at each interval discussed above. The outstanding noncontrolling interest is not subject to minimum purchase provisions and, following the eligibility dates for the elections, they do not expire. The redemption price represents the greater of fair value of the ownership interest to be redeemed on the redemption date or a floor amount under the terms of the agreement. The Company has determined that this noncontrolling interest is a redeemable noncontrolling interest and, in accordance with SEC guidance, is classified as mezzanine equity (temporary equity) in the Company’s Consolidated Balance Sheets.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November 2021, certain members of Riggs Distler management acquired a 1.42% interest in Drum Parent LLC (“Drum”), which is subject to certain rights based on the passage of time or upon the occurrence of certain triggering events. Effective January 2027 and each calendar year thereafter or upon the occurrence of certain triggering events, the Company, through Centuri, has the right, but not the obligation, to purchase all of the interest held by the noncontrolling party at fair value. If the Company does not exercise its rights in accordance with the timeline noted, or upon the occurrence of certain other triggering events, the noncontrolling party has the ability, but not the obligation, to exit their investment retained by requiring Centuri to purchase all of their outstanding interest. The outstanding noncontrolling interest is not subject to minimum purchase provisions and, following the eligibility date for the election, they do not expire. The redemption price represents the fair value of the ownership interest to be redeemed on the redemption date under the terms of the agreement. A portion of the redeemable noncontrolling interest acquired was funded through promissory notes made to noncontrolling interest holders bearing interest at the prime rate plus 2%. The promissory notes are payable by the noncontrolling interest holders upon certain triggering events including, but not limited to, termination of employment or the redemption of any interest under the agreement. The promissory notes are recognized as a reduction to the Company’s stockholders’ equity. Additionally, the Company has determined that this noncontrolling interest is a redeemable noncontrolling interest and, in accordance with SEC guidance, is classified as mezzanine equity (temporary equity) in the Company’s Consolidated Balance Sheets.</w:t>
      </w:r>
    </w:p>
    <w:p>
      <w:pPr>
        <w:spacing w:after="0" w:line="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Significant changes in the value of the total redeemable noncontrolling interests, above a floor determined at the establishment date, are recognized as they occur, and the carrying value is adjusted as necessary at each reporting date. The fair value is</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48" w:name="page349"/>
    <w:bookmarkEnd w:id="348"/>
    <w:p>
      <w:pPr>
        <w:jc w:val="both"/>
        <w:spacing w:after="0" w:line="259" w:lineRule="auto"/>
        <w:rPr>
          <w:sz w:val="20"/>
          <w:szCs w:val="20"/>
          <w:color w:val="auto"/>
        </w:rPr>
      </w:pPr>
      <w:r>
        <w:rPr>
          <w:rFonts w:ascii="Arial" w:cs="Arial" w:eastAsia="Arial" w:hAnsi="Arial"/>
          <w:sz w:val="18"/>
          <w:szCs w:val="18"/>
          <w:color w:val="auto"/>
        </w:rPr>
        <w:t>estimated using a market approach that utilizes certain financial metrics from guideline public companies of similar industry and operating characteristics. Based on the fair value model employed, the estimated redemption value of the Linetec redeemable noncontrolling interest decreased by approximately $3.3 million during the year ended December 31, 2022. Adjustment to the redemption value also impacted retained earnings, as reflected in the Company’s Consolidated Statement of Equity, but did not impact net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changes to the balances of the redeemable noncontrolling interests: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Linetec</w:t>
            </w:r>
          </w:p>
        </w:tc>
        <w:tc>
          <w:tcPr>
            <w:tcW w:w="3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Drum</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165,716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165,716</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 acquired</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value adjustments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184,148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196,717</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Redemption value adjustments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(3,325)</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equity interest from noncontrolling party</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146,765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159,349</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2021, the Company, through its subsidiaries, led principally by Centuri, completed the acquisition of Drum, including its primary subsidiary, Riggs Distler. Additionally, in December 2021, the Company completed the acquisition of the MountainWest entities. During the year ended December 31, 2022, MountainWest recorded measurement period adjustments of $28.2 million, primarily due to a final post-closing payment; as a result, goodwill was reduced by that amount. The purchase accounting for both acquisitions was finalized in 2022. The following unaudited pro forma financial information reflects the consolidated results of operations of the Company assuming the Riggs Distler and MountainWest acquisitions had taken place on January 1, 2020. The most significant pro forma adjustments relate to: (i) reflecting approximately $48.7 million in transaction costs in the year ended December 31, 2020, and excluding such costs from the year ended December 31, 2021, and (ii) reflecting incremental interest expense of $48.4 million in 2021, and approximately $52.1 million in the comparable 2020 period. The pro forma financial information has been prepared for comparative purposes only, and is not intended to be indicative of what the Company’s results would have been had the acquisition occurred at the beginning of the periods presented or of what results may be in the future, for a number of reasons. The reasons include, but are not limited to, differences between the assumptions used to prepare the pro forma information, potential cost savings from operating efficiencies, nor the impact of incremental costs incurred in integrating the businesses.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Amounts below are in millions of dollars, except per share amounts.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0"/>
        </w:trPr>
        <w:tc>
          <w:tcPr>
            <w:tcW w:w="8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Unaudited</w:t>
            </w:r>
          </w:p>
        </w:tc>
        <w:tc>
          <w:tcPr>
            <w:tcW w:w="880" w:type="dxa"/>
            <w:vAlign w:val="bottom"/>
          </w:tcPr>
          <w:p>
            <w:pPr>
              <w:spacing w:after="0"/>
              <w:rPr>
                <w:sz w:val="24"/>
                <w:szCs w:val="24"/>
                <w:color w:val="auto"/>
              </w:rPr>
            </w:pPr>
          </w:p>
        </w:tc>
      </w:tr>
      <w:tr>
        <w:trPr>
          <w:trHeight w:val="230"/>
        </w:trPr>
        <w:tc>
          <w:tcPr>
            <w:tcW w:w="8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3"/>
              </w:rPr>
              <w:t>Year Ended December 31,</w:t>
            </w:r>
          </w:p>
        </w:tc>
      </w:tr>
      <w:tr>
        <w:trPr>
          <w:trHeight w:val="223"/>
        </w:trPr>
        <w:tc>
          <w:tcPr>
            <w:tcW w:w="8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income attributable to Southwest Gas Holdings,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620" w:type="dxa"/>
            <w:vAlign w:val="bottom"/>
          </w:tcPr>
          <w:p>
            <w:pPr>
              <w:ind w:left="1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2022, the Company announced that the Board unanimously determined to take strategic actions to simplify the Company’s portfolio of businesses. These actions included entering into a definitive agreement to sell 100% of MountainWest in an all-cash transaction to Williams for $1.5 billion in total enterprise value, subject to certain adjustments. Additionally, the Company determined it will pursue a spin-off of Centuri to form a new independent publicly traded utility infrastructure services company. The MountainWest transaction closed on February 14, 2023. Upon close, the Company is expected to provide certain services to Williams under a transition services agreement for a brief period, generally not beyond six months. The Centuri spin-off is expected to be completed in the fourth quarter of 2023 or the first quarter of 2024 and to be tax free to the Company and its stockholders for U.S. federal income tax purposes. The separation will be subject to, among other things,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9" w:name="page350"/>
    <w:bookmarkEnd w:id="349"/>
    <w:p>
      <w:pPr>
        <w:jc w:val="both"/>
        <w:spacing w:after="0" w:line="277" w:lineRule="auto"/>
        <w:rPr>
          <w:sz w:val="20"/>
          <w:szCs w:val="20"/>
          <w:color w:val="auto"/>
        </w:rPr>
      </w:pPr>
      <w:r>
        <w:rPr>
          <w:rFonts w:ascii="Arial" w:cs="Arial" w:eastAsia="Arial" w:hAnsi="Arial"/>
          <w:sz w:val="18"/>
          <w:szCs w:val="18"/>
          <w:color w:val="auto"/>
        </w:rPr>
        <w:t>finalizing the transaction structure, final approval by the Board, approval by the ACC, the receipt of a favorable IRS private letter ruling relating to the tax-free nature of the transaction, and the effectiveness of a registration statement that will be filed with the SEC.</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entering into a definitive agreement to sell MountainWest and considering other factors, the Company determined that MountainWest met criteria to be characterized as held for sale as of December 31, 2022, and as a result, MountainWest’s assets and liabilities, excluding income tax related balances, have been presented as held for sale on the Company’s consolidated balance sheet. The MountainWest sale did not meet the criteria for reporting discontinued operations as the sale did not represent a strategic shift that would have a major effect on the Company’s operations or financial results. Company management considered the estimated proceeds, which were below the carrying value of the disposal group, and determined that the loss on disposal was attributable to goodwill, resulting in an impairment loss of $449.6 million. The goodwill impairment loss is reported in Goodwill impairment and cost to sell on the Company’s Consolidated Statement of Income for the year ended December 31, 2022. The Company believes that the sale price of $1.5 billion, as adjusted for indebtedness and other estimated adjustments per the purchase and sale agreement, provided a reasonable indication of the fair value of MountainWest as it represents an exit price in an orderly transaction between market participants. While the fair value was estimated based on the closing statement from the sale of MountainWest, it is subject to certain adjustments, including a post-closing payment related to final working capital balances. The amount of such post-closing payment is not determinable at this time. The Company estimated the working capital balances as of February 14, 2023; however, these amounts are subject to change and could result in additional losses in the second quarter of 2023 when working capital is finalized. The Company recorded an additional loss of approximately $5.8 million, attributable to estimated selling costs, which is also included in Goodwill impairment and cost to sell on the Company’s Consolidated Statement of Income for the year ended December 31, 2022.</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major classes of assets and liabilities relating to MountainWest, all of which are classified as current and reported as held for sale in the Company’s Consolidated Balance Sheets,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 plant, net of accumulated depreciation of $907 million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957,729</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Other property and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49,546</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188,629</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Goodwill, net of accumulated impairment of $449.6 million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508,395</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39,050</w:t>
            </w:r>
          </w:p>
        </w:tc>
      </w:tr>
      <w:tr>
        <w:trPr>
          <w:trHeight w:val="223"/>
        </w:trPr>
        <w:tc>
          <w:tcPr>
            <w:tcW w:w="99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1,743,349</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cost to sell</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r>
      <w:tr>
        <w:trPr>
          <w:trHeight w:val="223"/>
        </w:trPr>
        <w:tc>
          <w:tcPr>
            <w:tcW w:w="9920" w:type="dxa"/>
            <w:vAlign w:val="bottom"/>
          </w:tcPr>
          <w:p>
            <w:pPr>
              <w:ind w:left="460"/>
              <w:spacing w:after="0"/>
              <w:rPr>
                <w:sz w:val="20"/>
                <w:szCs w:val="20"/>
                <w:color w:val="auto"/>
              </w:rPr>
            </w:pPr>
            <w:r>
              <w:rPr>
                <w:rFonts w:ascii="Arial" w:cs="Arial" w:eastAsia="Arial" w:hAnsi="Arial"/>
                <w:sz w:val="18"/>
                <w:szCs w:val="18"/>
                <w:color w:val="auto"/>
              </w:rPr>
              <w:t>Total current assets, held for sale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1,737,530</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9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Other current liabilities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55,188</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448,862</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deferred credits and liabilities (3)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140,195</w:t>
            </w:r>
          </w:p>
        </w:tc>
      </w:tr>
      <w:tr>
        <w:trPr>
          <w:trHeight w:val="248"/>
        </w:trPr>
        <w:tc>
          <w:tcPr>
            <w:tcW w:w="9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 held for sale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644,245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8"/>
        <w:spacing w:after="0" w:line="277" w:lineRule="auto"/>
        <w:tabs>
          <w:tab w:leader="none" w:pos="26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Includes cash and cash equivalents of $23.8 million, regulatory assets of $2.2 million, and “in-kind” system gas imbalance of $116.6 million due to a significant increase in natural gas prices in December 2022.</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Includes regulatory assets of $30.1 million.</w:t>
      </w:r>
    </w:p>
    <w:p>
      <w:pPr>
        <w:spacing w:after="0" w:line="117" w:lineRule="exact"/>
        <w:rPr>
          <w:rFonts w:ascii="Arial" w:cs="Arial" w:eastAsia="Arial" w:hAnsi="Arial"/>
          <w:sz w:val="18"/>
          <w:szCs w:val="18"/>
          <w:color w:val="auto"/>
        </w:rPr>
      </w:pPr>
    </w:p>
    <w:p>
      <w:pPr>
        <w:jc w:val="both"/>
        <w:ind w:firstLine="8"/>
        <w:spacing w:after="0" w:line="263" w:lineRule="auto"/>
        <w:tabs>
          <w:tab w:leader="none" w:pos="261"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Includes $18.9 million of regulatory liabilities included in Other current liabilities, and $139 million of regulatory liabilities included in Other deferred credits and liabilities (including $60.2 million related to regulatory excess deferred/other taxes and gross-up and $58.8 million of accumulated removal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pretax loss for MountainWest for the year ended December 31, 2022 was $373 million, due to the goodwill impairment recognized.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22, 2022, the FERC issued an order initiating an investigation, pursuant to section 5 of the Natural Gas Act, to determine whether rates currently charged by MountainWest Overthrust Pipeline, LLC, a subsidiary of MountainWest, are just and reasonable and setting the matter for hearing (the “Section 5 Rate Case”). Unless earlier settled by the parties, a hearing on the matter is to commence on August 1, 2023 with an initial decision from the presiding administrative law judge due by November 14, 2023. Under the terms of the MountainWest Purchase Agreement, the Company is obligated, for a period of four</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0" w:name="page351"/>
    <w:bookmarkEnd w:id="350"/>
    <w:p>
      <w:pPr>
        <w:jc w:val="both"/>
        <w:spacing w:after="0" w:line="301" w:lineRule="auto"/>
        <w:rPr>
          <w:sz w:val="20"/>
          <w:szCs w:val="20"/>
          <w:color w:val="auto"/>
        </w:rPr>
      </w:pPr>
      <w:r>
        <w:rPr>
          <w:rFonts w:ascii="Arial" w:cs="Arial" w:eastAsia="Arial" w:hAnsi="Arial"/>
          <w:sz w:val="16"/>
          <w:szCs w:val="16"/>
          <w:color w:val="auto"/>
        </w:rPr>
        <w:t>years following the closing of the sale of MountainWest, to indemnify Williams and MountainWest for any damages and liabilities resulting from the Section 5 Rate Case, including any reduction to the current applicable rate, up to a cap of $75 million. Williams has agreed that it will not enter into any settlement of the Section 5 Rate Case that will result in any damages being paid by the Company under such indemnity without the prior written consent of the Company (which consent shall not be unreasonably withheld). The range of loss, if any, that could result from this matter cannot currently be estimated.</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1" w:name="page352"/>
    <w:bookmarkEnd w:id="351"/>
    <w:p>
      <w:pPr>
        <w:spacing w:after="0"/>
        <w:rPr>
          <w:sz w:val="20"/>
          <w:szCs w:val="20"/>
          <w:color w:val="auto"/>
        </w:rPr>
      </w:pPr>
      <w:r>
        <w:rPr>
          <w:rFonts w:ascii="Arial" w:cs="Arial" w:eastAsia="Arial" w:hAnsi="Arial"/>
          <w:sz w:val="25"/>
          <w:szCs w:val="25"/>
          <w:color w:val="auto"/>
        </w:rPr>
        <w:t>MANAGEMENT’S REPORTS ON INTERNAL CONTROL OVER FINANCIAL REPORTING</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Management of Southwest Gas Holdings, Inc. is responsible for establishing and maintaining adequate internal control over financial reporting, as such term is defined by Rule 13a-15(f) and 15d-15(f) under the Securities Exchange Act of 1934.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Based upon management’s evaluation under such framework, management concluded that internal control over financial reporting was effective as of December 31, 2022. The effectiveness of internal control over financial reporting as of December 31, 2022 has been audited by PricewaterhouseCoopers, LLP, an independent registered public accounting firm, as stated in their report which is included herein.</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2022. This annual report does not include a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52" w:name="page353"/>
    <w:bookmarkEnd w:id="352"/>
    <w:p>
      <w:pPr>
        <w:ind w:left="310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Southwest Gas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Southwest Gas Holdings, Inc. and its subsidiaries (the “Company”) as of December 31, 2022 and 2021, and the related consolidated statements of income, of comprehensive income, of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Assets and Liabilities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5 to the consolidated financial statements, the Company’s net regulatory assets were $195 million as of December 31, 2022.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As disclosed by management, they review the regulatory assets to assess their recoverability. If rate recovery is no longer probable, due to competition or the actions of regulators, management is required to write-off the related regulatory asset. Regulatory liabilities are recorded if it is probable that revenues will be reduced for amounts that will be refunded to customers through the ratemaking process.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regulatory assets and liabilities is a critical audit matter are (i) the significant judgment by management in the ongoing evaluation of regulatory assets and liabilities and in applying guidance contained in regulatory proceedings and other relevant evidence, including the timing of recognition of regulatory assets and liabilities; and (ii) the significant auditor judgment, subjectivity and effort in performing procedures and evaluating audit evidence relating to management’s judgments about the probability of recovery of regulatory assets and refund of regulatory liabilities.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the probability of recovery of regulatory assets, refund of regulatory liabilities, and disclosure impacts. These procedures also included, among others (i) obtaining the Company’s correspondence with regulators; (ii) evaluating the reasonableness of management’s assessment regarding the probability of recovery of regulatory assets and refund of regulatory liabilities based on the status of regulatory proceedings; and (iii) evaluating the related accounting and disclosure implications.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or its predecessor’s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4" w:name="page355"/>
    <w:bookmarkEnd w:id="354"/>
    <w:p>
      <w:pPr>
        <w:ind w:left="310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 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Southwest Gas Corporation and its subsidiaries (the “Company”) as of December 31, 2022 and 2021, and the related consolidated statements of income, of comprehensive income, of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Assets and Liabilities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5 to the consolidated financial statements, the Company’s net regulatory assets were $195 million as of December 31, 2022.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As disclosed by management, they review the regulatory assets to assess their recoverability. If rate recovery is no longer probable, due to competition or the actions of regulators, management is required to write-off the related regulatory asset. Regulatory liabilities are recorded if it is probable that revenues will be reduced for amounts that will be refunded to customers through the ratemaking process.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regulatory assets and liabilities is a critical audit matter are (i) the significant judgment by management in the ongoing evaluation of regulatory assets and liabilities and in applying guidance contained in regulatory proceedings and other relevant evidence, including the timing of recognition of regulatory assets and liabilities; and (ii) the significant auditor judgment, subjectivity and effort in performing procedures and evaluating audit evidence relating to management’s judgments about the probability of recovery of regulatory assets and refund of regulatory liabilities.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355" w:name="page356"/>
    <w:bookmarkEnd w:id="355"/>
    <w:p>
      <w:pPr>
        <w:jc w:val="both"/>
        <w:spacing w:after="0" w:line="279" w:lineRule="auto"/>
        <w:rPr>
          <w:sz w:val="20"/>
          <w:szCs w:val="20"/>
          <w:color w:val="auto"/>
        </w:rPr>
      </w:pPr>
      <w:r>
        <w:rPr>
          <w:rFonts w:ascii="Arial" w:cs="Arial" w:eastAsia="Arial" w:hAnsi="Arial"/>
          <w:sz w:val="17"/>
          <w:szCs w:val="17"/>
          <w:color w:val="auto"/>
        </w:rPr>
        <w:t>management’s assessment of regulatory proceedings, including the probability of recovery of regulatory assets, refund of regulatory liabilities, and disclosure impacts. These procedures also included, among others (i) obtaining the Company’s correspondence with regulators; (ii) evaluating the reasonableness of management’s assessment regarding the probability of recovery of regulatory assets and refund of regulatory liabilities based on the status of regulatory proceedings; and (iii) evaluating the related accounting and disclosure implications.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151" w:right="33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ind w:left="2240"/>
              <w:spacing w:after="0"/>
              <w:rPr>
                <w:sz w:val="20"/>
                <w:szCs w:val="20"/>
                <w:color w:val="auto"/>
              </w:rPr>
            </w:pPr>
            <w:r>
              <w:rPr>
                <w:rFonts w:ascii="Arial" w:cs="Arial" w:eastAsia="Arial" w:hAnsi="Arial"/>
                <w:sz w:val="18"/>
                <w:szCs w:val="18"/>
                <w:b w:val="1"/>
                <w:bCs w:val="1"/>
                <w:color w:val="auto"/>
                <w:w w:val="97"/>
              </w:rPr>
              <w:t>EXHIBIT 21.01</w:t>
            </w:r>
          </w:p>
        </w:tc>
        <w:tc>
          <w:tcPr>
            <w:tcW w:w="0" w:type="dxa"/>
            <w:vAlign w:val="bottom"/>
          </w:tcPr>
          <w:p>
            <w:pPr>
              <w:spacing w:after="0"/>
              <w:rPr>
                <w:sz w:val="1"/>
                <w:szCs w:val="1"/>
                <w:color w:val="auto"/>
              </w:rPr>
            </w:pPr>
          </w:p>
        </w:tc>
      </w:tr>
      <w:tr>
        <w:trPr>
          <w:trHeight w:val="256"/>
        </w:trPr>
        <w:tc>
          <w:tcPr>
            <w:tcW w:w="780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w w:val="99"/>
              </w:rPr>
              <w:t>SOUTHWEST GAS HOLDINGS, INC.</w:t>
            </w:r>
          </w:p>
        </w:tc>
        <w:tc>
          <w:tcPr>
            <w:tcW w:w="3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rPr>
              <w:t>LIST OF SUBSIDIARIES OF THE REGISTRANT</w:t>
            </w:r>
          </w:p>
        </w:tc>
        <w:tc>
          <w:tcPr>
            <w:tcW w:w="3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w w:val="99"/>
              </w:rPr>
              <w:t>AT DECEMBER 31, 2022</w:t>
            </w:r>
          </w:p>
        </w:tc>
        <w:tc>
          <w:tcPr>
            <w:tcW w:w="3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2"/>
        </w:trPr>
        <w:tc>
          <w:tcPr>
            <w:tcW w:w="7800" w:type="dxa"/>
            <w:vAlign w:val="bottom"/>
            <w:gridSpan w:val="2"/>
            <w:vMerge w:val="restart"/>
          </w:tcPr>
          <w:p>
            <w:pPr>
              <w:ind w:left="80"/>
              <w:spacing w:after="0"/>
              <w:rPr>
                <w:sz w:val="20"/>
                <w:szCs w:val="20"/>
                <w:color w:val="auto"/>
              </w:rPr>
            </w:pPr>
            <w:r>
              <w:rPr>
                <w:rFonts w:ascii="Arial" w:cs="Arial" w:eastAsia="Arial" w:hAnsi="Arial"/>
                <w:sz w:val="18"/>
                <w:szCs w:val="18"/>
                <w:color w:val="auto"/>
              </w:rPr>
              <w:t>SUBSIDIARY NAME</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STATE OF INCORPORATION OR</w:t>
            </w:r>
          </w:p>
        </w:tc>
        <w:tc>
          <w:tcPr>
            <w:tcW w:w="0" w:type="dxa"/>
            <w:vAlign w:val="bottom"/>
          </w:tcPr>
          <w:p>
            <w:pPr>
              <w:spacing w:after="0"/>
              <w:rPr>
                <w:sz w:val="1"/>
                <w:szCs w:val="1"/>
                <w:color w:val="auto"/>
              </w:rPr>
            </w:pPr>
          </w:p>
        </w:tc>
      </w:tr>
      <w:tr>
        <w:trPr>
          <w:trHeight w:val="230"/>
        </w:trPr>
        <w:tc>
          <w:tcPr>
            <w:tcW w:w="7800" w:type="dxa"/>
            <w:vAlign w:val="bottom"/>
            <w:gridSpan w:val="2"/>
            <w:vMerge w:val="continue"/>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ORGANIZATION TYPE</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Southwest Gas Holdings,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Southwest Gas Utility Group,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Southwest Gas Corporation</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Utility Financial Corp.</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The Southwest Companies</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323"/>
        </w:trPr>
        <w:tc>
          <w:tcPr>
            <w:tcW w:w="7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Limited partnership between</w:t>
            </w:r>
          </w:p>
        </w:tc>
        <w:tc>
          <w:tcPr>
            <w:tcW w:w="0" w:type="dxa"/>
            <w:vAlign w:val="bottom"/>
          </w:tcPr>
          <w:p>
            <w:pPr>
              <w:spacing w:after="0"/>
              <w:rPr>
                <w:sz w:val="1"/>
                <w:szCs w:val="1"/>
                <w:color w:val="auto"/>
              </w:rPr>
            </w:pPr>
          </w:p>
        </w:tc>
      </w:tr>
      <w:tr>
        <w:trPr>
          <w:trHeight w:val="229"/>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Southwest Gas Transmission Company</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Southwest Gas Corporation</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and Utility Financial Corp.</w:t>
            </w:r>
          </w:p>
        </w:tc>
        <w:tc>
          <w:tcPr>
            <w:tcW w:w="0" w:type="dxa"/>
            <w:vAlign w:val="bottom"/>
          </w:tcPr>
          <w:p>
            <w:pPr>
              <w:spacing w:after="0"/>
              <w:rPr>
                <w:sz w:val="1"/>
                <w:szCs w:val="1"/>
                <w:color w:val="auto"/>
              </w:rPr>
            </w:pPr>
          </w:p>
        </w:tc>
      </w:tr>
      <w:tr>
        <w:trPr>
          <w:trHeight w:val="32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Great Basin Gas Transmission Company</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Pipelines Holding Company</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Pipeline,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Energy Holding Company,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Southern Trails Pipeline Company</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Energy Services,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Overthrust Pipeline,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Pipeline Services,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Field Services,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MountainWest White River Hub,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White River Hub,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Carson Water Company</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Centuri Group,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Centuri U.S. Division,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Centuri Oil &amp; Gas Group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Oil &amp; Gas Division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NPL Construction Co.</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Southwest Administrators,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NPL East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NPL Great Lakes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NPL Mid-America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NPL West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National Barricade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Intellichoice Energy,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Intellichoice Energy of California,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Meritus Oil &amp; Gas Division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Canyon Pipeline Construction, Inc.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4"/>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Canyon Traffic Control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83"/>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Canyon Special Projects LLC</w:t>
            </w: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6" w:right="339" w:bottom="1440" w:gutter="0" w:footer="0" w:header="0"/>
        </w:sectPr>
      </w:pPr>
    </w:p>
    <w:bookmarkStart w:id="357" w:name="page358"/>
    <w:bookmarkEnd w:id="35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New England Utility Constructors, Inc.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6"/>
              </w:rPr>
              <w:t>Massachusetts</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Neuco Equipment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90"/>
              </w:rPr>
              <w:t>Nevada</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Centuri Power Group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Meritus Electric T&amp;D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Linetec Services,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Electric T&amp;D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National Powerline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Electric T&amp;D Holdings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Drum Parent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NAPEC Inc.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CVTech Holding Inc.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Riggs Distler &amp; Company, Inc.</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94"/>
              </w:rPr>
              <w:t>Maryland</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VRO Construction Partners 1,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New Jersey</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Shelby Mechanical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Shelby Plumbing,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New Jersey</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Centuri Services Group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Services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Meritus Services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Centuri Canada Division Inc.</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89"/>
              </w:rPr>
              <w:t>Ontario, Canada</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NPL Canada Ltd.</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89"/>
              </w:rPr>
              <w:t>Ontario, Canada</w:t>
            </w:r>
          </w:p>
        </w:tc>
      </w:tr>
      <w:tr>
        <w:trPr>
          <w:trHeight w:val="283"/>
        </w:trPr>
        <w:tc>
          <w:tcPr>
            <w:tcW w:w="5820" w:type="dxa"/>
            <w:vAlign w:val="bottom"/>
          </w:tcPr>
          <w:p>
            <w:pPr>
              <w:spacing w:after="0"/>
              <w:rPr>
                <w:sz w:val="20"/>
                <w:szCs w:val="20"/>
                <w:color w:val="auto"/>
              </w:rPr>
            </w:pPr>
            <w:r>
              <w:rPr>
                <w:rFonts w:ascii="Arial" w:cs="Arial" w:eastAsia="Arial" w:hAnsi="Arial"/>
                <w:sz w:val="18"/>
                <w:szCs w:val="18"/>
                <w:color w:val="auto"/>
              </w:rPr>
              <w:t>W.S. Nicholls Construction Inc.</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89"/>
              </w:rPr>
              <w:t>Ontario, Canada</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W.S. Nicholls Western Construction Ltd.</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6"/>
              </w:rPr>
              <w:t>Federal, Canada</w:t>
            </w:r>
          </w:p>
        </w:tc>
      </w:tr>
    </w:tbl>
    <w:p>
      <w:pPr>
        <w:sectPr>
          <w:pgSz w:w="11900" w:h="16838" w:orient="portrait"/>
          <w:cols w:equalWidth="0" w:num="1">
            <w:col w:w="10059"/>
          </w:cols>
          <w:pgMar w:left="400" w:top="1440"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333-251074) and Form S-8 (Nos. 333-215145-01, 333-155581-01, 333-215150-01, 333-185354-01, 333-222048) of Southwest Gas Holdings, Inc. of our report dated February 28, 2023 relating to the financial statements and the effectiveness of internal control over financial reporting, which appears in the 2022 Annual Report to Stockholders, which is incorporated by reference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891" w:right="3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23.02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333-251074-01) of Southwest Gas Corporation of our report dated February 28, 2023 relating to the financial statements, which appears in the 2022 Annual Report to Stockholders, which is incorporated by reference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891" w:right="3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66" w:lineRule="exact"/>
        <w:rPr>
          <w:sz w:val="20"/>
          <w:szCs w:val="20"/>
          <w:color w:val="auto"/>
        </w:rPr>
      </w:pPr>
    </w:p>
    <w:p>
      <w:pPr>
        <w:ind w:left="680" w:hanging="654"/>
        <w:spacing w:after="0"/>
        <w:tabs>
          <w:tab w:leader="none" w:pos="6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60"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5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5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5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J. Stefani, certify that:</w:t>
      </w:r>
    </w:p>
    <w:p>
      <w:pPr>
        <w:spacing w:after="0" w:line="279" w:lineRule="exact"/>
        <w:rPr>
          <w:sz w:val="20"/>
          <w:szCs w:val="20"/>
          <w:color w:val="auto"/>
        </w:rPr>
      </w:pPr>
    </w:p>
    <w:p>
      <w:pPr>
        <w:ind w:left="680" w:hanging="654"/>
        <w:spacing w:after="0"/>
        <w:tabs>
          <w:tab w:leader="none" w:pos="6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46"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8"/>
          <w:szCs w:val="18"/>
          <w:color w:val="auto"/>
        </w:rPr>
      </w:pPr>
    </w:p>
    <w:p>
      <w:pPr>
        <w:ind w:left="680" w:right="60" w:hanging="654"/>
        <w:spacing w:after="0" w:line="274" w:lineRule="auto"/>
        <w:tabs>
          <w:tab w:leader="none" w:pos="68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9"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5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5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680" w:right="260" w:hanging="654"/>
        <w:spacing w:after="0" w:line="307" w:lineRule="auto"/>
        <w:tabs>
          <w:tab w:leader="none" w:pos="68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5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Robert J. Stefani</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1012" w:right="3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66" w:lineRule="exact"/>
        <w:rPr>
          <w:sz w:val="20"/>
          <w:szCs w:val="20"/>
          <w:color w:val="auto"/>
        </w:rPr>
      </w:pPr>
    </w:p>
    <w:p>
      <w:pPr>
        <w:ind w:left="680" w:hanging="654"/>
        <w:spacing w:after="0"/>
        <w:tabs>
          <w:tab w:leader="none" w:pos="6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60"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5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5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5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2023</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J. Stefani, certify that:</w:t>
      </w:r>
    </w:p>
    <w:p>
      <w:pPr>
        <w:spacing w:after="0" w:line="266" w:lineRule="exact"/>
        <w:rPr>
          <w:sz w:val="20"/>
          <w:szCs w:val="20"/>
          <w:color w:val="auto"/>
        </w:rPr>
      </w:pPr>
    </w:p>
    <w:p>
      <w:pPr>
        <w:ind w:left="680" w:hanging="654"/>
        <w:spacing w:after="0"/>
        <w:tabs>
          <w:tab w:leader="none" w:pos="6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60"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5"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5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5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5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5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5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5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2023</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Robert J. Stefani</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2022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60" w:hanging="309"/>
        <w:spacing w:after="0"/>
        <w:tabs>
          <w:tab w:leader="none" w:pos="5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2023</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Karen S. Haller</w:t>
      </w:r>
    </w:p>
    <w:p>
      <w:pPr>
        <w:ind w:left="7620"/>
        <w:spacing w:after="0" w:line="203" w:lineRule="auto"/>
        <w:rPr>
          <w:sz w:val="20"/>
          <w:szCs w:val="20"/>
          <w:color w:val="auto"/>
        </w:rPr>
      </w:pPr>
      <w:r>
        <w:rPr>
          <w:rFonts w:ascii="Arial" w:cs="Arial" w:eastAsia="Arial" w:hAnsi="Arial"/>
          <w:sz w:val="18"/>
          <w:szCs w:val="18"/>
          <w:color w:val="auto"/>
        </w:rPr>
        <w:t>President and Chief Executive Officer</w:t>
      </w:r>
    </w:p>
    <w:p>
      <w:pPr>
        <w:ind w:left="7620"/>
        <w:spacing w:after="0"/>
        <w:rPr>
          <w:sz w:val="20"/>
          <w:szCs w:val="20"/>
          <w:color w:val="auto"/>
        </w:rPr>
      </w:pPr>
      <w:r>
        <w:rPr>
          <w:rFonts w:ascii="Arial" w:cs="Arial" w:eastAsia="Arial" w:hAnsi="Arial"/>
          <w:sz w:val="18"/>
          <w:szCs w:val="18"/>
          <w:color w:val="auto"/>
        </w:rPr>
        <w:t>Southwest Gas Holdings, Inc.</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2022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60" w:hanging="309"/>
        <w:spacing w:after="0"/>
        <w:tabs>
          <w:tab w:leader="none" w:pos="5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2023</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14605</wp:posOffset>
            </wp:positionV>
            <wp:extent cx="2306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4">
                      <a:extLst>
                        <a:ext uri="{28A0092B-C50C-407E-A947-70E740481C1C}"/>
                      </a:extLst>
                    </a:blip>
                    <a:srcRect/>
                    <a:stretch>
                      <a:fillRect/>
                    </a:stretch>
                  </pic:blipFill>
                  <pic:spPr bwMode="auto">
                    <a:xfrm>
                      <a:off x="0" y="0"/>
                      <a:ext cx="2306320" cy="8255"/>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8"/>
          <w:szCs w:val="18"/>
          <w:color w:val="auto"/>
        </w:rPr>
        <w:t>Robert J. Stefani</w:t>
      </w:r>
    </w:p>
    <w:p>
      <w:pPr>
        <w:ind w:left="7600"/>
        <w:spacing w:after="0" w:line="203" w:lineRule="auto"/>
        <w:rPr>
          <w:sz w:val="20"/>
          <w:szCs w:val="20"/>
          <w:color w:val="auto"/>
        </w:rPr>
      </w:pPr>
      <w:r>
        <w:rPr>
          <w:rFonts w:ascii="Arial" w:cs="Arial" w:eastAsia="Arial" w:hAnsi="Arial"/>
          <w:sz w:val="18"/>
          <w:szCs w:val="18"/>
          <w:color w:val="auto"/>
        </w:rPr>
        <w:t>Senior Vice President/Chief Financial Officer</w:t>
      </w:r>
    </w:p>
    <w:p>
      <w:pPr>
        <w:ind w:left="76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5" w:right="3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2022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84" w:lineRule="exact"/>
        <w:rPr>
          <w:sz w:val="20"/>
          <w:szCs w:val="20"/>
          <w:color w:val="auto"/>
        </w:rPr>
      </w:pPr>
    </w:p>
    <w:p>
      <w:pPr>
        <w:ind w:left="560" w:hanging="309"/>
        <w:spacing w:after="0"/>
        <w:tabs>
          <w:tab w:leader="none" w:pos="5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2023</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Karen S. Haller</w:t>
      </w:r>
    </w:p>
    <w:p>
      <w:pPr>
        <w:ind w:left="7660"/>
        <w:spacing w:after="0" w:line="203" w:lineRule="auto"/>
        <w:rPr>
          <w:sz w:val="20"/>
          <w:szCs w:val="20"/>
          <w:color w:val="auto"/>
        </w:rPr>
      </w:pPr>
      <w:r>
        <w:rPr>
          <w:rFonts w:ascii="Arial" w:cs="Arial" w:eastAsia="Arial" w:hAnsi="Arial"/>
          <w:sz w:val="18"/>
          <w:szCs w:val="18"/>
          <w:color w:val="auto"/>
        </w:rPr>
        <w:t>Chief Executive Officer</w:t>
      </w:r>
    </w:p>
    <w:p>
      <w:pPr>
        <w:ind w:left="7660"/>
        <w:spacing w:after="0"/>
        <w:rPr>
          <w:sz w:val="20"/>
          <w:szCs w:val="20"/>
          <w:color w:val="auto"/>
        </w:rPr>
      </w:pPr>
      <w:r>
        <w:rPr>
          <w:rFonts w:ascii="Arial" w:cs="Arial" w:eastAsia="Arial" w:hAnsi="Arial"/>
          <w:sz w:val="18"/>
          <w:szCs w:val="18"/>
          <w:color w:val="auto"/>
        </w:rPr>
        <w:t>Southwest Gas Corporation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10-K for the period ended December 31, 2022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60" w:hanging="309"/>
        <w:spacing w:after="0"/>
        <w:tabs>
          <w:tab w:leader="none" w:pos="5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2023</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Robert J. Stefani</w:t>
      </w:r>
    </w:p>
    <w:p>
      <w:pPr>
        <w:ind w:left="7660"/>
        <w:spacing w:after="0" w:line="203" w:lineRule="auto"/>
        <w:rPr>
          <w:sz w:val="20"/>
          <w:szCs w:val="20"/>
          <w:color w:val="auto"/>
        </w:rPr>
      </w:pPr>
      <w:r>
        <w:rPr>
          <w:rFonts w:ascii="Arial" w:cs="Arial" w:eastAsia="Arial" w:hAnsi="Arial"/>
          <w:sz w:val="18"/>
          <w:szCs w:val="18"/>
          <w:color w:val="auto"/>
        </w:rPr>
        <w:t>Senior Vice President/Chief Financial Officer</w:t>
      </w:r>
    </w:p>
    <w:p>
      <w:pPr>
        <w:ind w:left="7660"/>
        <w:spacing w:after="0"/>
        <w:rPr>
          <w:sz w:val="20"/>
          <w:szCs w:val="20"/>
          <w:color w:val="auto"/>
        </w:rPr>
      </w:pPr>
      <w:r>
        <w:rPr>
          <w:rFonts w:ascii="Arial" w:cs="Arial" w:eastAsia="Arial" w:hAnsi="Arial"/>
          <w:sz w:val="18"/>
          <w:szCs w:val="18"/>
          <w:color w:val="auto"/>
        </w:rPr>
        <w:t>Southwest Gas Corporation</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1F28CD"/>
    <w:multiLevelType w:val="hybridMultilevel"/>
    <w:lvl w:ilvl="0">
      <w:lvlJc w:val="left"/>
      <w:lvlText w:val="☒"/>
      <w:numFmt w:val="bullet"/>
      <w:start w:val="1"/>
    </w:lvl>
  </w:abstractNum>
  <w:abstractNum w:abstractNumId="1">
    <w:nsid w:val="7F65FD16"/>
    <w:multiLevelType w:val="hybridMultilevel"/>
    <w:lvl w:ilvl="0">
      <w:lvlJc w:val="left"/>
      <w:lvlText w:val="☐"/>
      <w:numFmt w:val="bullet"/>
      <w:start w:val="1"/>
    </w:lvl>
  </w:abstractNum>
  <w:abstractNum w:abstractNumId="2">
    <w:nsid w:val="77C9FD68"/>
    <w:multiLevelType w:val="hybridMultilevel"/>
    <w:lvl w:ilvl="0">
      <w:lvlJc w:val="left"/>
      <w:lvlText w:val="&amp;"/>
      <w:numFmt w:val="bullet"/>
      <w:start w:val="1"/>
    </w:lvl>
  </w:abstractNum>
  <w:abstractNum w:abstractNumId="3">
    <w:nsid w:val="298A92BA"/>
    <w:multiLevelType w:val="hybridMultilevel"/>
    <w:lvl w:ilvl="0">
      <w:lvlJc w:val="left"/>
      <w:lvlText w:val="•"/>
      <w:numFmt w:val="bullet"/>
      <w:start w:val="1"/>
    </w:lvl>
  </w:abstractNum>
  <w:abstractNum w:abstractNumId="4">
    <w:nsid w:val="6FE95EAC"/>
    <w:multiLevelType w:val="hybridMultilevel"/>
    <w:lvl w:ilvl="0">
      <w:lvlJc w:val="left"/>
      <w:lvlText w:val="(%1)"/>
      <w:numFmt w:val="lowerLetter"/>
      <w:start w:val="1"/>
    </w:lvl>
  </w:abstractNum>
  <w:abstractNum w:abstractNumId="5">
    <w:nsid w:val="4B697C7A"/>
    <w:multiLevelType w:val="hybridMultilevel"/>
    <w:lvl w:ilvl="0">
      <w:lvlJc w:val="left"/>
      <w:lvlText w:val="(%1)"/>
      <w:numFmt w:val="lowerLetter"/>
      <w:start w:val="10"/>
    </w:lvl>
  </w:abstractNum>
  <w:abstractNum w:abstractNumId="6">
    <w:nsid w:val="51A27AA6"/>
    <w:multiLevelType w:val="hybridMultilevel"/>
    <w:lvl w:ilvl="0">
      <w:lvlJc w:val="left"/>
      <w:lvlText w:val="(%1)"/>
      <w:numFmt w:val="lowerLetter"/>
      <w:start w:val="1"/>
    </w:lvl>
  </w:abstractNum>
  <w:abstractNum w:abstractNumId="7">
    <w:nsid w:val="613183F2"/>
    <w:multiLevelType w:val="hybridMultilevel"/>
    <w:lvl w:ilvl="0">
      <w:lvlJc w:val="left"/>
      <w:lvlText w:val="(%1)"/>
      <w:numFmt w:val="lowerLetter"/>
      <w:start w:val="1"/>
    </w:lvl>
  </w:abstractNum>
  <w:abstractNum w:abstractNumId="8">
    <w:nsid w:val="634102B4"/>
    <w:multiLevelType w:val="hybridMultilevel"/>
    <w:lvl w:ilvl="0">
      <w:lvlJc w:val="left"/>
      <w:lvlText w:val="(%1)"/>
      <w:numFmt w:val="decimal"/>
      <w:start w:val="1"/>
    </w:lvl>
  </w:abstractNum>
  <w:abstractNum w:abstractNumId="9">
    <w:nsid w:val="65BF9DA8"/>
    <w:multiLevelType w:val="hybridMultilevel"/>
    <w:lvl w:ilvl="0">
      <w:lvlJc w:val="left"/>
      <w:lvlText w:val="(%1)"/>
      <w:numFmt w:val="lowerLetter"/>
      <w:start w:val="1"/>
    </w:lvl>
    <w:lvl w:ilvl="1">
      <w:lvlJc w:val="left"/>
      <w:lvlText w:val="(%2)"/>
      <w:numFmt w:val="decimal"/>
      <w:start w:val="1"/>
    </w:lvl>
  </w:abstractNum>
  <w:abstractNum w:abstractNumId="10">
    <w:nsid w:val="21A2ECCA"/>
    <w:multiLevelType w:val="hybridMultilevel"/>
    <w:lvl w:ilvl="0">
      <w:lvlJc w:val="left"/>
      <w:lvlText w:val="%1"/>
      <w:numFmt w:val="lowerLetter"/>
      <w:start w:val="1"/>
    </w:lvl>
    <w:lvl w:ilvl="1">
      <w:lvlJc w:val="left"/>
      <w:lvlText w:val="(%2)"/>
      <w:numFmt w:val="decimal"/>
      <w:start w:val="2"/>
    </w:lvl>
  </w:abstractNum>
  <w:abstractNum w:abstractNumId="11">
    <w:nsid w:val="4D5C4899"/>
    <w:multiLevelType w:val="hybridMultilevel"/>
    <w:lvl w:ilvl="0">
      <w:lvlJc w:val="left"/>
      <w:lvlText w:val="(%1)"/>
      <w:numFmt w:val="lowerLetter"/>
      <w:start w:val="2"/>
    </w:lvl>
    <w:lvl w:ilvl="1">
      <w:lvlJc w:val="left"/>
      <w:lvlText w:val="%2"/>
      <w:numFmt w:val="decimal"/>
      <w:start w:val="1"/>
    </w:lvl>
  </w:abstractNum>
  <w:abstractNum w:abstractNumId="12">
    <w:nsid w:val="3C3B72B2"/>
    <w:multiLevelType w:val="hybridMultilevel"/>
    <w:lvl w:ilvl="0">
      <w:lvlJc w:val="left"/>
      <w:lvlText w:val="*"/>
      <w:numFmt w:val="bullet"/>
      <w:start w:val="1"/>
    </w:lvl>
  </w:abstractNum>
  <w:abstractNum w:abstractNumId="13">
    <w:nsid w:val="155EC4C2"/>
    <w:multiLevelType w:val="hybridMultilevel"/>
    <w:lvl w:ilvl="0">
      <w:lvlJc w:val="left"/>
      <w:lvlText w:val="***"/>
      <w:numFmt w:val="bullet"/>
      <w:start w:val="1"/>
    </w:lvl>
  </w:abstractNum>
  <w:abstractNum w:abstractNumId="14">
    <w:nsid w:val="65D2A137"/>
    <w:multiLevelType w:val="hybridMultilevel"/>
    <w:lvl w:ilvl="0">
      <w:lvlJc w:val="left"/>
      <w:lvlText w:val="(%1)"/>
      <w:numFmt w:val="lowerLetter"/>
      <w:start w:val="1"/>
    </w:lvl>
  </w:abstractNum>
  <w:abstractNum w:abstractNumId="15">
    <w:nsid w:val="6EBB1F2A"/>
    <w:multiLevelType w:val="hybridMultilevel"/>
    <w:lvl w:ilvl="0">
      <w:lvlJc w:val="left"/>
      <w:lvlText w:val="(%1)"/>
      <w:numFmt w:val="lowerLetter"/>
      <w:start w:val="35"/>
    </w:lvl>
  </w:abstractNum>
  <w:abstractNum w:abstractNumId="16">
    <w:nsid w:val="6FBF29CB"/>
    <w:multiLevelType w:val="hybridMultilevel"/>
    <w:lvl w:ilvl="0">
      <w:lvlJc w:val="left"/>
      <w:lvlText w:val="(%1)"/>
      <w:numFmt w:val="lowerLetter"/>
      <w:start w:val="24"/>
    </w:lvl>
  </w:abstractNum>
  <w:abstractNum w:abstractNumId="17">
    <w:nsid w:val="550B8808"/>
    <w:multiLevelType w:val="hybridMultilevel"/>
    <w:lvl w:ilvl="0">
      <w:lvlJc w:val="left"/>
      <w:lvlText w:val="(%1)"/>
      <w:numFmt w:val="lowerRoman"/>
      <w:start w:val="1"/>
    </w:lvl>
  </w:abstractNum>
  <w:abstractNum w:abstractNumId="18">
    <w:nsid w:val="34CC3AC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9">
    <w:nsid w:val="4E556261"/>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0">
    <w:nsid w:val="4C672FC9"/>
    <w:multiLevelType w:val="hybridMultilevel"/>
    <w:lvl w:ilvl="0">
      <w:lvlJc w:val="left"/>
      <w:lvlText w:val="(%1)"/>
      <w:numFmt w:val="lowerRoman"/>
      <w:start w:val="8"/>
    </w:lvl>
  </w:abstractNum>
  <w:abstractNum w:abstractNumId="21">
    <w:nsid w:val="52A311C3"/>
    <w:multiLevelType w:val="hybridMultilevel"/>
    <w:lvl w:ilvl="0">
      <w:lvlJc w:val="left"/>
      <w:lvlText w:val="(%1)"/>
      <w:numFmt w:val="lowerLetter"/>
      <w:start w:val="7"/>
    </w:lvl>
  </w:abstractNum>
  <w:abstractNum w:abstractNumId="22">
    <w:nsid w:val="44EF6B80"/>
    <w:multiLevelType w:val="hybridMultilevel"/>
    <w:lvl w:ilvl="0">
      <w:lvlJc w:val="left"/>
      <w:lvlText w:val="(%1)"/>
      <w:numFmt w:val="lowerRoman"/>
      <w:start w:val="2"/>
    </w:lvl>
  </w:abstractNum>
  <w:abstractNum w:abstractNumId="23">
    <w:nsid w:val="12FCDE5E"/>
    <w:multiLevelType w:val="hybridMultilevel"/>
    <w:lvl w:ilvl="0">
      <w:lvlJc w:val="left"/>
      <w:lvlText w:val="(%1)"/>
      <w:numFmt w:val="lowerLetter"/>
      <w:start w:val="1"/>
    </w:lvl>
  </w:abstractNum>
  <w:abstractNum w:abstractNumId="24">
    <w:nsid w:val="4A1D606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5">
    <w:nsid w:val="4382503"/>
    <w:multiLevelType w:val="hybridMultilevel"/>
    <w:lvl w:ilvl="0">
      <w:lvlJc w:val="left"/>
      <w:lvlText w:val="(%1)"/>
      <w:numFmt w:val="lowerLetter"/>
      <w:start w:val="3"/>
    </w:lvl>
  </w:abstractNum>
  <w:abstractNum w:abstractNumId="26">
    <w:nsid w:val="59B76E28"/>
    <w:multiLevelType w:val="hybridMultilevel"/>
    <w:lvl w:ilvl="0">
      <w:lvlJc w:val="left"/>
      <w:lvlText w:val="(%1)"/>
      <w:numFmt w:val="lowerLetter"/>
      <w:start w:val="4"/>
    </w:lvl>
    <w:lvl w:ilvl="1">
      <w:lvlJc w:val="left"/>
      <w:lvlText w:val="(%2)"/>
      <w:numFmt w:val="lowerLetter"/>
      <w:start w:val="5"/>
    </w:lvl>
  </w:abstractNum>
  <w:abstractNum w:abstractNumId="27">
    <w:nsid w:val="4252C2DA"/>
    <w:multiLevelType w:val="hybridMultilevel"/>
    <w:lvl w:ilvl="0">
      <w:lvlJc w:val="left"/>
      <w:lvlText w:val="%1."/>
      <w:numFmt w:val="decimal"/>
      <w:start w:val="1"/>
    </w:lvl>
    <w:lvl w:ilvl="1">
      <w:lvlJc w:val="left"/>
      <w:lvlText w:val="(%2)"/>
      <w:numFmt w:val="lowerLetter"/>
      <w:start w:val="1"/>
    </w:lvl>
  </w:abstractNum>
  <w:abstractNum w:abstractNumId="28">
    <w:nsid w:val="6A92EF4C"/>
    <w:multiLevelType w:val="hybridMultilevel"/>
    <w:lvl w:ilvl="0">
      <w:lvlJc w:val="left"/>
      <w:lvlText w:val="1"/>
      <w:numFmt w:val="bullet"/>
      <w:start w:val="1"/>
    </w:lvl>
  </w:abstractNum>
  <w:abstractNum w:abstractNumId="29">
    <w:nsid w:val="41ED20D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
    </w:lvl>
  </w:abstractNum>
  <w:abstractNum w:abstractNumId="30">
    <w:nsid w:val="E6B3F6A"/>
    <w:multiLevelType w:val="hybridMultilevel"/>
    <w:lvl w:ilvl="0">
      <w:lvlJc w:val="left"/>
      <w:lvlText w:val="2"/>
      <w:numFmt w:val="bullet"/>
      <w:start w:val="1"/>
    </w:lvl>
  </w:abstractNum>
  <w:abstractNum w:abstractNumId="31">
    <w:nsid w:val="3EB2181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2">
    <w:nsid w:val="41531DED"/>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33">
    <w:nsid w:val="6353CD2"/>
    <w:multiLevelType w:val="hybridMultilevel"/>
    <w:lvl w:ilvl="0">
      <w:lvlJc w:val="left"/>
      <w:lvlText w:val="%1"/>
      <w:numFmt w:val="decimal"/>
      <w:start w:val="1"/>
    </w:lvl>
    <w:lvl w:ilvl="1">
      <w:lvlJc w:val="left"/>
      <w:lvlText w:val="(%2)"/>
      <w:numFmt w:val="lowerLetter"/>
      <w:start w:val="3"/>
    </w:lvl>
  </w:abstractNum>
  <w:abstractNum w:abstractNumId="34">
    <w:nsid w:val="683CAAD3"/>
    <w:multiLevelType w:val="hybridMultilevel"/>
    <w:lvl w:ilvl="0">
      <w:lvlJc w:val="left"/>
      <w:lvlText w:val="%1."/>
      <w:numFmt w:val="decimal"/>
      <w:start w:val="6"/>
    </w:lvl>
    <w:lvl w:ilvl="1">
      <w:lvlJc w:val="left"/>
      <w:lvlText w:val="%2"/>
      <w:numFmt w:val="lowerLetter"/>
      <w:start w:val="1"/>
    </w:lvl>
  </w:abstractNum>
  <w:abstractNum w:abstractNumId="35">
    <w:nsid w:val="313C7C99"/>
    <w:multiLevelType w:val="hybridMultilevel"/>
    <w:lvl w:ilvl="0">
      <w:lvlJc w:val="left"/>
      <w:lvlText w:val="3"/>
      <w:numFmt w:val="bullet"/>
      <w:start w:val="1"/>
    </w:lvl>
  </w:abstractNum>
  <w:abstractNum w:abstractNumId="36">
    <w:nsid w:val="519EB94C"/>
    <w:multiLevelType w:val="hybridMultilevel"/>
    <w:lvl w:ilvl="0">
      <w:lvlJc w:val="left"/>
      <w:lvlText w:val="%1"/>
      <w:numFmt w:val="lowerLetter"/>
      <w:start w:val="1"/>
    </w:lvl>
    <w:lvl w:ilvl="1">
      <w:lvlJc w:val="left"/>
      <w:lvlText w:val="%2."/>
      <w:numFmt w:val="decimal"/>
      <w:start w:val="7"/>
    </w:lvl>
  </w:abstractNum>
  <w:abstractNum w:abstractNumId="37">
    <w:nsid w:val="39DF2579"/>
    <w:multiLevelType w:val="hybridMultilevel"/>
    <w:lvl w:ilvl="0">
      <w:lvlJc w:val="left"/>
      <w:lvlText w:val="(%1)"/>
      <w:numFmt w:val="lowerLetter"/>
      <w:start w:val="3"/>
    </w:lvl>
    <w:lvl w:ilvl="1">
      <w:lvlJc w:val="left"/>
      <w:lvlText w:val="%2."/>
      <w:numFmt w:val="decimal"/>
      <w:start w:val="8"/>
    </w:lvl>
  </w:abstractNum>
  <w:abstractNum w:abstractNumId="38">
    <w:nsid w:val="126E008B"/>
    <w:multiLevelType w:val="hybridMultilevel"/>
    <w:lvl w:ilvl="0">
      <w:lvlJc w:val="left"/>
      <w:lvlText w:val="2"/>
      <w:numFmt w:val="bullet"/>
      <w:start w:val="1"/>
    </w:lvl>
  </w:abstractNum>
  <w:abstractNum w:abstractNumId="39">
    <w:nsid w:val="34DFBC00"/>
    <w:multiLevelType w:val="hybridMultilevel"/>
    <w:lvl w:ilvl="0">
      <w:lvlJc w:val="left"/>
      <w:lvlText w:val="3"/>
      <w:numFmt w:val="bullet"/>
      <w:start w:val="1"/>
    </w:lvl>
  </w:abstractNum>
  <w:abstractNum w:abstractNumId="40">
    <w:nsid w:val="1F9EC322"/>
    <w:multiLevelType w:val="hybridMultilevel"/>
    <w:lvl w:ilvl="0">
      <w:lvlJc w:val="left"/>
      <w:lvlText w:val="(%1)"/>
      <w:numFmt w:val="lowerLetter"/>
      <w:start w:val="3"/>
    </w:lvl>
  </w:abstractNum>
  <w:abstractNum w:abstractNumId="41">
    <w:nsid w:val="3410ED56"/>
    <w:multiLevelType w:val="hybridMultilevel"/>
    <w:lvl w:ilvl="0">
      <w:lvlJc w:val="left"/>
      <w:lvlText w:val="%1"/>
      <w:numFmt w:val="lowerRoman"/>
      <w:start w:val="1"/>
    </w:lvl>
    <w:lvl w:ilvl="1">
      <w:lvlJc w:val="left"/>
      <w:lvlText w:val="(%2)"/>
      <w:numFmt w:val="decimal"/>
      <w:start w:val="1"/>
    </w:lvl>
  </w:abstractNum>
  <w:abstractNum w:abstractNumId="42">
    <w:nsid w:val="23C049A"/>
    <w:multiLevelType w:val="hybridMultilevel"/>
    <w:lvl w:ilvl="0">
      <w:lvlJc w:val="left"/>
      <w:lvlText w:val="(%1)"/>
      <w:numFmt w:val="lowerRoman"/>
      <w:start w:val="2"/>
    </w:lvl>
    <w:lvl w:ilvl="1">
      <w:lvlJc w:val="left"/>
      <w:lvlText w:val="%2"/>
      <w:numFmt w:val="decimal"/>
      <w:start w:val="1"/>
    </w:lvl>
  </w:abstractNum>
  <w:abstractNum w:abstractNumId="43">
    <w:nsid w:val="5BDA35D4"/>
    <w:multiLevelType w:val="hybridMultilevel"/>
    <w:lvl w:ilvl="0">
      <w:lvlJc w:val="left"/>
      <w:lvlText w:val="(%1)"/>
      <w:numFmt w:val="decimal"/>
      <w:start w:val="2"/>
    </w:lvl>
  </w:abstractNum>
  <w:abstractNum w:abstractNumId="44">
    <w:nsid w:val="496FB218"/>
    <w:multiLevelType w:val="hybridMultilevel"/>
    <w:lvl w:ilvl="0">
      <w:lvlJc w:val="left"/>
      <w:lvlText w:val="5"/>
      <w:numFmt w:val="bullet"/>
      <w:start w:val="1"/>
    </w:lvl>
  </w:abstractNum>
  <w:abstractNum w:abstractNumId="45">
    <w:nsid w:val="680EA5D1"/>
    <w:multiLevelType w:val="hybridMultilevel"/>
    <w:lvl w:ilvl="0">
      <w:lvlJc w:val="left"/>
      <w:lvlText w:val="(%1)"/>
      <w:numFmt w:val="decimal"/>
      <w:start w:val="1"/>
    </w:lvl>
  </w:abstractNum>
  <w:abstractNum w:abstractNumId="46">
    <w:nsid w:val="4A9554FE"/>
    <w:multiLevelType w:val="hybridMultilevel"/>
    <w:lvl w:ilvl="0">
      <w:lvlJc w:val="left"/>
      <w:lvlText w:val="6"/>
      <w:numFmt w:val="bullet"/>
      <w:start w:val="1"/>
    </w:lvl>
  </w:abstractNum>
  <w:abstractNum w:abstractNumId="47">
    <w:nsid w:val="392EDBE4"/>
    <w:multiLevelType w:val="hybridMultilevel"/>
    <w:lvl w:ilvl="0">
      <w:lvlJc w:val="left"/>
      <w:lvlText w:val="(%1)"/>
      <w:numFmt w:val="decimal"/>
      <w:start w:val="3"/>
    </w:lvl>
  </w:abstractNum>
  <w:abstractNum w:abstractNumId="48">
    <w:nsid w:val="3D1A2DD9"/>
    <w:multiLevelType w:val="hybridMultilevel"/>
    <w:lvl w:ilvl="0">
      <w:lvlJc w:val="left"/>
      <w:lvlText w:val="7"/>
      <w:numFmt w:val="bullet"/>
      <w:start w:val="1"/>
    </w:lvl>
  </w:abstractNum>
  <w:abstractNum w:abstractNumId="49">
    <w:nsid w:val="7F618FCD"/>
    <w:multiLevelType w:val="hybridMultilevel"/>
    <w:lvl w:ilvl="0">
      <w:lvlJc w:val="left"/>
      <w:lvlText w:val="(%1)"/>
      <w:numFmt w:val="decimal"/>
      <w:start w:val="1"/>
    </w:lvl>
    <w:lvl w:ilvl="1">
      <w:lvlJc w:val="left"/>
      <w:lvlText w:val="(%2)"/>
      <w:numFmt w:val="lowerLetter"/>
      <w:start w:val="1"/>
    </w:lvl>
  </w:abstractNum>
  <w:abstractNum w:abstractNumId="50">
    <w:nsid w:val="7843E45"/>
    <w:multiLevelType w:val="hybridMultilevel"/>
    <w:lvl w:ilvl="0">
      <w:lvlJc w:val="left"/>
      <w:lvlText w:val="(%1)"/>
      <w:numFmt w:val="decimal"/>
      <w:start w:val="3"/>
    </w:lvl>
  </w:abstractNum>
  <w:abstractNum w:abstractNumId="51">
    <w:nsid w:val="9815DA3"/>
    <w:multiLevelType w:val="hybridMultilevel"/>
    <w:lvl w:ilvl="0">
      <w:lvlJc w:val="left"/>
      <w:lvlText w:val="8"/>
      <w:numFmt w:val="bullet"/>
      <w:start w:val="1"/>
    </w:lvl>
  </w:abstractNum>
  <w:abstractNum w:abstractNumId="52">
    <w:nsid w:val="5204A191"/>
    <w:multiLevelType w:val="hybridMultilevel"/>
    <w:lvl w:ilvl="0">
      <w:lvlJc w:val="left"/>
      <w:lvlText w:val="(%1)"/>
      <w:numFmt w:val="lowerLetter"/>
      <w:start w:val="1"/>
    </w:lvl>
  </w:abstractNum>
  <w:abstractNum w:abstractNumId="53">
    <w:nsid w:val="4C73A9C6"/>
    <w:multiLevelType w:val="hybridMultilevel"/>
    <w:lvl w:ilvl="0">
      <w:lvlJc w:val="left"/>
      <w:lvlText w:val="(%1)"/>
      <w:numFmt w:val="lowerRoman"/>
      <w:start w:val="2"/>
    </w:lvl>
  </w:abstractNum>
  <w:abstractNum w:abstractNumId="54">
    <w:nsid w:val="1C7E3C01"/>
    <w:multiLevelType w:val="hybridMultilevel"/>
    <w:lvl w:ilvl="0">
      <w:lvlJc w:val="left"/>
      <w:lvlText w:val="%1."/>
      <w:numFmt w:val="lowerRoman"/>
      <w:start w:val="1"/>
    </w:lvl>
  </w:abstractNum>
  <w:abstractNum w:abstractNumId="55">
    <w:nsid w:val="1C2201FF"/>
    <w:multiLevelType w:val="hybridMultilevel"/>
    <w:lvl w:ilvl="0">
      <w:lvlJc w:val="left"/>
      <w:lvlText w:val="9"/>
      <w:numFmt w:val="bullet"/>
      <w:start w:val="1"/>
    </w:lvl>
  </w:abstractNum>
  <w:abstractNum w:abstractNumId="56">
    <w:nsid w:val="50ABCEC9"/>
    <w:multiLevelType w:val="hybridMultilevel"/>
    <w:lvl w:ilvl="0">
      <w:lvlJc w:val="left"/>
      <w:lvlText w:val="%1."/>
      <w:numFmt w:val="lowerRoman"/>
      <w:start w:val="2"/>
    </w:lvl>
  </w:abstractNum>
  <w:abstractNum w:abstractNumId="57">
    <w:nsid w:val="7635AA2A"/>
    <w:multiLevelType w:val="hybridMultilevel"/>
    <w:lvl w:ilvl="0">
      <w:lvlJc w:val="left"/>
      <w:lvlText w:val="(%1)"/>
      <w:numFmt w:val="decimal"/>
      <w:start w:val="1"/>
    </w:lvl>
  </w:abstractNum>
  <w:abstractNum w:abstractNumId="58">
    <w:nsid w:val="5E74C4D9"/>
    <w:multiLevelType w:val="hybridMultilevel"/>
    <w:lvl w:ilvl="0">
      <w:lvlJc w:val="left"/>
      <w:lvlText w:val="%1"/>
      <w:numFmt w:val="decimal"/>
      <w:start w:val="10"/>
    </w:lvl>
  </w:abstractNum>
  <w:abstractNum w:abstractNumId="59">
    <w:nsid w:val="3B3EBE15"/>
    <w:multiLevelType w:val="hybridMultilevel"/>
    <w:lvl w:ilvl="0">
      <w:lvlJc w:val="left"/>
      <w:lvlText w:val="(%1)"/>
      <w:numFmt w:val="decimal"/>
      <w:start w:val="1"/>
    </w:lvl>
  </w:abstractNum>
  <w:abstractNum w:abstractNumId="60">
    <w:nsid w:val="3822CB01"/>
    <w:multiLevelType w:val="hybridMultilevel"/>
    <w:lvl w:ilvl="0">
      <w:lvlJc w:val="left"/>
      <w:lvlText w:val="(%1)"/>
      <w:numFmt w:val="decimal"/>
      <w:start w:val="1"/>
    </w:lvl>
  </w:abstractNum>
  <w:abstractNum w:abstractNumId="61">
    <w:nsid w:val="6CE00443"/>
    <w:multiLevelType w:val="hybridMultilevel"/>
    <w:lvl w:ilvl="0">
      <w:lvlJc w:val="left"/>
      <w:lvlText w:val="%1"/>
      <w:numFmt w:val="decimal"/>
      <w:start w:val="11"/>
    </w:lvl>
  </w:abstractNum>
  <w:abstractNum w:abstractNumId="62">
    <w:nsid w:val="79F0D62F"/>
    <w:multiLevelType w:val="hybridMultilevel"/>
    <w:lvl w:ilvl="0">
      <w:lvlJc w:val="left"/>
      <w:lvlText w:val="(%1)"/>
      <w:numFmt w:val="decimal"/>
      <w:start w:val="3"/>
    </w:lvl>
  </w:abstractNum>
  <w:abstractNum w:abstractNumId="63">
    <w:nsid w:val="7975E8EE"/>
    <w:multiLevelType w:val="hybridMultilevel"/>
    <w:lvl w:ilvl="0">
      <w:lvlJc w:val="left"/>
      <w:lvlText w:val="(%1)"/>
      <w:numFmt w:val="decimal"/>
      <w:start w:val="1"/>
    </w:lvl>
  </w:abstractNum>
  <w:abstractNum w:abstractNumId="64">
    <w:nsid w:val="73154115"/>
    <w:multiLevelType w:val="hybridMultilevel"/>
    <w:lvl w:ilvl="0">
      <w:lvlJc w:val="left"/>
      <w:lvlText w:val="%1"/>
      <w:numFmt w:val="decimal"/>
      <w:start w:val="12"/>
    </w:lvl>
  </w:abstractNum>
  <w:abstractNum w:abstractNumId="65">
    <w:nsid w:val="622D8102"/>
    <w:multiLevelType w:val="hybridMultilevel"/>
    <w:lvl w:ilvl="0">
      <w:lvlJc w:val="left"/>
      <w:lvlText w:val="%1"/>
      <w:numFmt w:val="lowerLetter"/>
      <w:start w:val="1"/>
    </w:lvl>
    <w:lvl w:ilvl="1">
      <w:lvlJc w:val="left"/>
      <w:lvlText w:val="(%2)"/>
      <w:numFmt w:val="decimal"/>
      <w:start w:val="1"/>
    </w:lvl>
  </w:abstractNum>
  <w:abstractNum w:abstractNumId="66">
    <w:nsid w:val="2AB26587"/>
    <w:multiLevelType w:val="hybridMultilevel"/>
    <w:lvl w:ilvl="0">
      <w:lvlJc w:val="left"/>
      <w:lvlText w:val="(%1)"/>
      <w:numFmt w:val="lowerLetter"/>
      <w:start w:val="1"/>
    </w:lvl>
    <w:lvl w:ilvl="1">
      <w:lvlJc w:val="left"/>
      <w:lvlText w:val="%2"/>
      <w:numFmt w:val="decimal"/>
      <w:start w:val="1"/>
    </w:lvl>
  </w:abstractNum>
  <w:abstractNum w:abstractNumId="67">
    <w:nsid w:val="44B3FA61"/>
    <w:multiLevelType w:val="hybridMultilevel"/>
    <w:lvl w:ilvl="0">
      <w:lvlJc w:val="left"/>
      <w:lvlText w:val="%1"/>
      <w:numFmt w:val="decimal"/>
      <w:start w:val="13"/>
    </w:lvl>
  </w:abstractNum>
  <w:abstractNum w:abstractNumId="68">
    <w:nsid w:val="1C0CA67C"/>
    <w:multiLevelType w:val="hybridMultilevel"/>
    <w:lvl w:ilvl="0">
      <w:lvlJc w:val="left"/>
      <w:lvlText w:val="%1"/>
      <w:numFmt w:val="decimal"/>
      <w:start w:val="13"/>
    </w:lvl>
  </w:abstractNum>
  <w:abstractNum w:abstractNumId="69">
    <w:nsid w:val="3D206613"/>
    <w:multiLevelType w:val="hybridMultilevel"/>
    <w:lvl w:ilvl="0">
      <w:lvlJc w:val="left"/>
      <w:lvlText w:val="%1"/>
      <w:numFmt w:val="decimal"/>
      <w:start w:val="14"/>
    </w:lvl>
  </w:abstractNum>
  <w:abstractNum w:abstractNumId="70">
    <w:nsid w:val="7993B662"/>
    <w:multiLevelType w:val="hybridMultilevel"/>
    <w:lvl w:ilvl="0">
      <w:lvlJc w:val="left"/>
      <w:lvlText w:val="(%1)"/>
      <w:numFmt w:val="lowerLetter"/>
      <w:start w:val="1"/>
    </w:lvl>
  </w:abstractNum>
  <w:abstractNum w:abstractNumId="71">
    <w:nsid w:val="3BAB699E"/>
    <w:multiLevelType w:val="hybridMultilevel"/>
    <w:lvl w:ilvl="0">
      <w:lvlJc w:val="left"/>
      <w:lvlText w:val="%1"/>
      <w:numFmt w:val="decimal"/>
      <w:start w:val="15"/>
    </w:lvl>
  </w:abstractNum>
  <w:abstractNum w:abstractNumId="72">
    <w:nsid w:val="71315369"/>
    <w:multiLevelType w:val="hybridMultilevel"/>
    <w:lvl w:ilvl="0">
      <w:lvlJc w:val="left"/>
      <w:lvlText w:val="%1"/>
      <w:numFmt w:val="decimal"/>
      <w:start w:val="16"/>
    </w:lvl>
  </w:abstractNum>
  <w:abstractNum w:abstractNumId="73">
    <w:nsid w:val="7BCFBAFC"/>
    <w:multiLevelType w:val="hybridMultilevel"/>
    <w:lvl w:ilvl="0">
      <w:lvlJc w:val="left"/>
      <w:lvlText w:val="%1"/>
      <w:numFmt w:val="decimal"/>
      <w:start w:val="16"/>
    </w:lvl>
  </w:abstractNum>
  <w:abstractNum w:abstractNumId="74">
    <w:nsid w:val="17859F72"/>
    <w:multiLevelType w:val="hybridMultilevel"/>
    <w:lvl w:ilvl="0">
      <w:lvlJc w:val="left"/>
      <w:lvlText w:val="%1"/>
      <w:numFmt w:val="decimal"/>
      <w:start w:val="17"/>
    </w:lvl>
  </w:abstractNum>
  <w:abstractNum w:abstractNumId="75">
    <w:nsid w:val="3AA10581"/>
    <w:multiLevelType w:val="hybridMultilevel"/>
    <w:lvl w:ilvl="0">
      <w:lvlJc w:val="left"/>
      <w:lvlText w:val="%1"/>
      <w:numFmt w:val="decimal"/>
      <w:start w:val="18"/>
    </w:lvl>
  </w:abstractNum>
  <w:abstractNum w:abstractNumId="76">
    <w:nsid w:val="63DE60CD"/>
    <w:multiLevelType w:val="hybridMultilevel"/>
    <w:lvl w:ilvl="0">
      <w:lvlJc w:val="left"/>
      <w:lvlText w:val="(%1)"/>
      <w:numFmt w:val="decimal"/>
      <w:start w:val="1"/>
    </w:lvl>
  </w:abstractNum>
  <w:abstractNum w:abstractNumId="77">
    <w:nsid w:val="621AF471"/>
    <w:multiLevelType w:val="hybridMultilevel"/>
    <w:lvl w:ilvl="0">
      <w:lvlJc w:val="left"/>
      <w:lvlText w:val="%1"/>
      <w:numFmt w:val="decimal"/>
      <w:start w:val="19"/>
    </w:lvl>
  </w:abstractNum>
  <w:abstractNum w:abstractNumId="78">
    <w:nsid w:val="73CFE16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79">
    <w:nsid w:val="20F88EA6"/>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lvl w:ilvl="3">
      <w:lvlJc w:val="left"/>
      <w:lvlText w:val="%4"/>
      <w:numFmt w:val="lowerLetter"/>
      <w:start w:val="1"/>
    </w:lvl>
  </w:abstractNum>
  <w:abstractNum w:abstractNumId="80">
    <w:nsid w:val="617C843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lowerLetter"/>
      <w:start w:val="1"/>
    </w:lvl>
  </w:abstractNum>
  <w:abstractNum w:abstractNumId="81">
    <w:nsid w:val="7B541FAB"/>
    <w:multiLevelType w:val="hybridMultilevel"/>
    <w:lvl w:ilvl="0">
      <w:lvlJc w:val="left"/>
      <w:lvlText w:val="%1"/>
      <w:numFmt w:val="decimal"/>
      <w:start w:val="20"/>
    </w:lvl>
  </w:abstractNum>
  <w:abstractNum w:abstractNumId="82">
    <w:nsid w:val="2A79EC49"/>
    <w:multiLevelType w:val="hybridMultilevel"/>
    <w:lvl w:ilvl="0">
      <w:lvlJc w:val="left"/>
      <w:lvlText w:val="%1"/>
      <w:numFmt w:val="decimal"/>
      <w:start w:val="1"/>
    </w:lvl>
    <w:lvl w:ilvl="1">
      <w:lvlJc w:val="left"/>
      <w:lvlText w:val="%2."/>
      <w:numFmt w:val="lowerRoman"/>
      <w:start w:val="10"/>
    </w:lvl>
  </w:abstractNum>
  <w:abstractNum w:abstractNumId="83">
    <w:nsid w:val="338125CF"/>
    <w:multiLevelType w:val="hybridMultilevel"/>
    <w:lvl w:ilvl="0">
      <w:lvlJc w:val="left"/>
      <w:lvlText w:val="(%1)"/>
      <w:numFmt w:val="decimal"/>
      <w:start w:val="18"/>
    </w:lvl>
    <w:lvl w:ilvl="1">
      <w:lvlJc w:val="left"/>
      <w:lvlText w:val="%2"/>
      <w:numFmt w:val="lowerRoman"/>
      <w:start w:val="1"/>
    </w:lvl>
  </w:abstractNum>
  <w:abstractNum w:abstractNumId="84">
    <w:nsid w:val="47C7C971"/>
    <w:multiLevelType w:val="hybridMultilevel"/>
    <w:lvl w:ilvl="0">
      <w:lvlJc w:val="left"/>
      <w:lvlText w:val="(%1)"/>
      <w:numFmt w:val="lowerLetter"/>
      <w:start w:val="3"/>
    </w:lvl>
  </w:abstractNum>
  <w:abstractNum w:abstractNumId="85">
    <w:nsid w:val="46F8284B"/>
    <w:multiLevelType w:val="hybridMultilevel"/>
    <w:lvl w:ilvl="0">
      <w:lvlJc w:val="left"/>
      <w:lvlText w:val="%1"/>
      <w:numFmt w:val="lowerRoman"/>
      <w:start w:val="1"/>
    </w:lvl>
    <w:lvl w:ilvl="1">
      <w:lvlJc w:val="left"/>
      <w:lvlText w:val="%2."/>
      <w:numFmt w:val="lowerRoman"/>
      <w:start w:val="1"/>
    </w:lvl>
  </w:abstractNum>
  <w:abstractNum w:abstractNumId="86">
    <w:nsid w:val="4FA327CE"/>
    <w:multiLevelType w:val="hybridMultilevel"/>
    <w:lvl w:ilvl="0">
      <w:lvlJc w:val="left"/>
      <w:lvlText w:val="%1."/>
      <w:numFmt w:val="lowerRoman"/>
      <w:start w:val="4"/>
    </w:lvl>
    <w:lvl w:ilvl="1">
      <w:lvlJc w:val="left"/>
      <w:lvlText w:val="%2"/>
      <w:numFmt w:val="lowerRoman"/>
      <w:start w:val="1"/>
    </w:lvl>
  </w:abstractNum>
  <w:abstractNum w:abstractNumId="87">
    <w:nsid w:val="1873983A"/>
    <w:multiLevelType w:val="hybridMultilevel"/>
    <w:lvl w:ilvl="0">
      <w:lvlJc w:val="left"/>
      <w:lvlText w:val="(%1)"/>
      <w:numFmt w:val="lowerRoman"/>
      <w:start w:val="1"/>
    </w:lvl>
  </w:abstractNum>
  <w:abstractNum w:abstractNumId="88">
    <w:nsid w:val="3D2DD275"/>
    <w:multiLevelType w:val="hybridMultilevel"/>
    <w:lvl w:ilvl="0">
      <w:lvlJc w:val="left"/>
      <w:lvlText w:val="%1"/>
      <w:numFmt w:val="decimal"/>
      <w:start w:val="22"/>
    </w:lvl>
  </w:abstractNum>
  <w:abstractNum w:abstractNumId="89">
    <w:nsid w:val="2E17ECA7"/>
    <w:multiLevelType w:val="hybridMultilevel"/>
    <w:lvl w:ilvl="0">
      <w:lvlJc w:val="left"/>
      <w:lvlText w:val="(%1)"/>
      <w:numFmt w:val="lowerLetter"/>
      <w:start w:val="4"/>
    </w:lvl>
  </w:abstractNum>
  <w:abstractNum w:abstractNumId="90">
    <w:nsid w:val="53B2564F"/>
    <w:multiLevelType w:val="hybridMultilevel"/>
    <w:lvl w:ilvl="0">
      <w:lvlJc w:val="left"/>
      <w:lvlText w:val="%1"/>
      <w:numFmt w:val="decimal"/>
      <w:start w:val="23"/>
    </w:lvl>
  </w:abstractNum>
  <w:abstractNum w:abstractNumId="91">
    <w:nsid w:val="75509D76"/>
    <w:multiLevelType w:val="hybridMultilevel"/>
    <w:lvl w:ilvl="0">
      <w:lvlJc w:val="left"/>
      <w:lvlText w:val="(%1)"/>
      <w:numFmt w:val="decimal"/>
      <w:start w:val="1"/>
    </w:lvl>
  </w:abstractNum>
  <w:abstractNum w:abstractNumId="92">
    <w:nsid w:val="1AF7F0EA"/>
    <w:multiLevelType w:val="hybridMultilevel"/>
    <w:lvl w:ilvl="0">
      <w:lvlJc w:val="left"/>
      <w:lvlText w:val="%1"/>
      <w:numFmt w:val="decimal"/>
      <w:start w:val="24"/>
    </w:lvl>
  </w:abstractNum>
  <w:abstractNum w:abstractNumId="93">
    <w:nsid w:val="4DA32C7E"/>
    <w:multiLevelType w:val="hybridMultilevel"/>
    <w:lvl w:ilvl="0">
      <w:lvlJc w:val="left"/>
      <w:lvlText w:val="%1"/>
      <w:numFmt w:val="decimal"/>
      <w:start w:val="25"/>
    </w:lvl>
  </w:abstractNum>
  <w:abstractNum w:abstractNumId="94">
    <w:nsid w:val="6EC68664"/>
    <w:multiLevelType w:val="hybridMultilevel"/>
    <w:lvl w:ilvl="0">
      <w:lvlJc w:val="left"/>
      <w:lvlText w:val="(%1)"/>
      <w:numFmt w:val="decimal"/>
      <w:start w:val="1"/>
    </w:lvl>
    <w:lvl w:ilvl="1">
      <w:lvlJc w:val="left"/>
      <w:lvlText w:val="(%2)"/>
      <w:numFmt w:val="lowerLetter"/>
      <w:start w:val="1"/>
    </w:lvl>
  </w:abstractNum>
  <w:abstractNum w:abstractNumId="95">
    <w:nsid w:val="E0D31FF"/>
    <w:multiLevelType w:val="hybridMultilevel"/>
    <w:lvl w:ilvl="0">
      <w:lvlJc w:val="left"/>
      <w:lvlText w:val="(%1)"/>
      <w:numFmt w:val="decimal"/>
      <w:start w:val="2"/>
    </w:lvl>
    <w:lvl w:ilvl="1">
      <w:lvlJc w:val="left"/>
      <w:lvlText w:val="(%2)"/>
      <w:numFmt w:val="lowerLetter"/>
      <w:start w:val="1"/>
    </w:lvl>
  </w:abstractNum>
  <w:abstractNum w:abstractNumId="96">
    <w:nsid w:val="2FD0AD81"/>
    <w:multiLevelType w:val="hybridMultilevel"/>
    <w:lvl w:ilvl="0">
      <w:lvlJc w:val="left"/>
      <w:lvlText w:val="(%1)"/>
      <w:numFmt w:val="upperLetter"/>
      <w:start w:val="1"/>
    </w:lvl>
  </w:abstractNum>
  <w:abstractNum w:abstractNumId="97">
    <w:nsid w:val="1978EBEB"/>
    <w:multiLevelType w:val="hybridMultilevel"/>
    <w:lvl w:ilvl="0">
      <w:lvlJc w:val="left"/>
      <w:lvlText w:val="%1"/>
      <w:numFmt w:val="decimal"/>
      <w:start w:val="26"/>
    </w:lvl>
  </w:abstractNum>
  <w:abstractNum w:abstractNumId="98">
    <w:nsid w:val="52C12C61"/>
    <w:multiLevelType w:val="hybridMultilevel"/>
    <w:lvl w:ilvl="0">
      <w:lvlJc w:val="left"/>
      <w:lvlText w:val="(%1)"/>
      <w:numFmt w:val="lowerLetter"/>
      <w:start w:val="3"/>
    </w:lvl>
  </w:abstractNum>
  <w:abstractNum w:abstractNumId="99">
    <w:nsid w:val="4BDD53FD"/>
    <w:multiLevelType w:val="hybridMultilevel"/>
    <w:lvl w:ilvl="0">
      <w:lvlJc w:val="left"/>
      <w:lvlText w:val="%1"/>
      <w:numFmt w:val="decimal"/>
      <w:start w:val="27"/>
    </w:lvl>
  </w:abstractNum>
  <w:abstractNum w:abstractNumId="100">
    <w:nsid w:val="569951FE"/>
    <w:multiLevelType w:val="hybridMultilevel"/>
    <w:lvl w:ilvl="0">
      <w:lvlJc w:val="left"/>
      <w:lvlText w:val="%1"/>
      <w:numFmt w:val="decimal"/>
      <w:start w:val="28"/>
    </w:lvl>
  </w:abstractNum>
  <w:abstractNum w:abstractNumId="101">
    <w:nsid w:val="4C54E2C3"/>
    <w:multiLevelType w:val="hybridMultilevel"/>
    <w:lvl w:ilvl="0">
      <w:lvlJc w:val="left"/>
      <w:lvlText w:val="%1"/>
      <w:numFmt w:val="decimal"/>
      <w:start w:val="29"/>
    </w:lvl>
  </w:abstractNum>
  <w:abstractNum w:abstractNumId="102">
    <w:nsid w:val="788BD9B"/>
    <w:multiLevelType w:val="hybridMultilevel"/>
    <w:lvl w:ilvl="0">
      <w:lvlJc w:val="left"/>
      <w:lvlText w:val="%1"/>
      <w:numFmt w:val="decimal"/>
      <w:start w:val="30"/>
    </w:lvl>
  </w:abstractNum>
  <w:abstractNum w:abstractNumId="103">
    <w:nsid w:val="47CAA567"/>
    <w:multiLevelType w:val="hybridMultilevel"/>
    <w:lvl w:ilvl="0">
      <w:lvlJc w:val="left"/>
      <w:lvlText w:val="%1"/>
      <w:numFmt w:val="decimal"/>
      <w:start w:val="31"/>
    </w:lvl>
  </w:abstractNum>
  <w:abstractNum w:abstractNumId="104">
    <w:nsid w:val="48249DBF"/>
    <w:multiLevelType w:val="hybridMultilevel"/>
    <w:lvl w:ilvl="0">
      <w:lvlJc w:val="left"/>
      <w:lvlText w:val="%1"/>
      <w:numFmt w:val="decimal"/>
      <w:start w:val="32"/>
    </w:lvl>
  </w:abstractNum>
  <w:abstractNum w:abstractNumId="105">
    <w:nsid w:val="1F0E5D0D"/>
    <w:multiLevelType w:val="hybridMultilevel"/>
    <w:lvl w:ilvl="0">
      <w:lvlJc w:val="left"/>
      <w:lvlText w:val="(%1)"/>
      <w:numFmt w:val="decimal"/>
      <w:start w:val="1"/>
    </w:lvl>
    <w:lvl w:ilvl="1">
      <w:lvlJc w:val="left"/>
      <w:lvlText w:val="(%2)"/>
      <w:numFmt w:val="decimal"/>
      <w:start w:val="2"/>
    </w:lvl>
  </w:abstractNum>
  <w:abstractNum w:abstractNumId="106">
    <w:nsid w:val="26BAAE9"/>
    <w:multiLevelType w:val="hybridMultilevel"/>
    <w:lvl w:ilvl="0">
      <w:lvlJc w:val="left"/>
      <w:lvlText w:val="%1"/>
      <w:numFmt w:val="decimal"/>
      <w:start w:val="33"/>
    </w:lvl>
  </w:abstractNum>
  <w:abstractNum w:abstractNumId="107">
    <w:nsid w:val="2C02FE8C"/>
    <w:multiLevelType w:val="hybridMultilevel"/>
    <w:lvl w:ilvl="0">
      <w:lvlJc w:val="left"/>
      <w:lvlText w:val="(%1)"/>
      <w:numFmt w:val="decimal"/>
      <w:start w:val="3"/>
    </w:lvl>
  </w:abstractNum>
  <w:abstractNum w:abstractNumId="108">
    <w:nsid w:val="129517E"/>
    <w:multiLevelType w:val="hybridMultilevel"/>
    <w:lvl w:ilvl="0">
      <w:lvlJc w:val="left"/>
      <w:lvlText w:val="(%1)"/>
      <w:numFmt w:val="decimal"/>
      <w:start w:val="2"/>
    </w:lvl>
  </w:abstractNum>
  <w:abstractNum w:abstractNumId="109">
    <w:nsid w:val="763B8C4E"/>
    <w:multiLevelType w:val="hybridMultilevel"/>
    <w:lvl w:ilvl="0">
      <w:lvlJc w:val="left"/>
      <w:lvlText w:val="%1"/>
      <w:numFmt w:val="decimal"/>
      <w:start w:val="34"/>
    </w:lvl>
  </w:abstractNum>
  <w:abstractNum w:abstractNumId="110">
    <w:nsid w:val="4CFB8D32"/>
    <w:multiLevelType w:val="hybridMultilevel"/>
    <w:lvl w:ilvl="0">
      <w:lvlJc w:val="left"/>
      <w:lvlText w:val="(%1)"/>
      <w:numFmt w:val="lowerLetter"/>
      <w:start w:val="1"/>
    </w:lvl>
  </w:abstractNum>
  <w:abstractNum w:abstractNumId="111">
    <w:nsid w:val="62A5D5BD"/>
    <w:multiLevelType w:val="hybridMultilevel"/>
    <w:lvl w:ilvl="0">
      <w:lvlJc w:val="left"/>
      <w:lvlText w:val="%1"/>
      <w:numFmt w:val="decimal"/>
      <w:start w:val="35"/>
    </w:lvl>
  </w:abstractNum>
  <w:abstractNum w:abstractNumId="112">
    <w:nsid w:val="718FABF9"/>
    <w:multiLevelType w:val="hybridMultilevel"/>
    <w:lvl w:ilvl="0">
      <w:lvlJc w:val="left"/>
      <w:lvlText w:val="(%1)"/>
      <w:numFmt w:val="decimal"/>
      <w:start w:val="2"/>
    </w:lvl>
  </w:abstractNum>
  <w:abstractNum w:abstractNumId="113">
    <w:nsid w:val="7775797C"/>
    <w:multiLevelType w:val="hybridMultilevel"/>
    <w:lvl w:ilvl="0">
      <w:lvlJc w:val="left"/>
      <w:lvlText w:val="%1"/>
      <w:numFmt w:val="decimal"/>
      <w:start w:val="36"/>
    </w:lvl>
  </w:abstractNum>
  <w:abstractNum w:abstractNumId="114">
    <w:nsid w:val="1626FB8C"/>
    <w:multiLevelType w:val="hybridMultilevel"/>
    <w:lvl w:ilvl="0">
      <w:lvlJc w:val="left"/>
      <w:lvlText w:val="%1"/>
      <w:numFmt w:val="decimal"/>
      <w:start w:val="37"/>
    </w:lvl>
  </w:abstractNum>
  <w:abstractNum w:abstractNumId="115">
    <w:nsid w:val="3957756A"/>
    <w:multiLevelType w:val="hybridMultilevel"/>
    <w:lvl w:ilvl="0">
      <w:lvlJc w:val="left"/>
      <w:lvlText w:val="(%1)"/>
      <w:numFmt w:val="lowerLetter"/>
      <w:start w:val="1"/>
    </w:lvl>
  </w:abstractNum>
  <w:abstractNum w:abstractNumId="116">
    <w:nsid w:val="3E6DA1C7"/>
    <w:multiLevelType w:val="hybridMultilevel"/>
    <w:lvl w:ilvl="0">
      <w:lvlJc w:val="left"/>
      <w:lvlText w:val="%1"/>
      <w:numFmt w:val="decimal"/>
      <w:start w:val="38"/>
    </w:lvl>
  </w:abstractNum>
  <w:abstractNum w:abstractNumId="117">
    <w:nsid w:val="65CA235B"/>
    <w:multiLevelType w:val="hybridMultilevel"/>
    <w:lvl w:ilvl="0">
      <w:lvlJc w:val="left"/>
      <w:lvlText w:val="(%1)"/>
      <w:numFmt w:val="lowerLetter"/>
      <w:start w:val="2"/>
    </w:lvl>
  </w:abstractNum>
  <w:abstractNum w:abstractNumId="118">
    <w:nsid w:val="51CB0DA4"/>
    <w:multiLevelType w:val="hybridMultilevel"/>
    <w:lvl w:ilvl="0">
      <w:lvlJc w:val="left"/>
      <w:lvlText w:val="(%1)"/>
      <w:numFmt w:val="decimal"/>
      <w:start w:val="2"/>
    </w:lvl>
  </w:abstractNum>
  <w:abstractNum w:abstractNumId="119">
    <w:nsid w:val="7B9B743C"/>
    <w:multiLevelType w:val="hybridMultilevel"/>
    <w:lvl w:ilvl="0">
      <w:lvlJc w:val="left"/>
      <w:lvlText w:val="%1"/>
      <w:numFmt w:val="decimal"/>
      <w:start w:val="39"/>
    </w:lvl>
  </w:abstractNum>
  <w:abstractNum w:abstractNumId="120">
    <w:nsid w:val="13E21002"/>
    <w:multiLevelType w:val="hybridMultilevel"/>
    <w:lvl w:ilvl="0">
      <w:lvlJc w:val="left"/>
      <w:lvlText w:val="%1"/>
      <w:numFmt w:val="decimal"/>
      <w:start w:val="40"/>
    </w:lvl>
  </w:abstractNum>
  <w:abstractNum w:abstractNumId="121">
    <w:nsid w:val="257D63F4"/>
    <w:multiLevelType w:val="hybridMultilevel"/>
    <w:lvl w:ilvl="0">
      <w:lvlJc w:val="left"/>
      <w:lvlText w:val="%1"/>
      <w:numFmt w:val="decimal"/>
      <w:start w:val="41"/>
    </w:lvl>
  </w:abstractNum>
  <w:abstractNum w:abstractNumId="122">
    <w:nsid w:val="70EC11B2"/>
    <w:multiLevelType w:val="hybridMultilevel"/>
    <w:lvl w:ilvl="0">
      <w:lvlJc w:val="left"/>
      <w:lvlText w:val="%1"/>
      <w:numFmt w:val="decimal"/>
      <w:start w:val="42"/>
    </w:lvl>
  </w:abstractNum>
  <w:abstractNum w:abstractNumId="123">
    <w:nsid w:val="2EDA00ED"/>
    <w:multiLevelType w:val="hybridMultilevel"/>
    <w:lvl w:ilvl="0">
      <w:lvlJc w:val="left"/>
      <w:lvlText w:val="(%1)"/>
      <w:numFmt w:val="lowerLetter"/>
      <w:start w:val="1"/>
    </w:lvl>
  </w:abstractNum>
  <w:abstractNum w:abstractNumId="124">
    <w:nsid w:val="73209072"/>
    <w:multiLevelType w:val="hybridMultilevel"/>
    <w:lvl w:ilvl="0">
      <w:lvlJc w:val="left"/>
      <w:lvlText w:val="%1"/>
      <w:numFmt w:val="decimal"/>
      <w:start w:val="43"/>
    </w:lvl>
  </w:abstractNum>
  <w:abstractNum w:abstractNumId="125">
    <w:nsid w:val="5FB29816"/>
    <w:multiLevelType w:val="hybridMultilevel"/>
    <w:lvl w:ilvl="0">
      <w:lvlJc w:val="left"/>
      <w:lvlText w:val="(%1)"/>
      <w:numFmt w:val="lowerLetter"/>
      <w:start w:val="7"/>
    </w:lvl>
  </w:abstractNum>
  <w:abstractNum w:abstractNumId="126">
    <w:nsid w:val="3CE732EC"/>
    <w:multiLevelType w:val="hybridMultilevel"/>
    <w:lvl w:ilvl="0">
      <w:lvlJc w:val="left"/>
      <w:lvlText w:val="%1"/>
      <w:numFmt w:val="decimal"/>
      <w:start w:val="44"/>
    </w:lvl>
  </w:abstractNum>
  <w:abstractNum w:abstractNumId="127">
    <w:nsid w:val="22F13DF3"/>
    <w:multiLevelType w:val="hybridMultilevel"/>
    <w:lvl w:ilvl="0">
      <w:lvlJc w:val="left"/>
      <w:lvlText w:val="%1"/>
      <w:numFmt w:val="decimal"/>
      <w:start w:val="45"/>
    </w:lvl>
  </w:abstractNum>
  <w:abstractNum w:abstractNumId="128">
    <w:nsid w:val="792B8401"/>
    <w:multiLevelType w:val="hybridMultilevel"/>
    <w:lvl w:ilvl="0">
      <w:lvlJc w:val="left"/>
      <w:lvlText w:val="%1"/>
      <w:numFmt w:val="decimal"/>
      <w:start w:val="43"/>
    </w:lvl>
  </w:abstractNum>
  <w:abstractNum w:abstractNumId="129">
    <w:nsid w:val="FA85F4D"/>
    <w:multiLevelType w:val="hybridMultilevel"/>
    <w:lvl w:ilvl="0">
      <w:lvlJc w:val="left"/>
      <w:lvlText w:val="%1"/>
      <w:numFmt w:val="decimal"/>
      <w:start w:val="44"/>
    </w:lvl>
  </w:abstractNum>
  <w:abstractNum w:abstractNumId="130">
    <w:nsid w:val="6ECE91F0"/>
    <w:multiLevelType w:val="hybridMultilevel"/>
    <w:lvl w:ilvl="0">
      <w:lvlJc w:val="left"/>
      <w:lvlText w:val="%1"/>
      <w:numFmt w:val="decimal"/>
      <w:start w:val="45"/>
    </w:lvl>
  </w:abstractNum>
  <w:abstractNum w:abstractNumId="131">
    <w:nsid w:val="4FC4D600"/>
    <w:multiLevelType w:val="hybridMultilevel"/>
    <w:lvl w:ilvl="0">
      <w:lvlJc w:val="left"/>
      <w:lvlText w:val="%1"/>
      <w:numFmt w:val="decimal"/>
      <w:start w:val="46"/>
    </w:lvl>
  </w:abstractNum>
  <w:abstractNum w:abstractNumId="132">
    <w:nsid w:val="5BFD4210"/>
    <w:multiLevelType w:val="hybridMultilevel"/>
    <w:lvl w:ilvl="0">
      <w:lvlJc w:val="left"/>
      <w:lvlText w:val="%1"/>
      <w:numFmt w:val="decimal"/>
      <w:start w:val="47"/>
    </w:lvl>
  </w:abstractNum>
  <w:abstractNum w:abstractNumId="133">
    <w:nsid w:val="76574F8B"/>
    <w:multiLevelType w:val="hybridMultilevel"/>
    <w:lvl w:ilvl="0">
      <w:lvlJc w:val="left"/>
      <w:lvlText w:val="%1"/>
      <w:numFmt w:val="decimal"/>
      <w:start w:val="48"/>
    </w:lvl>
  </w:abstractNum>
  <w:abstractNum w:abstractNumId="134">
    <w:nsid w:val="178F7B67"/>
    <w:multiLevelType w:val="hybridMultilevel"/>
    <w:lvl w:ilvl="0">
      <w:lvlJc w:val="left"/>
      <w:lvlText w:val="%1"/>
      <w:numFmt w:val="decimal"/>
      <w:start w:val="49"/>
    </w:lvl>
  </w:abstractNum>
  <w:abstractNum w:abstractNumId="135">
    <w:nsid w:val="2421DFCF"/>
    <w:multiLevelType w:val="hybridMultilevel"/>
    <w:lvl w:ilvl="0">
      <w:lvlJc w:val="left"/>
      <w:lvlText w:val="%1."/>
      <w:numFmt w:val="lowerRoman"/>
      <w:start w:val="1"/>
    </w:lvl>
    <w:lvl w:ilvl="1">
      <w:lvlJc w:val="left"/>
      <w:lvlText w:val="%2."/>
      <w:numFmt w:val="decimal"/>
      <w:start w:val="1"/>
    </w:lvl>
  </w:abstractNum>
  <w:abstractNum w:abstractNumId="136">
    <w:nsid w:val="1565AC99"/>
    <w:multiLevelType w:val="hybridMultilevel"/>
    <w:lvl w:ilvl="0">
      <w:lvlJc w:val="left"/>
      <w:lvlText w:val="%1"/>
      <w:numFmt w:val="decimal"/>
      <w:start w:val="50"/>
    </w:lvl>
  </w:abstractNum>
  <w:abstractNum w:abstractNumId="137">
    <w:nsid w:val="19FB2650"/>
    <w:multiLevelType w:val="hybridMultilevel"/>
    <w:lvl w:ilvl="0">
      <w:lvlJc w:val="left"/>
      <w:lvlText w:val="%1"/>
      <w:numFmt w:val="decimal"/>
      <w:start w:val="51"/>
    </w:lvl>
  </w:abstractNum>
  <w:abstractNum w:abstractNumId="138">
    <w:nsid w:val="5024DE5B"/>
    <w:multiLevelType w:val="hybridMultilevel"/>
    <w:lvl w:ilvl="0">
      <w:lvlJc w:val="left"/>
      <w:lvlText w:val="%1"/>
      <w:numFmt w:val="decimal"/>
      <w:start w:val="52"/>
    </w:lvl>
  </w:abstractNum>
  <w:abstractNum w:abstractNumId="139">
    <w:nsid w:val="168EFE17"/>
    <w:multiLevelType w:val="hybridMultilevel"/>
    <w:lvl w:ilvl="0">
      <w:lvlJc w:val="left"/>
      <w:lvlText w:val="%1"/>
      <w:numFmt w:val="decimal"/>
      <w:start w:val="53"/>
    </w:lvl>
  </w:abstractNum>
  <w:abstractNum w:abstractNumId="140">
    <w:nsid w:val="1036B29F"/>
    <w:multiLevelType w:val="hybridMultilevel"/>
    <w:lvl w:ilvl="0">
      <w:lvlJc w:val="left"/>
      <w:lvlText w:val="%1"/>
      <w:numFmt w:val="decimal"/>
      <w:start w:val="54"/>
    </w:lvl>
  </w:abstractNum>
  <w:abstractNum w:abstractNumId="141">
    <w:nsid w:val="1D206B8E"/>
    <w:multiLevelType w:val="hybridMultilevel"/>
    <w:lvl w:ilvl="0">
      <w:lvlJc w:val="left"/>
      <w:lvlText w:val="."/>
      <w:numFmt w:val="bullet"/>
      <w:start w:val="1"/>
    </w:lvl>
  </w:abstractNum>
  <w:abstractNum w:abstractNumId="142">
    <w:nsid w:val="7934D3D4"/>
    <w:multiLevelType w:val="hybridMultilevel"/>
    <w:lvl w:ilvl="0">
      <w:lvlJc w:val="left"/>
      <w:lvlText w:val="(%1)"/>
      <w:numFmt w:val="decimal"/>
      <w:start w:val="1"/>
    </w:lvl>
  </w:abstractNum>
  <w:abstractNum w:abstractNumId="143">
    <w:nsid w:val="1C65E98"/>
    <w:multiLevelType w:val="hybridMultilevel"/>
    <w:lvl w:ilvl="0">
      <w:lvlJc w:val="left"/>
      <w:lvlText w:val="(%1)"/>
      <w:numFmt w:val="lowerLetter"/>
      <w:start w:val="1"/>
    </w:lvl>
  </w:abstractNum>
  <w:abstractNum w:abstractNumId="144">
    <w:nsid w:val="1495E50A"/>
    <w:multiLevelType w:val="hybridMultilevel"/>
    <w:lvl w:ilvl="0">
      <w:lvlJc w:val="left"/>
      <w:lvlText w:val="%1"/>
      <w:numFmt w:val="decimal"/>
      <w:start w:val="55"/>
    </w:lvl>
  </w:abstractNum>
  <w:abstractNum w:abstractNumId="145">
    <w:nsid w:val="F5BCF61"/>
    <w:multiLevelType w:val="hybridMultilevel"/>
    <w:lvl w:ilvl="0">
      <w:lvlJc w:val="left"/>
      <w:lvlText w:val="."/>
      <w:numFmt w:val="bullet"/>
      <w:start w:val="1"/>
    </w:lvl>
  </w:abstractNum>
  <w:abstractNum w:abstractNumId="146">
    <w:nsid w:val="3B1DD403"/>
    <w:multiLevelType w:val="hybridMultilevel"/>
    <w:lvl w:ilvl="0">
      <w:lvlJc w:val="left"/>
      <w:lvlText w:val="."/>
      <w:numFmt w:val="bullet"/>
      <w:start w:val="1"/>
    </w:lvl>
  </w:abstractNum>
  <w:abstractNum w:abstractNumId="147">
    <w:nsid w:val="530386D1"/>
    <w:multiLevelType w:val="hybridMultilevel"/>
    <w:lvl w:ilvl="0">
      <w:lvlJc w:val="left"/>
      <w:lvlText w:val="."/>
      <w:numFmt w:val="bullet"/>
      <w:start w:val="1"/>
    </w:lvl>
  </w:abstractNum>
  <w:abstractNum w:abstractNumId="148">
    <w:nsid w:val="7525F2BC"/>
    <w:multiLevelType w:val="hybridMultilevel"/>
    <w:lvl w:ilvl="0">
      <w:lvlJc w:val="left"/>
      <w:lvlText w:val="(%1)"/>
      <w:numFmt w:val="decimal"/>
      <w:start w:val="1"/>
    </w:lvl>
  </w:abstractNum>
  <w:abstractNum w:abstractNumId="149">
    <w:nsid w:val="CE8E1A7"/>
    <w:multiLevelType w:val="hybridMultilevel"/>
    <w:lvl w:ilvl="0">
      <w:lvlJc w:val="left"/>
      <w:lvlText w:val="."/>
      <w:numFmt w:val="bullet"/>
      <w:start w:val="1"/>
    </w:lvl>
  </w:abstractNum>
  <w:abstractNum w:abstractNumId="150">
    <w:nsid w:val="4E9EFB0D"/>
    <w:multiLevelType w:val="hybridMultilevel"/>
    <w:lvl w:ilvl="0">
      <w:lvlJc w:val="left"/>
      <w:lvlText w:val="%1"/>
      <w:numFmt w:val="decimal"/>
      <w:start w:val="56"/>
    </w:lvl>
  </w:abstractNum>
  <w:abstractNum w:abstractNumId="151">
    <w:nsid w:val="90802BE"/>
    <w:multiLevelType w:val="hybridMultilevel"/>
    <w:lvl w:ilvl="0">
      <w:lvlJc w:val="left"/>
      <w:lvlText w:val="(%1)"/>
      <w:numFmt w:val="decimal"/>
      <w:start w:val="1"/>
    </w:lvl>
  </w:abstractNum>
  <w:abstractNum w:abstractNumId="152">
    <w:nsid w:val="3266459B"/>
    <w:multiLevelType w:val="hybridMultilevel"/>
    <w:lvl w:ilvl="0">
      <w:lvlJc w:val="left"/>
      <w:lvlText w:val="(%1)"/>
      <w:numFmt w:val="decimal"/>
      <w:start w:val="3"/>
    </w:lvl>
  </w:abstractNum>
  <w:abstractNum w:abstractNumId="153">
    <w:nsid w:val="3F8B0CBF"/>
    <w:multiLevelType w:val="hybridMultilevel"/>
    <w:lvl w:ilvl="0">
      <w:lvlJc w:val="left"/>
      <w:lvlText w:val="%1"/>
      <w:numFmt w:val="decimal"/>
      <w:start w:val="56"/>
    </w:lvl>
  </w:abstractNum>
  <w:abstractNum w:abstractNumId="154">
    <w:nsid w:val="37E203AB"/>
    <w:multiLevelType w:val="hybridMultilevel"/>
    <w:lvl w:ilvl="0">
      <w:lvlJc w:val="left"/>
      <w:lvlText w:val="."/>
      <w:numFmt w:val="bullet"/>
      <w:start w:val="1"/>
    </w:lvl>
    <w:lvl w:ilvl="1">
      <w:lvlJc w:val="left"/>
      <w:lvlText w:val="(%2)"/>
      <w:numFmt w:val="lowerLetter"/>
      <w:start w:val="1"/>
    </w:lvl>
  </w:abstractNum>
  <w:abstractNum w:abstractNumId="155">
    <w:nsid w:val="2586D60E"/>
    <w:multiLevelType w:val="hybridMultilevel"/>
    <w:lvl w:ilvl="0">
      <w:lvlJc w:val="left"/>
      <w:lvlText w:val="%1"/>
      <w:numFmt w:val="decimal"/>
      <w:start w:val="57"/>
    </w:lvl>
  </w:abstractNum>
  <w:abstractNum w:abstractNumId="156">
    <w:nsid w:val="1F3DA4D5"/>
    <w:multiLevelType w:val="hybridMultilevel"/>
    <w:lvl w:ilvl="0">
      <w:lvlJc w:val="left"/>
      <w:lvlText w:val="(%1)"/>
      <w:numFmt w:val="lowerLetter"/>
      <w:start w:val="2"/>
    </w:lvl>
  </w:abstractNum>
  <w:abstractNum w:abstractNumId="157">
    <w:nsid w:val="74C93698"/>
    <w:multiLevelType w:val="hybridMultilevel"/>
    <w:lvl w:ilvl="0">
      <w:lvlJc w:val="left"/>
      <w:lvlText w:val="%1"/>
      <w:numFmt w:val="decimal"/>
      <w:start w:val="58"/>
    </w:lvl>
  </w:abstractNum>
  <w:abstractNum w:abstractNumId="158">
    <w:nsid w:val="48781401"/>
    <w:multiLevelType w:val="hybridMultilevel"/>
    <w:lvl w:ilvl="0">
      <w:lvlJc w:val="left"/>
      <w:lvlText w:val="."/>
      <w:numFmt w:val="bullet"/>
      <w:start w:val="1"/>
    </w:lvl>
  </w:abstractNum>
  <w:abstractNum w:abstractNumId="159">
    <w:nsid w:val="186928D6"/>
    <w:multiLevelType w:val="hybridMultilevel"/>
    <w:lvl w:ilvl="0">
      <w:lvlJc w:val="left"/>
      <w:lvlText w:val="."/>
      <w:numFmt w:val="bullet"/>
      <w:start w:val="1"/>
    </w:lvl>
  </w:abstractNum>
  <w:abstractNum w:abstractNumId="160">
    <w:nsid w:val="47195E5"/>
    <w:multiLevelType w:val="hybridMultilevel"/>
    <w:lvl w:ilvl="0">
      <w:lvlJc w:val="left"/>
      <w:lvlText w:val="(%1)"/>
      <w:numFmt w:val="decimal"/>
      <w:start w:val="2"/>
    </w:lvl>
  </w:abstractNum>
  <w:abstractNum w:abstractNumId="161">
    <w:nsid w:val="3746A5F2"/>
    <w:multiLevelType w:val="hybridMultilevel"/>
    <w:lvl w:ilvl="0">
      <w:lvlJc w:val="left"/>
      <w:lvlText w:val="%1"/>
      <w:numFmt w:val="lowerLetter"/>
      <w:start w:val="1"/>
    </w:lvl>
    <w:lvl w:ilvl="1">
      <w:lvlJc w:val="left"/>
      <w:lvlText w:val="(%2)"/>
      <w:numFmt w:val="lowerLetter"/>
      <w:start w:val="1"/>
    </w:lvl>
  </w:abstractNum>
  <w:abstractNum w:abstractNumId="162">
    <w:nsid w:val="682DFED6"/>
    <w:multiLevelType w:val="hybridMultilevel"/>
    <w:lvl w:ilvl="0">
      <w:lvlJc w:val="left"/>
      <w:lvlText w:val="(%1)"/>
      <w:numFmt w:val="lowerLetter"/>
      <w:start w:val="2"/>
    </w:lvl>
    <w:lvl w:ilvl="1">
      <w:lvlJc w:val="left"/>
      <w:lvlText w:val="%2"/>
      <w:numFmt w:val="lowerLetter"/>
      <w:start w:val="1"/>
    </w:lvl>
  </w:abstractNum>
  <w:abstractNum w:abstractNumId="163">
    <w:nsid w:val="606ED7F6"/>
    <w:multiLevelType w:val="hybridMultilevel"/>
    <w:lvl w:ilvl="0">
      <w:lvlJc w:val="left"/>
      <w:lvlText w:val="%1"/>
      <w:numFmt w:val="decimal"/>
      <w:start w:val="59"/>
    </w:lvl>
  </w:abstractNum>
  <w:abstractNum w:abstractNumId="164">
    <w:nsid w:val="2D9DF57D"/>
    <w:multiLevelType w:val="hybridMultilevel"/>
    <w:lvl w:ilvl="0">
      <w:lvlJc w:val="left"/>
      <w:lvlText w:val="%1."/>
      <w:numFmt w:val="lowerRoman"/>
      <w:start w:val="2"/>
    </w:lvl>
    <w:lvl w:ilvl="1">
      <w:lvlJc w:val="left"/>
      <w:lvlText w:val="%2."/>
      <w:numFmt w:val="decimal"/>
      <w:start w:val="1"/>
    </w:lvl>
  </w:abstractNum>
  <w:abstractNum w:abstractNumId="165">
    <w:nsid w:val="7FBD7A3E"/>
    <w:multiLevelType w:val="hybridMultilevel"/>
    <w:lvl w:ilvl="0">
      <w:lvlJc w:val="left"/>
      <w:lvlText w:val="%1"/>
      <w:numFmt w:val="decimal"/>
      <w:start w:val="60"/>
    </w:lvl>
  </w:abstractNum>
  <w:abstractNum w:abstractNumId="166">
    <w:nsid w:val="490B7C5"/>
    <w:multiLevelType w:val="hybridMultilevel"/>
    <w:lvl w:ilvl="0">
      <w:lvlJc w:val="left"/>
      <w:lvlText w:val="%1."/>
      <w:numFmt w:val="lowerRoman"/>
      <w:start w:val="3"/>
    </w:lvl>
  </w:abstractNum>
  <w:abstractNum w:abstractNumId="167">
    <w:nsid w:val="4303A216"/>
    <w:multiLevelType w:val="hybridMultilevel"/>
    <w:lvl w:ilvl="0">
      <w:lvlJc w:val="left"/>
      <w:lvlText w:val="%1."/>
      <w:numFmt w:val="lowerRoman"/>
      <w:start w:val="4"/>
    </w:lvl>
  </w:abstractNum>
  <w:abstractNum w:abstractNumId="168">
    <w:nsid w:val="19B8A08E"/>
    <w:multiLevelType w:val="hybridMultilevel"/>
    <w:lvl w:ilvl="0">
      <w:lvlJc w:val="left"/>
      <w:lvlText w:val="%1"/>
      <w:numFmt w:val="upperLetter"/>
      <w:start w:val="1"/>
    </w:lvl>
    <w:lvl w:ilvl="1">
      <w:lvlJc w:val="left"/>
      <w:lvlText w:val="(%2)"/>
      <w:numFmt w:val="decimal"/>
      <w:start w:val="1"/>
    </w:lvl>
  </w:abstractNum>
  <w:abstractNum w:abstractNumId="169">
    <w:nsid w:val="54B59621"/>
    <w:multiLevelType w:val="hybridMultilevel"/>
    <w:lvl w:ilvl="0">
      <w:lvlJc w:val="left"/>
      <w:lvlText w:val="(%1)"/>
      <w:numFmt w:val="upperLetter"/>
      <w:start w:val="4"/>
    </w:lvl>
    <w:lvl w:ilvl="1">
      <w:lvlJc w:val="left"/>
      <w:lvlText w:val="(%2)"/>
      <w:numFmt w:val="decimal"/>
      <w:start w:val="2"/>
    </w:lvl>
  </w:abstractNum>
  <w:abstractNum w:abstractNumId="170">
    <w:nsid w:val="5992A02E"/>
    <w:multiLevelType w:val="hybridMultilevel"/>
    <w:lvl w:ilvl="0">
      <w:lvlJc w:val="left"/>
      <w:lvlText w:val="%1"/>
      <w:numFmt w:val="decimal"/>
      <w:start w:val="61"/>
    </w:lvl>
  </w:abstractNum>
  <w:abstractNum w:abstractNumId="171">
    <w:nsid w:val="29EF532D"/>
    <w:multiLevelType w:val="hybridMultilevel"/>
    <w:lvl w:ilvl="0">
      <w:lvlJc w:val="left"/>
      <w:lvlText w:val="%1."/>
      <w:numFmt w:val="lowerRoman"/>
      <w:start w:val="1"/>
    </w:lvl>
    <w:lvl w:ilvl="1">
      <w:lvlJc w:val="left"/>
      <w:lvlText w:val="%2."/>
      <w:numFmt w:val="decimal"/>
      <w:start w:val="1"/>
    </w:lvl>
  </w:abstractNum>
  <w:abstractNum w:abstractNumId="172">
    <w:nsid w:val="71D601AF"/>
    <w:multiLevelType w:val="hybridMultilevel"/>
    <w:lvl w:ilvl="0">
      <w:lvlJc w:val="left"/>
      <w:lvlText w:val="%1"/>
      <w:numFmt w:val="decimal"/>
      <w:start w:val="62"/>
    </w:lvl>
  </w:abstractNum>
  <w:abstractNum w:abstractNumId="173">
    <w:nsid w:val="52C77402"/>
    <w:multiLevelType w:val="hybridMultilevel"/>
    <w:lvl w:ilvl="0">
      <w:lvlJc w:val="left"/>
      <w:lvlText w:val="%1"/>
      <w:numFmt w:val="lowerRoman"/>
      <w:start w:val="1"/>
    </w:lvl>
    <w:lvl w:ilvl="1">
      <w:lvlJc w:val="left"/>
      <w:lvlText w:val="%2."/>
      <w:numFmt w:val="decimal"/>
      <w:start w:val="4"/>
    </w:lvl>
  </w:abstractNum>
  <w:abstractNum w:abstractNumId="174">
    <w:nsid w:val="2BB5B1C6"/>
    <w:multiLevelType w:val="hybridMultilevel"/>
    <w:lvl w:ilvl="0">
      <w:lvlJc w:val="left"/>
      <w:lvlText w:val="%1."/>
      <w:numFmt w:val="lowerRoman"/>
      <w:start w:val="3"/>
    </w:lvl>
    <w:lvl w:ilvl="1">
      <w:lvlJc w:val="left"/>
      <w:lvlText w:val="%2"/>
      <w:numFmt w:val="decimal"/>
      <w:start w:val="1"/>
    </w:lvl>
  </w:abstractNum>
  <w:abstractNum w:abstractNumId="175">
    <w:nsid w:val="66BE6B9"/>
    <w:multiLevelType w:val="hybridMultilevel"/>
    <w:lvl w:ilvl="0">
      <w:lvlJc w:val="left"/>
      <w:lvlText w:val="%1."/>
      <w:numFmt w:val="lowerRoman"/>
      <w:start w:val="4"/>
    </w:lvl>
  </w:abstractNum>
  <w:abstractNum w:abstractNumId="176">
    <w:nsid w:val="62234363"/>
    <w:multiLevelType w:val="hybridMultilevel"/>
    <w:lvl w:ilvl="0">
      <w:lvlJc w:val="left"/>
      <w:lvlText w:val="%1"/>
      <w:numFmt w:val="decimal"/>
      <w:start w:val="63"/>
    </w:lvl>
  </w:abstractNum>
  <w:abstractNum w:abstractNumId="177">
    <w:nsid w:val="66D385C9"/>
    <w:multiLevelType w:val="hybridMultilevel"/>
    <w:lvl w:ilvl="0">
      <w:lvlJc w:val="left"/>
      <w:lvlText w:val="%1."/>
      <w:numFmt w:val="lowerRoman"/>
      <w:start w:val="6"/>
    </w:lvl>
  </w:abstractNum>
  <w:abstractNum w:abstractNumId="178">
    <w:nsid w:val="596F6D8A"/>
    <w:multiLevelType w:val="hybridMultilevel"/>
    <w:lvl w:ilvl="0">
      <w:lvlJc w:val="left"/>
      <w:lvlText w:val="(%1)"/>
      <w:numFmt w:val="decimal"/>
      <w:start w:val="1"/>
    </w:lvl>
  </w:abstractNum>
  <w:abstractNum w:abstractNumId="179">
    <w:nsid w:val="5749361F"/>
    <w:multiLevelType w:val="hybridMultilevel"/>
    <w:lvl w:ilvl="0">
      <w:lvlJc w:val="left"/>
      <w:lvlText w:val="."/>
      <w:numFmt w:val="bullet"/>
      <w:start w:val="1"/>
    </w:lvl>
  </w:abstractNum>
  <w:abstractNum w:abstractNumId="180">
    <w:nsid w:val="73BC6770"/>
    <w:multiLevelType w:val="hybridMultilevel"/>
    <w:lvl w:ilvl="0">
      <w:lvlJc w:val="left"/>
      <w:lvlText w:val="(%1)"/>
      <w:numFmt w:val="decimal"/>
      <w:start w:val="1"/>
    </w:lvl>
  </w:abstractNum>
  <w:abstractNum w:abstractNumId="181">
    <w:nsid w:val="280E6897"/>
    <w:multiLevelType w:val="hybridMultilevel"/>
    <w:lvl w:ilvl="0">
      <w:lvlJc w:val="left"/>
      <w:lvlText w:val="%1"/>
      <w:numFmt w:val="decimal"/>
      <w:start w:val="64"/>
    </w:lvl>
  </w:abstractNum>
  <w:abstractNum w:abstractNumId="182">
    <w:nsid w:val="605138DE"/>
    <w:multiLevelType w:val="hybridMultilevel"/>
    <w:lvl w:ilvl="0">
      <w:lvlJc w:val="left"/>
      <w:lvlText w:val="(%1)"/>
      <w:numFmt w:val="upperLetter"/>
      <w:start w:val="2"/>
    </w:lvl>
  </w:abstractNum>
  <w:abstractNum w:abstractNumId="183">
    <w:nsid w:val="2622AD0C"/>
    <w:multiLevelType w:val="hybridMultilevel"/>
    <w:lvl w:ilvl="0">
      <w:lvlJc w:val="left"/>
      <w:lvlText w:val="%1"/>
      <w:numFmt w:val="decimal"/>
      <w:start w:val="65"/>
    </w:lvl>
  </w:abstractNum>
  <w:abstractNum w:abstractNumId="184">
    <w:nsid w:val="67997556"/>
    <w:multiLevelType w:val="hybridMultilevel"/>
    <w:lvl w:ilvl="0">
      <w:lvlJc w:val="left"/>
      <w:lvlText w:val="(%1)"/>
      <w:numFmt w:val="decimal"/>
      <w:start w:val="2"/>
    </w:lvl>
  </w:abstractNum>
  <w:abstractNum w:abstractNumId="185">
    <w:nsid w:val="18333C89"/>
    <w:multiLevelType w:val="hybridMultilevel"/>
    <w:lvl w:ilvl="0">
      <w:lvlJc w:val="left"/>
      <w:lvlText w:val="."/>
      <w:numFmt w:val="bullet"/>
      <w:start w:val="1"/>
    </w:lvl>
  </w:abstractNum>
  <w:abstractNum w:abstractNumId="186">
    <w:nsid w:val="4BA9831A"/>
    <w:multiLevelType w:val="hybridMultilevel"/>
    <w:lvl w:ilvl="0">
      <w:lvlJc w:val="left"/>
      <w:lvlText w:val="(%1)"/>
      <w:numFmt w:val="decimal"/>
      <w:start w:val="1"/>
    </w:lvl>
  </w:abstractNum>
  <w:abstractNum w:abstractNumId="187">
    <w:nsid w:val="6D71A2B"/>
    <w:multiLevelType w:val="hybridMultilevel"/>
    <w:lvl w:ilvl="0">
      <w:lvlJc w:val="left"/>
      <w:lvlText w:val="%1"/>
      <w:numFmt w:val="decimal"/>
      <w:start w:val="66"/>
    </w:lvl>
  </w:abstractNum>
  <w:abstractNum w:abstractNumId="188">
    <w:nsid w:val="CFC7321"/>
    <w:multiLevelType w:val="hybridMultilevel"/>
    <w:lvl w:ilvl="0">
      <w:lvlJc w:val="left"/>
      <w:lvlText w:val="(%1)"/>
      <w:numFmt w:val="decimal"/>
      <w:start w:val="1"/>
    </w:lvl>
  </w:abstractNum>
  <w:abstractNum w:abstractNumId="189">
    <w:nsid w:val="1421971B"/>
    <w:multiLevelType w:val="hybridMultilevel"/>
    <w:lvl w:ilvl="0">
      <w:lvlJc w:val="left"/>
      <w:lvlText w:val="."/>
      <w:numFmt w:val="bullet"/>
      <w:start w:val="1"/>
    </w:lvl>
  </w:abstractNum>
  <w:abstractNum w:abstractNumId="190">
    <w:nsid w:val="1F404301"/>
    <w:multiLevelType w:val="hybridMultilevel"/>
    <w:lvl w:ilvl="0">
      <w:lvlJc w:val="left"/>
      <w:lvlText w:val="%1"/>
      <w:numFmt w:val="decimal"/>
      <w:start w:val="67"/>
    </w:lvl>
  </w:abstractNum>
  <w:abstractNum w:abstractNumId="191">
    <w:nsid w:val="116E0907"/>
    <w:multiLevelType w:val="hybridMultilevel"/>
    <w:lvl w:ilvl="0">
      <w:lvlJc w:val="left"/>
      <w:lvlText w:val="."/>
      <w:numFmt w:val="bullet"/>
      <w:start w:val="1"/>
    </w:lvl>
  </w:abstractNum>
  <w:abstractNum w:abstractNumId="192">
    <w:nsid w:val="4B683D0D"/>
    <w:multiLevelType w:val="hybridMultilevel"/>
    <w:lvl w:ilvl="0">
      <w:lvlJc w:val="left"/>
      <w:lvlText w:val="."/>
      <w:numFmt w:val="bullet"/>
      <w:start w:val="1"/>
    </w:lvl>
  </w:abstractNum>
  <w:abstractNum w:abstractNumId="193">
    <w:nsid w:val="76E41D8"/>
    <w:multiLevelType w:val="hybridMultilevel"/>
    <w:lvl w:ilvl="0">
      <w:lvlJc w:val="left"/>
      <w:lvlText w:val="%1"/>
      <w:numFmt w:val="decimal"/>
      <w:start w:val="68"/>
    </w:lvl>
  </w:abstractNum>
  <w:abstractNum w:abstractNumId="194">
    <w:nsid w:val="71DCE0FD"/>
    <w:multiLevelType w:val="hybridMultilevel"/>
    <w:lvl w:ilvl="0">
      <w:lvlJc w:val="left"/>
      <w:lvlText w:val="%1"/>
      <w:numFmt w:val="decimal"/>
      <w:start w:val="1"/>
    </w:lvl>
    <w:lvl w:ilvl="1">
      <w:lvlJc w:val="left"/>
      <w:lvlText w:val="(%2)"/>
      <w:numFmt w:val="decimal"/>
      <w:start w:val="1"/>
    </w:lvl>
  </w:abstractNum>
  <w:abstractNum w:abstractNumId="195">
    <w:nsid w:val="7906328B"/>
    <w:multiLevelType w:val="hybridMultilevel"/>
    <w:lvl w:ilvl="0">
      <w:lvlJc w:val="left"/>
      <w:lvlText w:val="(%1)"/>
      <w:numFmt w:val="decimal"/>
      <w:start w:val="30"/>
    </w:lvl>
    <w:lvl w:ilvl="1">
      <w:lvlJc w:val="left"/>
      <w:lvlText w:val="(%2)"/>
      <w:numFmt w:val="decimal"/>
      <w:start w:val="2"/>
    </w:lvl>
  </w:abstractNum>
  <w:abstractNum w:abstractNumId="196">
    <w:nsid w:val="72BBC16"/>
    <w:multiLevelType w:val="hybridMultilevel"/>
    <w:lvl w:ilvl="0">
      <w:lvlJc w:val="left"/>
      <w:lvlText w:val="."/>
      <w:numFmt w:val="bullet"/>
      <w:start w:val="1"/>
    </w:lvl>
  </w:abstractNum>
  <w:abstractNum w:abstractNumId="197">
    <w:nsid w:val="766D98C2"/>
    <w:multiLevelType w:val="hybridMultilevel"/>
    <w:lvl w:ilvl="0">
      <w:lvlJc w:val="left"/>
      <w:lvlText w:val="%1"/>
      <w:numFmt w:val="decimal"/>
      <w:start w:val="69"/>
    </w:lvl>
  </w:abstractNum>
  <w:abstractNum w:abstractNumId="198">
    <w:nsid w:val="3C09D4A1"/>
    <w:multiLevelType w:val="hybridMultilevel"/>
    <w:lvl w:ilvl="0">
      <w:lvlJc w:val="left"/>
      <w:lvlText w:val="."/>
      <w:numFmt w:val="bullet"/>
      <w:start w:val="1"/>
    </w:lvl>
  </w:abstractNum>
  <w:abstractNum w:abstractNumId="199">
    <w:nsid w:val="20E45CA4"/>
    <w:multiLevelType w:val="hybridMultilevel"/>
    <w:lvl w:ilvl="0">
      <w:lvlJc w:val="left"/>
      <w:lvlText w:val="."/>
      <w:numFmt w:val="bullet"/>
      <w:start w:val="1"/>
    </w:lvl>
  </w:abstractNum>
  <w:abstractNum w:abstractNumId="200">
    <w:nsid w:val="4B232EE3"/>
    <w:multiLevelType w:val="hybridMultilevel"/>
    <w:lvl w:ilvl="0">
      <w:lvlJc w:val="left"/>
      <w:lvlText w:val="."/>
      <w:numFmt w:val="bullet"/>
      <w:start w:val="1"/>
    </w:lvl>
  </w:abstractNum>
  <w:abstractNum w:abstractNumId="201">
    <w:nsid w:val="159C74CF"/>
    <w:multiLevelType w:val="hybridMultilevel"/>
    <w:lvl w:ilvl="0">
      <w:lvlJc w:val="left"/>
      <w:lvlText w:val="(%1)"/>
      <w:numFmt w:val="decimal"/>
      <w:start w:val="1"/>
    </w:lvl>
  </w:abstractNum>
  <w:abstractNum w:abstractNumId="202">
    <w:nsid w:val="4AD3AFD2"/>
    <w:multiLevelType w:val="hybridMultilevel"/>
    <w:lvl w:ilvl="0">
      <w:lvlJc w:val="left"/>
      <w:lvlText w:val="%1"/>
      <w:numFmt w:val="decimal"/>
      <w:start w:val="70"/>
    </w:lvl>
  </w:abstractNum>
  <w:abstractNum w:abstractNumId="203">
    <w:nsid w:val="3CF93092"/>
    <w:multiLevelType w:val="hybridMultilevel"/>
    <w:lvl w:ilvl="0">
      <w:lvlJc w:val="left"/>
      <w:lvlText w:val="(%1)"/>
      <w:numFmt w:val="decimal"/>
      <w:start w:val="1"/>
    </w:lvl>
    <w:lvl w:ilvl="1">
      <w:lvlJc w:val="left"/>
      <w:lvlText w:val="%2."/>
      <w:numFmt w:val="lowerLetter"/>
      <w:start w:val="1"/>
    </w:lvl>
  </w:abstractNum>
  <w:abstractNum w:abstractNumId="204">
    <w:nsid w:val="6863E8D2"/>
    <w:multiLevelType w:val="hybridMultilevel"/>
    <w:lvl w:ilvl="0">
      <w:lvlJc w:val="left"/>
      <w:lvlText w:val="%1"/>
      <w:numFmt w:val="decimal"/>
      <w:start w:val="71"/>
    </w:lvl>
  </w:abstractNum>
  <w:abstractNum w:abstractNumId="205">
    <w:nsid w:val="76896198"/>
    <w:multiLevelType w:val="hybridMultilevel"/>
    <w:lvl w:ilvl="0">
      <w:lvlJc w:val="left"/>
      <w:lvlText w:val="(%1)"/>
      <w:numFmt w:val="decimal"/>
      <w:start w:val="12"/>
    </w:lvl>
    <w:lvl w:ilvl="1">
      <w:lvlJc w:val="left"/>
      <w:lvlText w:val="%2."/>
      <w:numFmt w:val="lowerLetter"/>
      <w:start w:val="4"/>
    </w:lvl>
  </w:abstractNum>
  <w:abstractNum w:abstractNumId="206">
    <w:nsid w:val="4365174B"/>
    <w:multiLevelType w:val="hybridMultilevel"/>
    <w:lvl w:ilvl="0">
      <w:lvlJc w:val="left"/>
      <w:lvlText w:val="%1"/>
      <w:numFmt w:val="decimal"/>
      <w:start w:val="72"/>
    </w:lvl>
  </w:abstractNum>
  <w:abstractNum w:abstractNumId="207">
    <w:nsid w:val="4A872C35"/>
    <w:multiLevelType w:val="hybridMultilevel"/>
    <w:lvl w:ilvl="0">
      <w:lvlJc w:val="left"/>
      <w:lvlText w:val="%1"/>
      <w:numFmt w:val="decimal"/>
      <w:start w:val="1"/>
    </w:lvl>
    <w:lvl w:ilvl="1">
      <w:lvlJc w:val="left"/>
      <w:lvlText w:val="%2."/>
      <w:numFmt w:val="lowerLetter"/>
      <w:start w:val="6"/>
    </w:lvl>
  </w:abstractNum>
  <w:abstractNum w:abstractNumId="208">
    <w:nsid w:val="5D5CE761"/>
    <w:multiLevelType w:val="hybridMultilevel"/>
    <w:lvl w:ilvl="0">
      <w:lvlJc w:val="left"/>
      <w:lvlText w:val="(%1)"/>
      <w:numFmt w:val="decimal"/>
      <w:start w:val="3"/>
    </w:lvl>
    <w:lvl w:ilvl="1">
      <w:lvlJc w:val="left"/>
      <w:lvlText w:val="%2"/>
      <w:numFmt w:val="lowerLetter"/>
      <w:start w:val="1"/>
    </w:lvl>
  </w:abstractNum>
  <w:abstractNum w:abstractNumId="209">
    <w:nsid w:val="1CD484D5"/>
    <w:multiLevelType w:val="hybridMultilevel"/>
    <w:lvl w:ilvl="0">
      <w:lvlJc w:val="left"/>
      <w:lvlText w:val="%1"/>
      <w:numFmt w:val="decimal"/>
      <w:start w:val="73"/>
    </w:lvl>
  </w:abstractNum>
  <w:abstractNum w:abstractNumId="210">
    <w:nsid w:val="21D06255"/>
    <w:multiLevelType w:val="hybridMultilevel"/>
    <w:lvl w:ilvl="0">
      <w:lvlJc w:val="left"/>
      <w:lvlText w:val="(%1)"/>
      <w:numFmt w:val="decimal"/>
      <w:start w:val="1"/>
    </w:lvl>
    <w:lvl w:ilvl="1">
      <w:lvlJc w:val="left"/>
      <w:lvlText w:val="%2."/>
      <w:numFmt w:val="lowerLetter"/>
      <w:start w:val="1"/>
    </w:lvl>
  </w:abstractNum>
  <w:abstractNum w:abstractNumId="211">
    <w:nsid w:val="51194ED1"/>
    <w:multiLevelType w:val="hybridMultilevel"/>
    <w:lvl w:ilvl="0">
      <w:lvlJc w:val="left"/>
      <w:lvlText w:val="(%1)"/>
      <w:numFmt w:val="decimal"/>
      <w:start w:val="2"/>
    </w:lvl>
  </w:abstractNum>
  <w:abstractNum w:abstractNumId="212">
    <w:nsid w:val="44E2ED6C"/>
    <w:multiLevelType w:val="hybridMultilevel"/>
    <w:lvl w:ilvl="0">
      <w:lvlJc w:val="left"/>
      <w:lvlText w:val="%1"/>
      <w:numFmt w:val="decimal"/>
      <w:start w:val="74"/>
    </w:lvl>
  </w:abstractNum>
  <w:abstractNum w:abstractNumId="213">
    <w:nsid w:val="2219B33"/>
    <w:multiLevelType w:val="hybridMultilevel"/>
    <w:lvl w:ilvl="0">
      <w:lvlJc w:val="left"/>
      <w:lvlText w:val="(%1)"/>
      <w:numFmt w:val="decimal"/>
      <w:start w:val="3"/>
    </w:lvl>
    <w:lvl w:ilvl="1">
      <w:lvlJc w:val="left"/>
      <w:lvlText w:val="%2."/>
      <w:numFmt w:val="lowerLetter"/>
      <w:start w:val="1"/>
    </w:lvl>
  </w:abstractNum>
  <w:abstractNum w:abstractNumId="214">
    <w:nsid w:val="773BFBDD"/>
    <w:multiLevelType w:val="hybridMultilevel"/>
    <w:lvl w:ilvl="0">
      <w:lvlJc w:val="left"/>
      <w:lvlText w:val="%1"/>
      <w:numFmt w:val="decimal"/>
      <w:start w:val="75"/>
    </w:lvl>
  </w:abstractNum>
  <w:abstractNum w:abstractNumId="215">
    <w:nsid w:val="2C7C62C2"/>
    <w:multiLevelType w:val="hybridMultilevel"/>
    <w:lvl w:ilvl="0">
      <w:lvlJc w:val="left"/>
      <w:lvlText w:val="(%1)"/>
      <w:numFmt w:val="decimal"/>
      <w:start w:val="4"/>
    </w:lvl>
    <w:lvl w:ilvl="1">
      <w:lvlJc w:val="left"/>
      <w:lvlText w:val="%2."/>
      <w:numFmt w:val="lowerLetter"/>
      <w:start w:val="1"/>
    </w:lvl>
  </w:abstractNum>
  <w:abstractNum w:abstractNumId="216">
    <w:nsid w:val="1A54D7BC"/>
    <w:multiLevelType w:val="hybridMultilevel"/>
    <w:lvl w:ilvl="0">
      <w:lvlJc w:val="left"/>
      <w:lvlText w:val="%1"/>
      <w:numFmt w:val="decimal"/>
      <w:start w:val="76"/>
    </w:lvl>
  </w:abstractNum>
  <w:abstractNum w:abstractNumId="217">
    <w:nsid w:val="42E57EF7"/>
    <w:multiLevelType w:val="hybridMultilevel"/>
    <w:lvl w:ilvl="0">
      <w:lvlJc w:val="left"/>
      <w:lvlText w:val="."/>
      <w:numFmt w:val="bullet"/>
      <w:start w:val="1"/>
    </w:lvl>
    <w:lvl w:ilvl="1">
      <w:lvlJc w:val="left"/>
      <w:lvlText w:val="(%2)"/>
      <w:numFmt w:val="decimal"/>
      <w:start w:val="1"/>
    </w:lvl>
  </w:abstractNum>
  <w:abstractNum w:abstractNumId="218">
    <w:nsid w:val="33537CED"/>
    <w:multiLevelType w:val="hybridMultilevel"/>
    <w:lvl w:ilvl="0">
      <w:lvlJc w:val="left"/>
      <w:lvlText w:val="(%1)"/>
      <w:numFmt w:val="decimal"/>
      <w:start w:val="3"/>
    </w:lvl>
    <w:lvl w:ilvl="1">
      <w:lvlJc w:val="left"/>
      <w:lvlText w:val="%2"/>
      <w:numFmt w:val="decimal"/>
      <w:start w:val="1"/>
    </w:lvl>
  </w:abstractNum>
  <w:abstractNum w:abstractNumId="219">
    <w:nsid w:val="27514ADE"/>
    <w:multiLevelType w:val="hybridMultilevel"/>
    <w:lvl w:ilvl="0">
      <w:lvlJc w:val="left"/>
      <w:lvlText w:val="(%1)"/>
      <w:numFmt w:val="decimal"/>
      <w:start w:val="1"/>
    </w:lvl>
    <w:lvl w:ilvl="1">
      <w:lvlJc w:val="left"/>
      <w:lvlText w:val="%2"/>
      <w:numFmt w:val="decimal"/>
      <w:start w:val="1"/>
    </w:lvl>
  </w:abstractNum>
  <w:abstractNum w:abstractNumId="220">
    <w:nsid w:val="57071613"/>
    <w:multiLevelType w:val="hybridMultilevel"/>
    <w:lvl w:ilvl="0">
      <w:lvlJc w:val="left"/>
      <w:lvlText w:val="%1"/>
      <w:numFmt w:val="decimal"/>
      <w:start w:val="77"/>
    </w:lvl>
  </w:abstractNum>
  <w:abstractNum w:abstractNumId="221">
    <w:nsid w:val="5293BFEF"/>
    <w:multiLevelType w:val="hybridMultilevel"/>
    <w:lvl w:ilvl="0">
      <w:lvlJc w:val="left"/>
      <w:lvlText w:val="(%1)"/>
      <w:numFmt w:val="lowerLetter"/>
      <w:start w:val="1"/>
    </w:lvl>
  </w:abstractNum>
  <w:abstractNum w:abstractNumId="222">
    <w:nsid w:val="38BF53E5"/>
    <w:multiLevelType w:val="hybridMultilevel"/>
    <w:lvl w:ilvl="0">
      <w:lvlJc w:val="left"/>
      <w:lvlText w:val="(%1)"/>
      <w:numFmt w:val="decimal"/>
      <w:start w:val="1"/>
    </w:lvl>
  </w:abstractNum>
  <w:abstractNum w:abstractNumId="223">
    <w:nsid w:val="226F5320"/>
    <w:multiLevelType w:val="hybridMultilevel"/>
    <w:lvl w:ilvl="0">
      <w:lvlJc w:val="left"/>
      <w:lvlText w:val="%1"/>
      <w:numFmt w:val="decimal"/>
      <w:start w:val="78"/>
    </w:lvl>
  </w:abstractNum>
  <w:abstractNum w:abstractNumId="224">
    <w:nsid w:val="5A0201C7"/>
    <w:multiLevelType w:val="hybridMultilevel"/>
    <w:lvl w:ilvl="0">
      <w:lvlJc w:val="left"/>
      <w:lvlText w:val="(%1)"/>
      <w:numFmt w:val="decimal"/>
      <w:start w:val="2"/>
    </w:lvl>
  </w:abstractNum>
  <w:abstractNum w:abstractNumId="225">
    <w:nsid w:val="2A9C34E2"/>
    <w:multiLevelType w:val="hybridMultilevel"/>
    <w:lvl w:ilvl="0">
      <w:lvlJc w:val="left"/>
      <w:lvlText w:val="(%1)"/>
      <w:numFmt w:val="decimal"/>
      <w:start w:val="1"/>
    </w:lvl>
  </w:abstractNum>
  <w:abstractNum w:abstractNumId="226">
    <w:nsid w:val="1B7585AB"/>
    <w:multiLevelType w:val="hybridMultilevel"/>
    <w:lvl w:ilvl="0">
      <w:lvlJc w:val="left"/>
      <w:lvlText w:val="."/>
      <w:numFmt w:val="bullet"/>
      <w:start w:val="1"/>
    </w:lvl>
    <w:lvl w:ilvl="1">
      <w:lvlJc w:val="left"/>
      <w:lvlText w:val="%2."/>
      <w:numFmt w:val="lowerLetter"/>
      <w:start w:val="1"/>
    </w:lvl>
  </w:abstractNum>
  <w:abstractNum w:abstractNumId="227">
    <w:nsid w:val="612DBDDD"/>
    <w:multiLevelType w:val="hybridMultilevel"/>
    <w:lvl w:ilvl="0">
      <w:lvlJc w:val="left"/>
      <w:lvlText w:val="%1"/>
      <w:numFmt w:val="decimal"/>
      <w:start w:val="79"/>
    </w:lvl>
  </w:abstractNum>
  <w:abstractNum w:abstractNumId="228">
    <w:nsid w:val="2109CDA4"/>
    <w:multiLevelType w:val="hybridMultilevel"/>
    <w:lvl w:ilvl="0">
      <w:lvlJc w:val="left"/>
      <w:lvlText w:val="%1."/>
      <w:numFmt w:val="lowerLetter"/>
      <w:start w:val="2"/>
    </w:lvl>
  </w:abstractNum>
  <w:abstractNum w:abstractNumId="229">
    <w:nsid w:val="577F5A4D"/>
    <w:multiLevelType w:val="hybridMultilevel"/>
    <w:lvl w:ilvl="0">
      <w:lvlJc w:val="left"/>
      <w:lvlText w:val="(%1)"/>
      <w:numFmt w:val="decimal"/>
      <w:start w:val="1"/>
    </w:lvl>
  </w:abstractNum>
  <w:abstractNum w:abstractNumId="230">
    <w:nsid w:val="2121A81"/>
    <w:multiLevelType w:val="hybridMultilevel"/>
    <w:lvl w:ilvl="0">
      <w:lvlJc w:val="left"/>
      <w:lvlText w:val="%1"/>
      <w:numFmt w:val="decimal"/>
      <w:start w:val="80"/>
    </w:lvl>
  </w:abstractNum>
  <w:abstractNum w:abstractNumId="231">
    <w:nsid w:val="6C2CFC88"/>
    <w:multiLevelType w:val="hybridMultilevel"/>
    <w:lvl w:ilvl="0">
      <w:lvlJc w:val="left"/>
      <w:lvlText w:val="(%1)"/>
      <w:numFmt w:val="lowerRoman"/>
      <w:start w:val="1"/>
    </w:lvl>
    <w:lvl w:ilvl="1">
      <w:lvlJc w:val="left"/>
      <w:lvlText w:val="(%2)"/>
      <w:numFmt w:val="decimal"/>
      <w:start w:val="3"/>
    </w:lvl>
  </w:abstractNum>
  <w:abstractNum w:abstractNumId="232">
    <w:nsid w:val="6D1BCF1C"/>
    <w:multiLevelType w:val="hybridMultilevel"/>
    <w:lvl w:ilvl="0">
      <w:lvlJc w:val="left"/>
      <w:lvlText w:val="%1."/>
      <w:numFmt w:val="lowerLetter"/>
      <w:start w:val="1"/>
    </w:lvl>
  </w:abstractNum>
  <w:abstractNum w:abstractNumId="233">
    <w:nsid w:val="4CE5CA53"/>
    <w:multiLevelType w:val="hybridMultilevel"/>
    <w:lvl w:ilvl="0">
      <w:lvlJc w:val="left"/>
      <w:lvlText w:val="(%1)"/>
      <w:numFmt w:val="decimal"/>
      <w:start w:val="1"/>
    </w:lvl>
  </w:abstractNum>
  <w:abstractNum w:abstractNumId="234">
    <w:nsid w:val="29262D1A"/>
    <w:multiLevelType w:val="hybridMultilevel"/>
    <w:lvl w:ilvl="0">
      <w:lvlJc w:val="left"/>
      <w:lvlText w:val="%1"/>
      <w:numFmt w:val="decimal"/>
      <w:start w:val="81"/>
    </w:lvl>
  </w:abstractNum>
  <w:abstractNum w:abstractNumId="235">
    <w:nsid w:val="557FB7EE"/>
    <w:multiLevelType w:val="hybridMultilevel"/>
    <w:lvl w:ilvl="0">
      <w:lvlJc w:val="left"/>
      <w:lvlText w:val="%1."/>
      <w:numFmt w:val="lowerLetter"/>
      <w:start w:val="3"/>
    </w:lvl>
  </w:abstractNum>
  <w:abstractNum w:abstractNumId="236">
    <w:nsid w:val="436F2BEB"/>
    <w:multiLevelType w:val="hybridMultilevel"/>
    <w:lvl w:ilvl="0">
      <w:lvlJc w:val="left"/>
      <w:lvlText w:val="(%1)"/>
      <w:numFmt w:val="decimal"/>
      <w:start w:val="1"/>
    </w:lvl>
    <w:lvl w:ilvl="1">
      <w:lvlJc w:val="left"/>
      <w:lvlText w:val="(%2)"/>
      <w:numFmt w:val="decimal"/>
      <w:start w:val="2"/>
    </w:lvl>
  </w:abstractNum>
  <w:abstractNum w:abstractNumId="237">
    <w:nsid w:val="6C8B4466"/>
    <w:multiLevelType w:val="hybridMultilevel"/>
    <w:lvl w:ilvl="0">
      <w:lvlJc w:val="left"/>
      <w:lvlText w:val="%1"/>
      <w:numFmt w:val="decimal"/>
      <w:start w:val="82"/>
    </w:lvl>
  </w:abstractNum>
  <w:abstractNum w:abstractNumId="238">
    <w:nsid w:val="2006E424"/>
    <w:multiLevelType w:val="hybridMultilevel"/>
    <w:lvl w:ilvl="0">
      <w:lvlJc w:val="left"/>
      <w:lvlText w:val="%1"/>
      <w:numFmt w:val="decimal"/>
      <w:start w:val="1"/>
    </w:lvl>
    <w:lvl w:ilvl="1">
      <w:lvlJc w:val="left"/>
      <w:lvlText w:val="%2."/>
      <w:numFmt w:val="lowerLetter"/>
      <w:start w:val="1"/>
    </w:lvl>
  </w:abstractNum>
  <w:abstractNum w:abstractNumId="239">
    <w:nsid w:val="20CC134C"/>
    <w:multiLevelType w:val="hybridMultilevel"/>
    <w:lvl w:ilvl="0">
      <w:lvlJc w:val="left"/>
      <w:lvlText w:val="(%1)"/>
      <w:numFmt w:val="decimal"/>
      <w:start w:val="3"/>
    </w:lvl>
    <w:lvl w:ilvl="1">
      <w:lvlJc w:val="left"/>
      <w:lvlText w:val="%2."/>
      <w:numFmt w:val="lowerLetter"/>
      <w:start w:val="1"/>
    </w:lvl>
  </w:abstractNum>
  <w:abstractNum w:abstractNumId="240">
    <w:nsid w:val="95FC93B"/>
    <w:multiLevelType w:val="hybridMultilevel"/>
    <w:lvl w:ilvl="0">
      <w:lvlJc w:val="left"/>
      <w:lvlText w:val="%1"/>
      <w:numFmt w:val="decimal"/>
      <w:start w:val="83"/>
    </w:lvl>
  </w:abstractNum>
  <w:abstractNum w:abstractNumId="241">
    <w:nsid w:val="41D74679"/>
    <w:multiLevelType w:val="hybridMultilevel"/>
    <w:lvl w:ilvl="0">
      <w:lvlJc w:val="left"/>
      <w:lvlText w:val="%1"/>
      <w:numFmt w:val="lowerLetter"/>
      <w:start w:val="1"/>
    </w:lvl>
    <w:lvl w:ilvl="1">
      <w:lvlJc w:val="left"/>
      <w:lvlText w:val="(%2)"/>
      <w:numFmt w:val="decimal"/>
      <w:start w:val="2"/>
    </w:lvl>
  </w:abstractNum>
  <w:abstractNum w:abstractNumId="242">
    <w:nsid w:val="71E5621E"/>
    <w:multiLevelType w:val="hybridMultilevel"/>
    <w:lvl w:ilvl="0">
      <w:lvlJc w:val="left"/>
      <w:lvlText w:val="%1."/>
      <w:numFmt w:val="lowerLetter"/>
      <w:start w:val="2"/>
    </w:lvl>
    <w:lvl w:ilvl="1">
      <w:lvlJc w:val="left"/>
      <w:lvlText w:val="%2"/>
      <w:numFmt w:val="decimal"/>
      <w:start w:val="1"/>
    </w:lvl>
  </w:abstractNum>
  <w:abstractNum w:abstractNumId="243">
    <w:nsid w:val="4E42B6A8"/>
    <w:multiLevelType w:val="hybridMultilevel"/>
    <w:lvl w:ilvl="0">
      <w:lvlJc w:val="left"/>
      <w:lvlText w:val="%1"/>
      <w:numFmt w:val="decimal"/>
      <w:start w:val="84"/>
    </w:lvl>
  </w:abstractNum>
  <w:abstractNum w:abstractNumId="244">
    <w:nsid w:val="43F8E1AC"/>
    <w:multiLevelType w:val="hybridMultilevel"/>
    <w:lvl w:ilvl="0">
      <w:lvlJc w:val="left"/>
      <w:lvlText w:val="%1"/>
      <w:numFmt w:val="decimal"/>
      <w:start w:val="1"/>
    </w:lvl>
    <w:lvl w:ilvl="1">
      <w:lvlJc w:val="left"/>
      <w:lvlText w:val="%2."/>
      <w:numFmt w:val="lowerLetter"/>
      <w:start w:val="4"/>
    </w:lvl>
  </w:abstractNum>
  <w:abstractNum w:abstractNumId="245">
    <w:nsid w:val="69215DFB"/>
    <w:multiLevelType w:val="hybridMultilevel"/>
    <w:lvl w:ilvl="0">
      <w:lvlJc w:val="left"/>
      <w:lvlText w:val="(%1)"/>
      <w:numFmt w:val="decimal"/>
      <w:start w:val="2"/>
    </w:lvl>
    <w:lvl w:ilvl="1">
      <w:lvlJc w:val="left"/>
      <w:lvlText w:val="%2"/>
      <w:numFmt w:val="lowerLetter"/>
      <w:start w:val="1"/>
    </w:lvl>
  </w:abstractNum>
  <w:abstractNum w:abstractNumId="246">
    <w:nsid w:val="7ABF196A"/>
    <w:multiLevelType w:val="hybridMultilevel"/>
    <w:lvl w:ilvl="0">
      <w:lvlJc w:val="left"/>
      <w:lvlText w:val="%1"/>
      <w:numFmt w:val="decimal"/>
      <w:start w:val="1"/>
    </w:lvl>
    <w:lvl w:ilvl="1">
      <w:lvlJc w:val="left"/>
      <w:lvlText w:val="%2."/>
      <w:numFmt w:val="lowerLetter"/>
      <w:start w:val="5"/>
    </w:lvl>
  </w:abstractNum>
  <w:abstractNum w:abstractNumId="247">
    <w:nsid w:val="5E4DB968"/>
    <w:multiLevelType w:val="hybridMultilevel"/>
    <w:lvl w:ilvl="0">
      <w:lvlJc w:val="left"/>
      <w:lvlText w:val="(%1)"/>
      <w:numFmt w:val="decimal"/>
      <w:start w:val="4"/>
    </w:lvl>
    <w:lvl w:ilvl="1">
      <w:lvlJc w:val="left"/>
      <w:lvlText w:val="%2"/>
      <w:numFmt w:val="lowerLetter"/>
      <w:start w:val="1"/>
    </w:lvl>
  </w:abstractNum>
  <w:abstractNum w:abstractNumId="248">
    <w:nsid w:val="2C06DCF3"/>
    <w:multiLevelType w:val="hybridMultilevel"/>
    <w:lvl w:ilvl="0">
      <w:lvlJc w:val="left"/>
      <w:lvlText w:val="%1"/>
      <w:numFmt w:val="decimal"/>
      <w:start w:val="85"/>
    </w:lvl>
  </w:abstractNum>
  <w:abstractNum w:abstractNumId="249">
    <w:nsid w:val="2E129658"/>
    <w:multiLevelType w:val="hybridMultilevel"/>
    <w:lvl w:ilvl="0">
      <w:lvlJc w:val="left"/>
      <w:lvlText w:val="."/>
      <w:numFmt w:val="bullet"/>
      <w:start w:val="1"/>
    </w:lvl>
  </w:abstractNum>
  <w:abstractNum w:abstractNumId="250">
    <w:nsid w:val="59F0446"/>
    <w:multiLevelType w:val="hybridMultilevel"/>
    <w:lvl w:ilvl="0">
      <w:lvlJc w:val="left"/>
      <w:lvlText w:val="(%1)"/>
      <w:numFmt w:val="decimal"/>
      <w:start w:val="1"/>
    </w:lvl>
    <w:lvl w:ilvl="1">
      <w:lvlJc w:val="left"/>
      <w:lvlText w:val="%2."/>
      <w:numFmt w:val="lowerLetter"/>
      <w:start w:val="1"/>
    </w:lvl>
  </w:abstractNum>
  <w:abstractNum w:abstractNumId="251">
    <w:nsid w:val="30DF306"/>
    <w:multiLevelType w:val="hybridMultilevel"/>
    <w:lvl w:ilvl="0">
      <w:lvlJc w:val="left"/>
      <w:lvlText w:val="%1"/>
      <w:numFmt w:val="decimal"/>
      <w:start w:val="86"/>
    </w:lvl>
  </w:abstractNum>
  <w:abstractNum w:abstractNumId="252">
    <w:nsid w:val="A65647"/>
    <w:multiLevelType w:val="hybridMultilevel"/>
    <w:lvl w:ilvl="0">
      <w:lvlJc w:val="left"/>
      <w:lvlText w:val="%1."/>
      <w:numFmt w:val="lowerLetter"/>
      <w:start w:val="3"/>
    </w:lvl>
  </w:abstractNum>
  <w:abstractNum w:abstractNumId="253">
    <w:nsid w:val="3E5E582B"/>
    <w:multiLevelType w:val="hybridMultilevel"/>
    <w:lvl w:ilvl="0">
      <w:lvlJc w:val="left"/>
      <w:lvlText w:val="(%1)"/>
      <w:numFmt w:val="decimal"/>
      <w:start w:val="2"/>
    </w:lvl>
  </w:abstractNum>
  <w:abstractNum w:abstractNumId="254">
    <w:nsid w:val="257D4626"/>
    <w:multiLevelType w:val="hybridMultilevel"/>
    <w:lvl w:ilvl="0">
      <w:lvlJc w:val="left"/>
      <w:lvlText w:val="%1"/>
      <w:numFmt w:val="decimal"/>
      <w:start w:val="87"/>
    </w:lvl>
  </w:abstractNum>
  <w:abstractNum w:abstractNumId="255">
    <w:nsid w:val="5AA8580E"/>
    <w:multiLevelType w:val="hybridMultilevel"/>
    <w:lvl w:ilvl="0">
      <w:lvlJc w:val="left"/>
      <w:lvlText w:val="(%1)"/>
      <w:numFmt w:val="decimal"/>
      <w:start w:val="1"/>
    </w:lvl>
  </w:abstractNum>
  <w:abstractNum w:abstractNumId="256">
    <w:nsid w:val="68FA8D0D"/>
    <w:multiLevelType w:val="hybridMultilevel"/>
    <w:lvl w:ilvl="0">
      <w:lvlJc w:val="left"/>
      <w:lvlText w:val="%1"/>
      <w:numFmt w:val="decimal"/>
      <w:start w:val="88"/>
    </w:lvl>
  </w:abstractNum>
  <w:abstractNum w:abstractNumId="257">
    <w:nsid w:val="40F2CBD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8">
    <w:nsid w:val="3BD615EB"/>
    <w:multiLevelType w:val="hybridMultilevel"/>
    <w:lvl w:ilvl="0">
      <w:lvlJc w:val="left"/>
      <w:lvlText w:val="%1"/>
      <w:numFmt w:val="decimal"/>
      <w:start w:val="89"/>
    </w:lvl>
  </w:abstractNum>
  <w:abstractNum w:abstractNumId="259">
    <w:nsid w:val="A045AB2"/>
    <w:multiLevelType w:val="hybridMultilevel"/>
    <w:lvl w:ilvl="0">
      <w:lvlJc w:val="left"/>
      <w:lvlText w:val="%1"/>
      <w:numFmt w:val="lowerRoman"/>
      <w:start w:val="1"/>
    </w:lvl>
    <w:lvl w:ilvl="1">
      <w:lvlJc w:val="left"/>
      <w:lvlText w:val="%2."/>
      <w:numFmt w:val="decimal"/>
      <w:start w:val="2"/>
    </w:lvl>
  </w:abstractNum>
  <w:abstractNum w:abstractNumId="260">
    <w:nsid w:val="1872261F"/>
    <w:multiLevelType w:val="hybridMultilevel"/>
    <w:lvl w:ilvl="0">
      <w:lvlJc w:val="left"/>
      <w:lvlText w:val="%1."/>
      <w:numFmt w:val="lowerRoman"/>
      <w:start w:val="3"/>
    </w:lvl>
    <w:lvl w:ilvl="1">
      <w:lvlJc w:val="left"/>
      <w:lvlText w:val="%2"/>
      <w:numFmt w:val="decimal"/>
      <w:start w:val="1"/>
    </w:lvl>
  </w:abstractNum>
  <w:abstractNum w:abstractNumId="261">
    <w:nsid w:val="3DE8306C"/>
    <w:multiLevelType w:val="hybridMultilevel"/>
    <w:lvl w:ilvl="0">
      <w:lvlJc w:val="left"/>
      <w:lvlText w:val="%1."/>
      <w:numFmt w:val="lowerRoman"/>
      <w:start w:val="4"/>
    </w:lvl>
  </w:abstractNum>
  <w:abstractNum w:abstractNumId="262">
    <w:nsid w:val="7631573A"/>
    <w:multiLevelType w:val="hybridMultilevel"/>
    <w:lvl w:ilvl="0">
      <w:lvlJc w:val="left"/>
      <w:lvlText w:val="%1"/>
      <w:numFmt w:val="decimal"/>
      <w:start w:val="90"/>
    </w:lvl>
  </w:abstractNum>
  <w:abstractNum w:abstractNumId="263">
    <w:nsid w:val="58DF5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8"/>
    </w:lvl>
  </w:abstractNum>
  <w:abstractNum w:abstractNumId="264">
    <w:nsid w:val="ACDFAC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65">
    <w:nsid w:val="1F578454"/>
    <w:multiLevelType w:val="hybridMultilevel"/>
    <w:lvl w:ilvl="0">
      <w:lvlJc w:val="left"/>
      <w:lvlText w:val="(%1)"/>
      <w:numFmt w:val="decimal"/>
      <w:start w:val="1"/>
    </w:lvl>
  </w:abstractNum>
  <w:abstractNum w:abstractNumId="266">
    <w:nsid w:val="5B0DAD2A"/>
    <w:multiLevelType w:val="hybridMultilevel"/>
    <w:lvl w:ilvl="0">
      <w:lvlJc w:val="left"/>
      <w:lvlText w:val="%1"/>
      <w:numFmt w:val="decimal"/>
      <w:start w:val="91"/>
    </w:lvl>
  </w:abstractNum>
  <w:abstractNum w:abstractNumId="267">
    <w:nsid w:val="4E3D26AB"/>
    <w:multiLevelType w:val="hybridMultilevel"/>
    <w:lvl w:ilvl="0">
      <w:lvlJc w:val="left"/>
      <w:lvlText w:val="%1."/>
      <w:numFmt w:val="lowerLetter"/>
      <w:start w:val="1"/>
    </w:lvl>
  </w:abstractNum>
  <w:abstractNum w:abstractNumId="268">
    <w:nsid w:val="BE2C8BA"/>
    <w:multiLevelType w:val="hybridMultilevel"/>
    <w:lvl w:ilvl="0">
      <w:lvlJc w:val="left"/>
      <w:lvlText w:val="(%1)"/>
      <w:numFmt w:val="decimal"/>
      <w:start w:val="1"/>
    </w:lvl>
  </w:abstractNum>
  <w:abstractNum w:abstractNumId="269">
    <w:nsid w:val="7B14914E"/>
    <w:multiLevelType w:val="hybridMultilevel"/>
    <w:lvl w:ilvl="0">
      <w:lvlJc w:val="left"/>
      <w:lvlText w:val="%1"/>
      <w:numFmt w:val="decimal"/>
      <w:start w:val="92"/>
    </w:lvl>
  </w:abstractNum>
  <w:abstractNum w:abstractNumId="270">
    <w:nsid w:val="6F0939F8"/>
    <w:multiLevelType w:val="hybridMultilevel"/>
    <w:lvl w:ilvl="0">
      <w:lvlJc w:val="left"/>
      <w:lvlText w:val="(%1)"/>
      <w:numFmt w:val="upperLetter"/>
      <w:start w:val="2"/>
    </w:lvl>
    <w:lvl w:ilvl="1">
      <w:lvlJc w:val="left"/>
      <w:lvlText w:val="(%2)"/>
      <w:numFmt w:val="decimal"/>
      <w:start w:val="2"/>
    </w:lvl>
  </w:abstractNum>
  <w:abstractNum w:abstractNumId="271">
    <w:nsid w:val="154291F6"/>
    <w:multiLevelType w:val="hybridMultilevel"/>
    <w:lvl w:ilvl="0">
      <w:lvlJc w:val="left"/>
      <w:lvlText w:val="%1"/>
      <w:numFmt w:val="decimal"/>
      <w:start w:val="93"/>
    </w:lvl>
  </w:abstractNum>
  <w:abstractNum w:abstractNumId="272">
    <w:nsid w:val="3CEBD7C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73">
    <w:nsid w:val="60EE9C16"/>
    <w:multiLevelType w:val="hybridMultilevel"/>
    <w:lvl w:ilvl="0">
      <w:lvlJc w:val="left"/>
      <w:lvlText w:val="(%1)"/>
      <w:numFmt w:val="decimal"/>
      <w:start w:val="1"/>
    </w:lvl>
    <w:lvl w:ilvl="1">
      <w:lvlJc w:val="left"/>
      <w:lvlText w:val="(%2)"/>
      <w:numFmt w:val="decimal"/>
      <w:start w:val="2"/>
    </w:lvl>
  </w:abstractNum>
  <w:abstractNum w:abstractNumId="274">
    <w:nsid w:val="6385489E"/>
    <w:multiLevelType w:val="hybridMultilevel"/>
    <w:lvl w:ilvl="0">
      <w:lvlJc w:val="left"/>
      <w:lvlText w:val="%1."/>
      <w:numFmt w:val="lowerLetter"/>
      <w:start w:val="2"/>
    </w:lvl>
    <w:lvl w:ilvl="1">
      <w:lvlJc w:val="left"/>
      <w:lvlText w:val="%2."/>
      <w:numFmt w:val="lowerLetter"/>
      <w:start w:val="9"/>
    </w:lvl>
  </w:abstractNum>
  <w:abstractNum w:abstractNumId="275">
    <w:nsid w:val="E4B973"/>
    <w:multiLevelType w:val="hybridMultilevel"/>
    <w:lvl w:ilvl="0">
      <w:lvlJc w:val="left"/>
      <w:lvlText w:val="%1"/>
      <w:numFmt w:val="decimal"/>
      <w:start w:val="94"/>
    </w:lvl>
  </w:abstractNum>
  <w:abstractNum w:abstractNumId="276">
    <w:nsid w:val="4A0FF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7">
    <w:nsid w:val="5E4462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8">
    <w:nsid w:val="5F3272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9">
    <w:nsid w:val="7616D704"/>
    <w:multiLevelType w:val="hybridMultilevel"/>
    <w:lvl w:ilvl="0">
      <w:lvlJc w:val="left"/>
      <w:lvlText w:val="%1"/>
      <w:numFmt w:val="decimal"/>
      <w:start w:val="95"/>
    </w:lvl>
  </w:abstractNum>
  <w:abstractNum w:abstractNumId="280">
    <w:nsid w:val="C56F860"/>
    <w:multiLevelType w:val="hybridMultilevel"/>
    <w:lvl w:ilvl="0">
      <w:lvlJc w:val="left"/>
      <w:lvlText w:val="%1"/>
      <w:numFmt w:val="decimal"/>
      <w:start w:val="1"/>
    </w:lvl>
    <w:lvl w:ilvl="1">
      <w:lvlJc w:val="left"/>
      <w:lvlText w:val="%2."/>
      <w:numFmt w:val="lowerLetter"/>
      <w:start w:val="4"/>
    </w:lvl>
  </w:abstractNum>
  <w:abstractNum w:abstractNumId="281">
    <w:nsid w:val="64D17722"/>
    <w:multiLevelType w:val="hybridMultilevel"/>
    <w:lvl w:ilvl="0">
      <w:lvlJc w:val="left"/>
      <w:lvlText w:val="(%1)"/>
      <w:numFmt w:val="decimal"/>
      <w:start w:val="6"/>
    </w:lvl>
    <w:lvl w:ilvl="1">
      <w:lvlJc w:val="left"/>
      <w:lvlText w:val="%2"/>
      <w:numFmt w:val="lowerLetter"/>
      <w:start w:val="1"/>
    </w:lvl>
  </w:abstractNum>
  <w:abstractNum w:abstractNumId="282">
    <w:nsid w:val="7924CA0A"/>
    <w:multiLevelType w:val="hybridMultilevel"/>
    <w:lvl w:ilvl="0">
      <w:lvlJc w:val="left"/>
      <w:lvlText w:val="."/>
      <w:numFmt w:val="bullet"/>
      <w:start w:val="1"/>
    </w:lvl>
    <w:lvl w:ilvl="1">
      <w:lvlJc w:val="left"/>
      <w:lvlText w:val="(%2)"/>
      <w:numFmt w:val="decimal"/>
      <w:start w:val="1"/>
    </w:lvl>
  </w:abstractNum>
  <w:abstractNum w:abstractNumId="283">
    <w:nsid w:val="CFD4EA7"/>
    <w:multiLevelType w:val="hybridMultilevel"/>
    <w:lvl w:ilvl="0">
      <w:lvlJc w:val="left"/>
      <w:lvlText w:val="%1"/>
      <w:numFmt w:val="decimal"/>
      <w:start w:val="96"/>
    </w:lvl>
  </w:abstractNum>
  <w:abstractNum w:abstractNumId="284">
    <w:nsid w:val="232FCF4D"/>
    <w:multiLevelType w:val="hybridMultilevel"/>
    <w:lvl w:ilvl="0">
      <w:lvlJc w:val="left"/>
      <w:lvlText w:val="(%1)"/>
      <w:numFmt w:val="decimal"/>
      <w:start w:val="1"/>
    </w:lvl>
    <w:lvl w:ilvl="1">
      <w:lvlJc w:val="left"/>
      <w:lvlText w:val="%2."/>
      <w:numFmt w:val="lowerLetter"/>
      <w:start w:val="1"/>
    </w:lvl>
  </w:abstractNum>
  <w:abstractNum w:abstractNumId="285">
    <w:nsid w:val="1EA21031"/>
    <w:multiLevelType w:val="hybridMultilevel"/>
    <w:lvl w:ilvl="0">
      <w:lvlJc w:val="left"/>
      <w:lvlText w:val="%1"/>
      <w:numFmt w:val="decimal"/>
      <w:start w:val="97"/>
    </w:lvl>
  </w:abstractNum>
  <w:abstractNum w:abstractNumId="286">
    <w:nsid w:val="67A5A6B5"/>
    <w:multiLevelType w:val="hybridMultilevel"/>
    <w:lvl w:ilvl="0">
      <w:lvlJc w:val="left"/>
      <w:lvlText w:val="%1."/>
      <w:numFmt w:val="lowerLetter"/>
      <w:start w:val="3"/>
    </w:lvl>
    <w:lvl w:ilvl="1">
      <w:lvlJc w:val="left"/>
      <w:lvlText w:val="%2."/>
      <w:numFmt w:val="lowerRoman"/>
      <w:start w:val="1"/>
    </w:lvl>
  </w:abstractNum>
  <w:abstractNum w:abstractNumId="287">
    <w:nsid w:val="C2A5C5B"/>
    <w:multiLevelType w:val="hybridMultilevel"/>
    <w:lvl w:ilvl="0">
      <w:lvlJc w:val="left"/>
      <w:lvlText w:val="%1"/>
      <w:numFmt w:val="decimal"/>
      <w:start w:val="98"/>
    </w:lvl>
  </w:abstractNum>
  <w:abstractNum w:abstractNumId="288">
    <w:nsid w:val="5F94DC03"/>
    <w:multiLevelType w:val="hybridMultilevel"/>
    <w:lvl w:ilvl="0">
      <w:lvlJc w:val="left"/>
      <w:lvlText w:val="(%1)"/>
      <w:numFmt w:val="decimal"/>
      <w:start w:val="2"/>
    </w:lvl>
  </w:abstractNum>
  <w:abstractNum w:abstractNumId="289">
    <w:nsid w:val="237BBCA0"/>
    <w:multiLevelType w:val="hybridMultilevel"/>
    <w:lvl w:ilvl="0">
      <w:lvlJc w:val="left"/>
      <w:lvlText w:val="(%1)"/>
      <w:numFmt w:val="decimal"/>
      <w:start w:val="1"/>
    </w:lvl>
  </w:abstractNum>
  <w:abstractNum w:abstractNumId="290">
    <w:nsid w:val="162EB70D"/>
    <w:multiLevelType w:val="hybridMultilevel"/>
    <w:lvl w:ilvl="0">
      <w:lvlJc w:val="left"/>
      <w:lvlText w:val="."/>
      <w:numFmt w:val="bullet"/>
      <w:start w:val="1"/>
    </w:lvl>
  </w:abstractNum>
  <w:abstractNum w:abstractNumId="291">
    <w:nsid w:val="78070222"/>
    <w:multiLevelType w:val="hybridMultilevel"/>
    <w:lvl w:ilvl="0">
      <w:lvlJc w:val="left"/>
      <w:lvlText w:val="%1"/>
      <w:numFmt w:val="decimal"/>
      <w:start w:val="99"/>
    </w:lvl>
  </w:abstractNum>
  <w:abstractNum w:abstractNumId="292">
    <w:nsid w:val="6163ED0D"/>
    <w:multiLevelType w:val="hybridMultilevel"/>
    <w:lvl w:ilvl="0">
      <w:lvlJc w:val="left"/>
      <w:lvlText w:val="(%1)"/>
      <w:numFmt w:val="decimal"/>
      <w:start w:val="1"/>
    </w:lvl>
    <w:lvl w:ilvl="1">
      <w:lvlJc w:val="left"/>
      <w:lvlText w:val="%2."/>
      <w:numFmt w:val="lowerLetter"/>
      <w:start w:val="1"/>
    </w:lvl>
  </w:abstractNum>
  <w:abstractNum w:abstractNumId="293">
    <w:nsid w:val="C600E47"/>
    <w:multiLevelType w:val="hybridMultilevel"/>
    <w:lvl w:ilvl="0">
      <w:lvlJc w:val="left"/>
      <w:lvlText w:val="%1"/>
      <w:numFmt w:val="decimal"/>
      <w:start w:val="1"/>
    </w:lvl>
    <w:lvl w:ilvl="1">
      <w:lvlJc w:val="left"/>
      <w:lvlText w:val="%2."/>
      <w:numFmt w:val="lowerLetter"/>
      <w:start w:val="5"/>
    </w:lvl>
  </w:abstractNum>
  <w:abstractNum w:abstractNumId="294">
    <w:nsid w:val="7D94F75D"/>
    <w:multiLevelType w:val="hybridMultilevel"/>
    <w:lvl w:ilvl="0">
      <w:lvlJc w:val="left"/>
      <w:lvlText w:val="(%1)"/>
      <w:numFmt w:val="decimal"/>
      <w:start w:val="2"/>
    </w:lvl>
    <w:lvl w:ilvl="1">
      <w:lvlJc w:val="left"/>
      <w:lvlText w:val="%2"/>
      <w:numFmt w:val="lowerLetter"/>
      <w:start w:val="1"/>
    </w:lvl>
  </w:abstractNum>
  <w:abstractNum w:abstractNumId="295">
    <w:nsid w:val="6C31E7CD"/>
    <w:multiLevelType w:val="hybridMultilevel"/>
    <w:lvl w:ilvl="0">
      <w:lvlJc w:val="left"/>
      <w:lvlText w:val="(%1)"/>
      <w:numFmt w:val="decimal"/>
      <w:start w:val="3"/>
    </w:lvl>
  </w:abstractNum>
  <w:abstractNum w:abstractNumId="296">
    <w:nsid w:val="2BB7929B"/>
    <w:multiLevelType w:val="hybridMultilevel"/>
    <w:lvl w:ilvl="0">
      <w:lvlJc w:val="left"/>
      <w:lvlText w:val="(%1)"/>
      <w:numFmt w:val="decimal"/>
      <w:start w:val="6"/>
    </w:lvl>
  </w:abstractNum>
  <w:abstractNum w:abstractNumId="297">
    <w:nsid w:val="58A2A487"/>
    <w:multiLevelType w:val="hybridMultilevel"/>
    <w:lvl w:ilvl="0">
      <w:lvlJc w:val="left"/>
      <w:lvlText w:val="(%1)"/>
      <w:numFmt w:val="decimal"/>
      <w:start w:val="1"/>
    </w:lvl>
  </w:abstractNum>
  <w:abstractNum w:abstractNumId="298">
    <w:nsid w:val="3A6F0E78"/>
    <w:multiLevelType w:val="hybridMultilevel"/>
    <w:lvl w:ilvl="0">
      <w:lvlJc w:val="left"/>
      <w:lvlText w:val="%1"/>
      <w:numFmt w:val="decimal"/>
      <w:start w:val="1"/>
    </w:lvl>
    <w:lvl w:ilvl="1">
      <w:lvlJc w:val="left"/>
      <w:lvlText w:val="(%2)"/>
      <w:numFmt w:val="decimal"/>
      <w:start w:val="2"/>
    </w:lvl>
  </w:abstractNum>
  <w:abstractNum w:abstractNumId="299">
    <w:nsid w:val="379A5B56"/>
    <w:multiLevelType w:val="hybridMultilevel"/>
    <w:lvl w:ilvl="0">
      <w:lvlJc w:val="left"/>
      <w:lvlText w:val="(%1)"/>
      <w:numFmt w:val="decimal"/>
      <w:start w:val="2"/>
    </w:lvl>
    <w:lvl w:ilvl="1">
      <w:lvlJc w:val="left"/>
      <w:lvlText w:val="(%2)"/>
      <w:numFmt w:val="decimal"/>
      <w:start w:val="4"/>
    </w:lvl>
  </w:abstractNum>
  <w:abstractNum w:abstractNumId="300">
    <w:nsid w:val="53B735D5"/>
    <w:multiLevelType w:val="hybridMultilevel"/>
    <w:lvl w:ilvl="0">
      <w:lvlJc w:val="left"/>
      <w:lvlText w:val="(%1)"/>
      <w:numFmt w:val="decimal"/>
      <w:start w:val="5"/>
    </w:lvl>
  </w:abstractNum>
  <w:abstractNum w:abstractNumId="301">
    <w:nsid w:val="2978487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02">
    <w:nsid w:val="4CDCED4C"/>
    <w:multiLevelType w:val="hybridMultilevel"/>
    <w:lvl w:ilvl="0">
      <w:lvlJc w:val="left"/>
      <w:lvlText w:val="%1"/>
      <w:numFmt w:val="decimal"/>
      <w:start w:val="1"/>
    </w:lvl>
    <w:lvl w:ilvl="1">
      <w:lvlJc w:val="left"/>
      <w:lvlText w:val="%2."/>
      <w:numFmt w:val="lowerLetter"/>
      <w:start w:val="3"/>
    </w:lvl>
  </w:abstractNum>
  <w:abstractNum w:abstractNumId="303">
    <w:nsid w:val="10A30D9C"/>
    <w:multiLevelType w:val="hybridMultilevel"/>
    <w:lvl w:ilvl="0">
      <w:lvlJc w:val="left"/>
      <w:lvlText w:val="(%1)"/>
      <w:numFmt w:val="decimal"/>
      <w:start w:val="3"/>
    </w:lvl>
    <w:lvl w:ilvl="1">
      <w:lvlJc w:val="left"/>
      <w:lvlText w:val="%2."/>
      <w:numFmt w:val="lowerLetter"/>
      <w:start w:val="1"/>
    </w:lvl>
  </w:abstractNum>
  <w:abstractNum w:abstractNumId="304">
    <w:nsid w:val="A66E486"/>
    <w:multiLevelType w:val="hybridMultilevel"/>
    <w:lvl w:ilvl="0">
      <w:lvlJc w:val="left"/>
      <w:lvlText w:val="(%1)"/>
      <w:numFmt w:val="decimal"/>
      <w:start w:val="3"/>
    </w:lvl>
  </w:abstractNum>
  <w:abstractNum w:abstractNumId="305">
    <w:nsid w:val="306235EA"/>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2"/>
    </w:lvl>
  </w:abstractNum>
  <w:abstractNum w:abstractNumId="306">
    <w:nsid w:val="1187C70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307">
    <w:nsid w:val="5476DE98"/>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308">
    <w:nsid w:val="EA697F2"/>
    <w:multiLevelType w:val="hybridMultilevel"/>
    <w:lvl w:ilvl="0">
      <w:lvlJc w:val="left"/>
      <w:lvlText w:val="(%1)"/>
      <w:numFmt w:val="decimal"/>
      <w:start w:val="6"/>
    </w:lvl>
    <w:lvl w:ilvl="1">
      <w:lvlJc w:val="left"/>
      <w:lvlText w:val="%2."/>
      <w:numFmt w:val="lowerLetter"/>
      <w:start w:val="1"/>
    </w:lvl>
  </w:abstractNum>
  <w:abstractNum w:abstractNumId="309">
    <w:nsid w:val="70BA39EB"/>
    <w:multiLevelType w:val="hybridMultilevel"/>
    <w:lvl w:ilvl="0">
      <w:lvlJc w:val="left"/>
      <w:lvlText w:val="%1"/>
      <w:numFmt w:val="decimal"/>
      <w:start w:val="1"/>
    </w:lvl>
    <w:lvl w:ilvl="1">
      <w:lvlJc w:val="left"/>
      <w:lvlText w:val="%2."/>
      <w:numFmt w:val="lowerLetter"/>
      <w:start w:val="4"/>
    </w:lvl>
  </w:abstractNum>
  <w:abstractNum w:abstractNumId="310">
    <w:nsid w:val="4A8DB59C"/>
    <w:multiLevelType w:val="hybridMultilevel"/>
    <w:lvl w:ilvl="0">
      <w:lvlJc w:val="left"/>
      <w:lvlText w:val="(%1)"/>
      <w:numFmt w:val="decimal"/>
      <w:start w:val="7"/>
    </w:lvl>
    <w:lvl w:ilvl="1">
      <w:lvlJc w:val="left"/>
      <w:lvlText w:val="%2."/>
      <w:numFmt w:val="lowerLetter"/>
      <w:start w:val="1"/>
    </w:lvl>
  </w:abstractNum>
  <w:abstractNum w:abstractNumId="311">
    <w:nsid w:val="1AFD9053"/>
    <w:multiLevelType w:val="hybridMultilevel"/>
    <w:lvl w:ilvl="0">
      <w:lvlJc w:val="left"/>
      <w:lvlText w:val="."/>
      <w:numFmt w:val="bullet"/>
      <w:start w:val="1"/>
    </w:lvl>
  </w:abstractNum>
  <w:abstractNum w:abstractNumId="312">
    <w:nsid w:val="558BB10D"/>
    <w:multiLevelType w:val="hybridMultilevel"/>
    <w:lvl w:ilvl="0">
      <w:lvlJc w:val="left"/>
      <w:lvlText w:val="(%1)"/>
      <w:numFmt w:val="decimal"/>
      <w:start w:val="1"/>
    </w:lvl>
  </w:abstractNum>
  <w:abstractNum w:abstractNumId="313">
    <w:nsid w:val="43B27FA7"/>
    <w:multiLevelType w:val="hybridMultilevel"/>
    <w:lvl w:ilvl="0">
      <w:lvlJc w:val="left"/>
      <w:lvlText w:val="."/>
      <w:numFmt w:val="bullet"/>
      <w:start w:val="1"/>
    </w:lvl>
  </w:abstractNum>
  <w:abstractNum w:abstractNumId="314">
    <w:nsid w:val="27FADEFA"/>
    <w:multiLevelType w:val="hybridMultilevel"/>
    <w:lvl w:ilvl="0">
      <w:lvlJc w:val="left"/>
      <w:lvlText w:val="."/>
      <w:numFmt w:val="bullet"/>
      <w:start w:val="1"/>
    </w:lvl>
  </w:abstractNum>
  <w:abstractNum w:abstractNumId="315">
    <w:nsid w:val="78BB805A"/>
    <w:multiLevelType w:val="hybridMultilevel"/>
    <w:lvl w:ilvl="0">
      <w:lvlJc w:val="left"/>
      <w:lvlText w:val="."/>
      <w:numFmt w:val="bullet"/>
      <w:start w:val="1"/>
    </w:lvl>
  </w:abstractNum>
  <w:abstractNum w:abstractNumId="316">
    <w:nsid w:val="62548FD8"/>
    <w:multiLevelType w:val="hybridMultilevel"/>
    <w:lvl w:ilvl="0">
      <w:lvlJc w:val="left"/>
      <w:lvlText w:val="."/>
      <w:numFmt w:val="bullet"/>
      <w:start w:val="1"/>
    </w:lvl>
  </w:abstractNum>
  <w:abstractNum w:abstractNumId="317">
    <w:nsid w:val="FA085B0"/>
    <w:multiLevelType w:val="hybridMultilevel"/>
    <w:lvl w:ilvl="0">
      <w:lvlJc w:val="left"/>
      <w:lvlText w:val="."/>
      <w:numFmt w:val="bullet"/>
      <w:start w:val="1"/>
    </w:lvl>
  </w:abstractNum>
  <w:abstractNum w:abstractNumId="318">
    <w:nsid w:val="4E5DCB5"/>
    <w:multiLevelType w:val="hybridMultilevel"/>
    <w:lvl w:ilvl="0">
      <w:lvlJc w:val="left"/>
      <w:lvlText w:val="."/>
      <w:numFmt w:val="bullet"/>
      <w:start w:val="1"/>
    </w:lvl>
  </w:abstractNum>
  <w:abstractNum w:abstractNumId="319">
    <w:nsid w:val="41E96BDB"/>
    <w:multiLevelType w:val="hybridMultilevel"/>
    <w:lvl w:ilvl="0">
      <w:lvlJc w:val="left"/>
      <w:lvlText w:val="."/>
      <w:numFmt w:val="bullet"/>
      <w:start w:val="1"/>
    </w:lvl>
  </w:abstractNum>
  <w:abstractNum w:abstractNumId="320">
    <w:nsid w:val="331C4250"/>
    <w:multiLevelType w:val="hybridMultilevel"/>
    <w:lvl w:ilvl="0">
      <w:lvlJc w:val="left"/>
      <w:lvlText w:val="."/>
      <w:numFmt w:val="bullet"/>
      <w:start w:val="1"/>
    </w:lvl>
    <w:lvl w:ilvl="1">
      <w:lvlJc w:val="left"/>
      <w:lvlText w:val="(%2)"/>
      <w:numFmt w:val="decimal"/>
      <w:start w:val="1"/>
    </w:lvl>
  </w:abstractNum>
  <w:abstractNum w:abstractNumId="321">
    <w:nsid w:val="1B1493C2"/>
    <w:multiLevelType w:val="hybridMultilevel"/>
    <w:lvl w:ilvl="0">
      <w:lvlJc w:val="left"/>
      <w:lvlText w:val="(%1)"/>
      <w:numFmt w:val="decimal"/>
      <w:start w:val="1"/>
    </w:lvl>
  </w:abstractNum>
  <w:abstractNum w:abstractNumId="322">
    <w:nsid w:val="39F06DFD"/>
    <w:multiLevelType w:val="hybridMultilevel"/>
    <w:lvl w:ilvl="0">
      <w:lvlJc w:val="left"/>
      <w:lvlText w:val="(%1)"/>
      <w:numFmt w:val="decimal"/>
      <w:start w:val="3"/>
    </w:lvl>
  </w:abstractNum>
  <w:abstractNum w:abstractNumId="323">
    <w:nsid w:val="14802F5D"/>
    <w:multiLevelType w:val="hybridMultilevel"/>
    <w:lvl w:ilvl="0">
      <w:lvlJc w:val="left"/>
      <w:lvlText w:val="(%1)"/>
      <w:numFmt w:val="decimal"/>
      <w:start w:val="8"/>
    </w:lvl>
  </w:abstractNum>
  <w:abstractNum w:abstractNumId="324">
    <w:nsid w:val="2774A209"/>
    <w:multiLevelType w:val="hybridMultilevel"/>
    <w:lvl w:ilvl="0">
      <w:lvlJc w:val="left"/>
      <w:lvlText w:val="."/>
      <w:numFmt w:val="bullet"/>
      <w:start w:val="1"/>
    </w:lvl>
  </w:abstractNum>
  <w:abstractNum w:abstractNumId="325">
    <w:nsid w:val="3785655A"/>
    <w:multiLevelType w:val="hybridMultilevel"/>
    <w:lvl w:ilvl="0">
      <w:lvlJc w:val="left"/>
      <w:lvlText w:val="."/>
      <w:numFmt w:val="bullet"/>
      <w:start w:val="1"/>
    </w:lvl>
  </w:abstractNum>
  <w:abstractNum w:abstractNumId="326">
    <w:nsid w:val="B2172A"/>
    <w:multiLevelType w:val="hybridMultilevel"/>
    <w:lvl w:ilvl="0">
      <w:lvlJc w:val="left"/>
      <w:lvlText w:val="."/>
      <w:numFmt w:val="bullet"/>
      <w:start w:val="1"/>
    </w:lvl>
  </w:abstractNum>
  <w:abstractNum w:abstractNumId="327">
    <w:nsid w:val="532C34A5"/>
    <w:multiLevelType w:val="hybridMultilevel"/>
    <w:lvl w:ilvl="0">
      <w:lvlJc w:val="left"/>
      <w:lvlText w:val="."/>
      <w:numFmt w:val="bullet"/>
      <w:start w:val="1"/>
    </w:lvl>
  </w:abstractNum>
  <w:abstractNum w:abstractNumId="328">
    <w:nsid w:val="102809E2"/>
    <w:multiLevelType w:val="hybridMultilevel"/>
    <w:lvl w:ilvl="0">
      <w:lvlJc w:val="left"/>
      <w:lvlText w:val="."/>
      <w:numFmt w:val="bullet"/>
      <w:start w:val="1"/>
    </w:lvl>
  </w:abstractNum>
  <w:abstractNum w:abstractNumId="329">
    <w:nsid w:val="3B2125A3"/>
    <w:multiLevelType w:val="hybridMultilevel"/>
    <w:lvl w:ilvl="0">
      <w:lvlJc w:val="left"/>
      <w:lvlText w:val="."/>
      <w:numFmt w:val="bullet"/>
      <w:start w:val="1"/>
    </w:lvl>
  </w:abstractNum>
  <w:abstractNum w:abstractNumId="330">
    <w:nsid w:val="AC68FFB"/>
    <w:multiLevelType w:val="hybridMultilevel"/>
    <w:lvl w:ilvl="0">
      <w:lvlJc w:val="left"/>
      <w:lvlText w:val="."/>
      <w:numFmt w:val="bullet"/>
      <w:start w:val="1"/>
    </w:lvl>
  </w:abstractNum>
  <w:abstractNum w:abstractNumId="331">
    <w:nsid w:val="63DF3FB7"/>
    <w:multiLevelType w:val="hybridMultilevel"/>
    <w:lvl w:ilvl="0">
      <w:lvlJc w:val="left"/>
      <w:lvlText w:val="."/>
      <w:numFmt w:val="bullet"/>
      <w:start w:val="1"/>
    </w:lvl>
  </w:abstractNum>
  <w:abstractNum w:abstractNumId="332">
    <w:nsid w:val="64996E13"/>
    <w:multiLevelType w:val="hybridMultilevel"/>
    <w:lvl w:ilvl="0">
      <w:lvlJc w:val="left"/>
      <w:lvlText w:val="(%1)"/>
      <w:numFmt w:val="decimal"/>
      <w:start w:val="1"/>
    </w:lvl>
  </w:abstractNum>
  <w:abstractNum w:abstractNumId="333">
    <w:nsid w:val="57A37D47"/>
    <w:multiLevelType w:val="hybridMultilevel"/>
    <w:lvl w:ilvl="0">
      <w:lvlJc w:val="left"/>
      <w:lvlText w:val="(%1)"/>
      <w:numFmt w:val="decimal"/>
      <w:start w:val="2"/>
    </w:lvl>
  </w:abstractNum>
  <w:abstractNum w:abstractNumId="334">
    <w:nsid w:val="74824D54"/>
    <w:multiLevelType w:val="hybridMultilevel"/>
    <w:lvl w:ilvl="0">
      <w:lvlJc w:val="left"/>
      <w:lvlText w:val="."/>
      <w:numFmt w:val="bullet"/>
      <w:start w:val="1"/>
    </w:lvl>
  </w:abstractNum>
  <w:abstractNum w:abstractNumId="335">
    <w:nsid w:val="6F00529A"/>
    <w:multiLevelType w:val="hybridMultilevel"/>
    <w:lvl w:ilvl="0">
      <w:lvlJc w:val="left"/>
      <w:lvlText w:val="."/>
      <w:numFmt w:val="bullet"/>
      <w:start w:val="1"/>
    </w:lvl>
  </w:abstractNum>
  <w:abstractNum w:abstractNumId="336">
    <w:nsid w:val="805B331"/>
    <w:multiLevelType w:val="hybridMultilevel"/>
    <w:lvl w:ilvl="0">
      <w:lvlJc w:val="left"/>
      <w:lvlText w:val="."/>
      <w:numFmt w:val="bullet"/>
      <w:start w:val="1"/>
    </w:lvl>
  </w:abstractNum>
  <w:abstractNum w:abstractNumId="337">
    <w:nsid w:val="60A1463"/>
    <w:multiLevelType w:val="hybridMultilevel"/>
    <w:lvl w:ilvl="0">
      <w:lvlJc w:val="left"/>
      <w:lvlText w:val="."/>
      <w:numFmt w:val="bullet"/>
      <w:start w:val="1"/>
    </w:lvl>
  </w:abstractNum>
  <w:abstractNum w:abstractNumId="338">
    <w:nsid w:val="43773132"/>
    <w:multiLevelType w:val="hybridMultilevel"/>
    <w:lvl w:ilvl="0">
      <w:lvlJc w:val="left"/>
      <w:lvlText w:val="."/>
      <w:numFmt w:val="bullet"/>
      <w:start w:val="1"/>
    </w:lvl>
    <w:lvl w:ilvl="1">
      <w:lvlJc w:val="left"/>
      <w:lvlText w:val="(%2)"/>
      <w:numFmt w:val="decimal"/>
      <w:start w:val="1"/>
    </w:lvl>
  </w:abstractNum>
  <w:abstractNum w:abstractNumId="339">
    <w:nsid w:val="16AC4B23"/>
    <w:multiLevelType w:val="hybridMultilevel"/>
    <w:lvl w:ilvl="0">
      <w:lvlJc w:val="left"/>
      <w:lvlText w:val="(%1)"/>
      <w:numFmt w:val="decimal"/>
      <w:start w:val="45"/>
    </w:lvl>
  </w:abstractNum>
  <w:abstractNum w:abstractNumId="340">
    <w:nsid w:val="76C44E4E"/>
    <w:multiLevelType w:val="hybridMultilevel"/>
    <w:lvl w:ilvl="0">
      <w:lvlJc w:val="left"/>
      <w:lvlText w:val="(%1)"/>
      <w:numFmt w:val="decimal"/>
      <w:start w:val="3"/>
    </w:lvl>
  </w:abstractNum>
  <w:abstractNum w:abstractNumId="341">
    <w:nsid w:val="E04E6CE"/>
    <w:multiLevelType w:val="hybridMultilevel"/>
    <w:lvl w:ilvl="0">
      <w:lvlJc w:val="left"/>
      <w:lvlText w:val="."/>
      <w:numFmt w:val="bullet"/>
      <w:start w:val="1"/>
    </w:lvl>
    <w:lvl w:ilvl="1">
      <w:lvlJc w:val="left"/>
      <w:lvlText w:val="(%2)"/>
      <w:numFmt w:val="decimal"/>
      <w:start w:val="1"/>
    </w:lvl>
  </w:abstractNum>
  <w:abstractNum w:abstractNumId="342">
    <w:nsid w:val="31A9DB76"/>
    <w:multiLevelType w:val="hybridMultilevel"/>
    <w:lvl w:ilvl="0">
      <w:lvlJc w:val="left"/>
      <w:lvlText w:val="(%1)"/>
      <w:numFmt w:val="decimal"/>
      <w:start w:val="6"/>
    </w:lvl>
  </w:abstractNum>
  <w:abstractNum w:abstractNumId="343">
    <w:nsid w:val="4C4FFF5B"/>
    <w:multiLevelType w:val="hybridMultilevel"/>
    <w:lvl w:ilvl="0">
      <w:lvlJc w:val="left"/>
      <w:lvlText w:val="(%1)"/>
      <w:numFmt w:val="decimal"/>
      <w:start w:val="11"/>
    </w:lvl>
    <w:lvl w:ilvl="1">
      <w:lvlJc w:val="left"/>
      <w:lvlText w:val="(%2)"/>
      <w:numFmt w:val="lowerLetter"/>
      <w:start w:val="11"/>
    </w:lvl>
  </w:abstractNum>
  <w:abstractNum w:abstractNumId="344">
    <w:nsid w:val="51B76675"/>
    <w:multiLevelType w:val="hybridMultilevel"/>
    <w:lvl w:ilvl="0">
      <w:lvlJc w:val="left"/>
      <w:lvlText w:val="(%1)"/>
      <w:numFmt w:val="lowerLetter"/>
      <w:start w:val="2"/>
    </w:lvl>
  </w:abstractNum>
  <w:abstractNum w:abstractNumId="345">
    <w:nsid w:val="59A4BA71"/>
    <w:multiLevelType w:val="hybridMultilevel"/>
    <w:lvl w:ilvl="0">
      <w:lvlJc w:val="left"/>
      <w:lvlText w:val="(%1)"/>
      <w:numFmt w:val="lowerLetter"/>
      <w:start w:val="23"/>
    </w:lvl>
  </w:abstractNum>
  <w:abstractNum w:abstractNumId="346">
    <w:nsid w:val="450B7FB6"/>
    <w:multiLevelType w:val="hybridMultilevel"/>
    <w:lvl w:ilvl="0">
      <w:lvlJc w:val="left"/>
      <w:lvlText w:val="(%1)"/>
      <w:numFmt w:val="decimal"/>
      <w:start w:val="25"/>
    </w:lvl>
  </w:abstractNum>
  <w:abstractNum w:abstractNumId="347">
    <w:nsid w:val="340BF64D"/>
    <w:multiLevelType w:val="hybridMultilevel"/>
    <w:lvl w:ilvl="0">
      <w:lvlJc w:val="left"/>
      <w:lvlText w:val="."/>
      <w:numFmt w:val="bullet"/>
      <w:start w:val="1"/>
    </w:lvl>
    <w:lvl w:ilvl="1">
      <w:lvlJc w:val="left"/>
      <w:lvlText w:val="(%2)"/>
      <w:numFmt w:val="lowerLetter"/>
      <w:start w:val="1"/>
    </w:lvl>
  </w:abstractNum>
  <w:abstractNum w:abstractNumId="348">
    <w:nsid w:val="69454021"/>
    <w:multiLevelType w:val="hybridMultilevel"/>
    <w:lvl w:ilvl="0">
      <w:lvlJc w:val="left"/>
      <w:lvlText w:val="."/>
      <w:numFmt w:val="bullet"/>
      <w:start w:val="1"/>
    </w:lvl>
  </w:abstractNum>
  <w:abstractNum w:abstractNumId="349">
    <w:nsid w:val="49F15C6B"/>
    <w:multiLevelType w:val="hybridMultilevel"/>
    <w:lvl w:ilvl="0">
      <w:lvlJc w:val="left"/>
      <w:lvlText w:val="(%1)"/>
      <w:numFmt w:val="decimal"/>
      <w:start w:val="1"/>
    </w:lvl>
  </w:abstractNum>
  <w:abstractNum w:abstractNumId="350">
    <w:nsid w:val="75F56228"/>
    <w:multiLevelType w:val="hybridMultilevel"/>
    <w:lvl w:ilvl="0">
      <w:lvlJc w:val="left"/>
      <w:lvlText w:val="."/>
      <w:numFmt w:val="bullet"/>
      <w:start w:val="1"/>
    </w:lvl>
  </w:abstractNum>
  <w:abstractNum w:abstractNumId="351">
    <w:nsid w:val="1C618271"/>
    <w:multiLevelType w:val="hybridMultilevel"/>
    <w:lvl w:ilvl="0">
      <w:lvlJc w:val="left"/>
      <w:lvlText w:val="."/>
      <w:numFmt w:val="bullet"/>
      <w:start w:val="1"/>
    </w:lvl>
  </w:abstractNum>
  <w:abstractNum w:abstractNumId="352">
    <w:nsid w:val="6505F02E"/>
    <w:multiLevelType w:val="hybridMultilevel"/>
    <w:lvl w:ilvl="0">
      <w:lvlJc w:val="left"/>
      <w:lvlText w:val="."/>
      <w:numFmt w:val="bullet"/>
      <w:start w:val="1"/>
    </w:lvl>
  </w:abstractNum>
  <w:abstractNum w:abstractNumId="353">
    <w:nsid w:val="2FE5D025"/>
    <w:multiLevelType w:val="hybridMultilevel"/>
    <w:lvl w:ilvl="0">
      <w:lvlJc w:val="left"/>
      <w:lvlText w:val="(%1)"/>
      <w:numFmt w:val="decimal"/>
      <w:start w:val="2"/>
    </w:lvl>
  </w:abstractNum>
  <w:abstractNum w:abstractNumId="354">
    <w:nsid w:val="30E1B1CF"/>
    <w:multiLevelType w:val="hybridMultilevel"/>
    <w:lvl w:ilvl="0">
      <w:lvlJc w:val="left"/>
      <w:lvlText w:val="."/>
      <w:numFmt w:val="bullet"/>
      <w:start w:val="1"/>
    </w:lvl>
  </w:abstractNum>
  <w:abstractNum w:abstractNumId="355">
    <w:nsid w:val="C7A9237"/>
    <w:multiLevelType w:val="hybridMultilevel"/>
    <w:lvl w:ilvl="0">
      <w:lvlJc w:val="left"/>
      <w:lvlText w:val="."/>
      <w:numFmt w:val="bullet"/>
      <w:start w:val="1"/>
    </w:lvl>
  </w:abstractNum>
  <w:abstractNum w:abstractNumId="356">
    <w:nsid w:val="676B3580"/>
    <w:multiLevelType w:val="hybridMultilevel"/>
    <w:lvl w:ilvl="0">
      <w:lvlJc w:val="left"/>
      <w:lvlText w:val="."/>
      <w:numFmt w:val="bullet"/>
      <w:start w:val="1"/>
    </w:lvl>
  </w:abstractNum>
  <w:abstractNum w:abstractNumId="357">
    <w:nsid w:val="3193C8F9"/>
    <w:multiLevelType w:val="hybridMultilevel"/>
    <w:lvl w:ilvl="0">
      <w:lvlJc w:val="left"/>
      <w:lvlText w:val="."/>
      <w:numFmt w:val="bullet"/>
      <w:start w:val="1"/>
    </w:lvl>
  </w:abstractNum>
  <w:abstractNum w:abstractNumId="358">
    <w:nsid w:val="5FA6C6DC"/>
    <w:multiLevelType w:val="hybridMultilevel"/>
    <w:lvl w:ilvl="0">
      <w:lvlJc w:val="left"/>
      <w:lvlText w:val="."/>
      <w:numFmt w:val="bullet"/>
      <w:start w:val="1"/>
    </w:lvl>
  </w:abstractNum>
  <w:abstractNum w:abstractNumId="359">
    <w:nsid w:val="77933F62"/>
    <w:multiLevelType w:val="hybridMultilevel"/>
    <w:lvl w:ilvl="0">
      <w:lvlJc w:val="left"/>
      <w:lvlText w:val="(%1)"/>
      <w:numFmt w:val="lowerLetter"/>
      <w:start w:val="1"/>
    </w:lvl>
  </w:abstractNum>
  <w:abstractNum w:abstractNumId="360">
    <w:nsid w:val="6CB4EE9C"/>
    <w:multiLevelType w:val="hybridMultilevel"/>
    <w:lvl w:ilvl="0">
      <w:lvlJc w:val="left"/>
      <w:lvlText w:val="%1"/>
      <w:numFmt w:val="decimal"/>
      <w:start w:val="1"/>
    </w:lvl>
    <w:lvl w:ilvl="1">
      <w:lvlJc w:val="left"/>
      <w:lvlText w:val="(%2)"/>
      <w:numFmt w:val="lowerLetter"/>
      <w:start w:val="2"/>
    </w:lvl>
  </w:abstractNum>
  <w:abstractNum w:abstractNumId="361">
    <w:nsid w:val="6A6D56D7"/>
    <w:multiLevelType w:val="hybridMultilevel"/>
    <w:lvl w:ilvl="0">
      <w:lvlJc w:val="left"/>
      <w:lvlText w:val="(%1)"/>
      <w:numFmt w:val="decimal"/>
      <w:start w:val="2"/>
    </w:lvl>
    <w:lvl w:ilvl="1">
      <w:lvlJc w:val="left"/>
      <w:lvlText w:val="(%2)"/>
      <w:numFmt w:val="lowerLetter"/>
      <w:start w:val="4"/>
    </w:lvl>
  </w:abstractNum>
  <w:abstractNum w:abstractNumId="362">
    <w:nsid w:val="5B727F19"/>
    <w:multiLevelType w:val="hybridMultilevel"/>
    <w:lvl w:ilvl="0">
      <w:lvlJc w:val="left"/>
      <w:lvlText w:val="(%1)"/>
      <w:numFmt w:val="lowerLetter"/>
      <w:start w:val="5"/>
    </w:lvl>
  </w:abstractNum>
  <w:abstractNum w:abstractNumId="363">
    <w:nsid w:val="514E5CB0"/>
    <w:multiLevelType w:val="hybridMultilevel"/>
    <w:lvl w:ilvl="0">
      <w:lvlJc w:val="left"/>
      <w:lvlText w:val="."/>
      <w:numFmt w:val="bullet"/>
      <w:start w:val="1"/>
    </w:lvl>
  </w:abstractNum>
  <w:abstractNum w:abstractNumId="364">
    <w:nsid w:val="4210D41E"/>
    <w:multiLevelType w:val="hybridMultilevel"/>
    <w:lvl w:ilvl="0">
      <w:lvlJc w:val="left"/>
      <w:lvlText w:val="."/>
      <w:numFmt w:val="bullet"/>
      <w:start w:val="1"/>
    </w:lvl>
  </w:abstractNum>
  <w:abstractNum w:abstractNumId="365">
    <w:nsid w:val="4FF4CC6D"/>
    <w:multiLevelType w:val="hybridMultilevel"/>
    <w:lvl w:ilvl="0">
      <w:lvlJc w:val="left"/>
      <w:lvlText w:val="."/>
      <w:numFmt w:val="bullet"/>
      <w:start w:val="1"/>
    </w:lvl>
  </w:abstractNum>
  <w:abstractNum w:abstractNumId="366">
    <w:nsid w:val="404EAF4A"/>
    <w:multiLevelType w:val="hybridMultilevel"/>
    <w:lvl w:ilvl="0">
      <w:lvlJc w:val="left"/>
      <w:lvlText w:val="."/>
      <w:numFmt w:val="bullet"/>
      <w:start w:val="1"/>
    </w:lvl>
  </w:abstractNum>
  <w:abstractNum w:abstractNumId="367">
    <w:nsid w:val="4A16874F"/>
    <w:multiLevelType w:val="hybridMultilevel"/>
    <w:lvl w:ilvl="0">
      <w:lvlJc w:val="left"/>
      <w:lvlText w:val="."/>
      <w:numFmt w:val="bullet"/>
      <w:start w:val="1"/>
    </w:lvl>
  </w:abstractNum>
  <w:abstractNum w:abstractNumId="368">
    <w:nsid w:val="55FEE0D1"/>
    <w:multiLevelType w:val="hybridMultilevel"/>
    <w:lvl w:ilvl="0">
      <w:lvlJc w:val="left"/>
      <w:lvlText w:val="."/>
      <w:numFmt w:val="bullet"/>
      <w:start w:val="1"/>
    </w:lvl>
    <w:lvl w:ilvl="1">
      <w:lvlJc w:val="left"/>
      <w:lvlText w:val="(%2)"/>
      <w:numFmt w:val="decimal"/>
      <w:start w:val="1"/>
    </w:lvl>
  </w:abstractNum>
  <w:abstractNum w:abstractNumId="369">
    <w:nsid w:val="3C5E07C"/>
    <w:multiLevelType w:val="hybridMultilevel"/>
    <w:lvl w:ilvl="0">
      <w:lvlJc w:val="left"/>
      <w:lvlText w:val="%1"/>
      <w:numFmt w:val="lowerRoman"/>
      <w:start w:val="1"/>
    </w:lvl>
    <w:lvl w:ilvl="1">
      <w:lvlJc w:val="left"/>
      <w:lvlText w:val="(%2)"/>
      <w:numFmt w:val="decimal"/>
      <w:start w:val="4"/>
    </w:lvl>
  </w:abstractNum>
  <w:abstractNum w:abstractNumId="370">
    <w:nsid w:val="60C2D273"/>
    <w:multiLevelType w:val="hybridMultilevel"/>
    <w:lvl w:ilvl="0">
      <w:lvlJc w:val="left"/>
      <w:lvlText w:val="(%1)"/>
      <w:numFmt w:val="lowerRoman"/>
      <w:start w:val="1"/>
    </w:lvl>
    <w:lvl w:ilvl="1">
      <w:lvlJc w:val="left"/>
      <w:lvlText w:val="%2"/>
      <w:numFmt w:val="decimal"/>
      <w:start w:val="1"/>
    </w:lvl>
  </w:abstractNum>
  <w:abstractNum w:abstractNumId="371">
    <w:nsid w:val="4CC32F1F"/>
    <w:multiLevelType w:val="hybridMultilevel"/>
    <w:lvl w:ilvl="0">
      <w:lvlJc w:val="left"/>
      <w:lvlText w:val="(%1)"/>
      <w:numFmt w:val="decimal"/>
      <w:start w:val="11"/>
    </w:lvl>
    <w:lvl w:ilvl="1">
      <w:lvlJc w:val="left"/>
      <w:lvlText w:val="%2."/>
      <w:numFmt w:val="lowerLetter"/>
      <w:start w:val="1"/>
    </w:lvl>
  </w:abstractNum>
  <w:abstractNum w:abstractNumId="372">
    <w:nsid w:val="11CAC74A"/>
    <w:multiLevelType w:val="hybridMultilevel"/>
    <w:lvl w:ilvl="0">
      <w:lvlJc w:val="left"/>
      <w:lvlText w:val="%1"/>
      <w:numFmt w:val="lowerRoman"/>
      <w:start w:val="1"/>
    </w:lvl>
    <w:lvl w:ilvl="1">
      <w:lvlJc w:val="left"/>
      <w:lvlText w:val="%2."/>
      <w:numFmt w:val="lowerLetter"/>
      <w:start w:val="4"/>
    </w:lvl>
  </w:abstractNum>
  <w:abstractNum w:abstractNumId="373">
    <w:nsid w:val="126CADE9"/>
    <w:multiLevelType w:val="hybridMultilevel"/>
    <w:lvl w:ilvl="0">
      <w:lvlJc w:val="left"/>
      <w:lvlText w:val="(%1)"/>
      <w:numFmt w:val="lowerRoman"/>
      <w:start w:val="3"/>
    </w:lvl>
    <w:lvl w:ilvl="1">
      <w:lvlJc w:val="left"/>
      <w:lvlText w:val="%2"/>
      <w:numFmt w:val="lowerLetter"/>
      <w:start w:val="1"/>
    </w:lvl>
  </w:abstractNum>
  <w:abstractNum w:abstractNumId="374">
    <w:nsid w:val="19132E7B"/>
    <w:multiLevelType w:val="hybridMultilevel"/>
    <w:lvl w:ilvl="0">
      <w:lvlJc w:val="left"/>
      <w:lvlText w:val="%1."/>
      <w:numFmt w:val="lowerLetter"/>
      <w:start w:val="5"/>
    </w:lvl>
  </w:abstractNum>
  <w:abstractNum w:abstractNumId="375">
    <w:nsid w:val="63822DC0"/>
    <w:multiLevelType w:val="hybridMultilevel"/>
    <w:lvl w:ilvl="0">
      <w:lvlJc w:val="left"/>
      <w:lvlText w:val="(%1)"/>
      <w:numFmt w:val="lowerRoman"/>
      <w:start w:val="1"/>
    </w:lvl>
  </w:abstractNum>
  <w:abstractNum w:abstractNumId="376">
    <w:nsid w:val="6C11685A"/>
    <w:multiLevelType w:val="hybridMultilevel"/>
    <w:lvl w:ilvl="0">
      <w:lvlJc w:val="left"/>
      <w:lvlText w:val="."/>
      <w:numFmt w:val="bullet"/>
      <w:start w:val="1"/>
    </w:lvl>
    <w:lvl w:ilvl="1">
      <w:lvlJc w:val="left"/>
      <w:lvlText w:val="(%2)"/>
      <w:numFmt w:val="decimal"/>
      <w:start w:val="1"/>
    </w:lvl>
  </w:abstractNum>
  <w:abstractNum w:abstractNumId="377">
    <w:nsid w:val="5E1EAE31"/>
    <w:multiLevelType w:val="hybridMultilevel"/>
    <w:lvl w:ilvl="0">
      <w:lvlJc w:val="left"/>
      <w:lvlText w:val="(%1)"/>
      <w:numFmt w:val="decimal"/>
      <w:start w:val="1"/>
    </w:lvl>
    <w:lvl w:ilvl="1">
      <w:lvlJc w:val="left"/>
      <w:lvlText w:val="(%2)"/>
      <w:numFmt w:val="decimal"/>
      <w:start w:val="4"/>
    </w:lvl>
  </w:abstractNum>
  <w:abstractNum w:abstractNumId="378">
    <w:nsid w:val="178E240D"/>
    <w:multiLevelType w:val="hybridMultilevel"/>
    <w:lvl w:ilvl="0">
      <w:lvlJc w:val="left"/>
      <w:lvlText w:val="%1"/>
      <w:numFmt w:val="decimal"/>
      <w:start w:val="1"/>
    </w:lvl>
    <w:lvl w:ilvl="1">
      <w:lvlJc w:val="left"/>
      <w:lvlText w:val="(%2)"/>
      <w:numFmt w:val="decimal"/>
      <w:start w:val="8"/>
    </w:lvl>
  </w:abstractNum>
  <w:abstractNum w:abstractNumId="379">
    <w:nsid w:val="5556A87B"/>
    <w:multiLevelType w:val="hybridMultilevel"/>
    <w:lvl w:ilvl="0">
      <w:lvlJc w:val="left"/>
      <w:lvlText w:val="(%1)"/>
      <w:numFmt w:val="decimal"/>
      <w:start w:val="2"/>
    </w:lvl>
    <w:lvl w:ilvl="1">
      <w:lvlJc w:val="left"/>
      <w:lvlText w:val="(%2)"/>
      <w:numFmt w:val="decimal"/>
      <w:start w:val="14"/>
    </w:lvl>
  </w:abstractNum>
  <w:abstractNum w:abstractNumId="380">
    <w:nsid w:val="28100A9C"/>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381">
    <w:nsid w:val="D838636"/>
    <w:multiLevelType w:val="hybridMultilevel"/>
    <w:lvl w:ilvl="0">
      <w:lvlJc w:val="left"/>
      <w:lvlText w:val="(%1)"/>
      <w:numFmt w:val="decimal"/>
      <w:start w:val="7"/>
    </w:lvl>
  </w:abstractNum>
  <w:abstractNum w:abstractNumId="382">
    <w:nsid w:val="71B82AED"/>
    <w:multiLevelType w:val="hybridMultilevel"/>
    <w:lvl w:ilvl="0">
      <w:lvlJc w:val="left"/>
      <w:lvlText w:val="(%1)"/>
      <w:numFmt w:val="decimal"/>
      <w:start w:val="9"/>
    </w:lvl>
  </w:abstractNum>
  <w:abstractNum w:abstractNumId="383">
    <w:nsid w:val="D15FACA"/>
    <w:multiLevelType w:val="hybridMultilevel"/>
    <w:lvl w:ilvl="0">
      <w:lvlJc w:val="left"/>
      <w:lvlText w:val="."/>
      <w:numFmt w:val="bullet"/>
      <w:start w:val="1"/>
    </w:lvl>
    <w:lvl w:ilvl="1">
      <w:lvlJc w:val="left"/>
      <w:lvlText w:val="(%2)"/>
      <w:numFmt w:val="decimal"/>
      <w:start w:val="1"/>
    </w:lvl>
  </w:abstractNum>
  <w:abstractNum w:abstractNumId="384">
    <w:nsid w:val="3D69565B"/>
    <w:multiLevelType w:val="hybridMultilevel"/>
    <w:lvl w:ilvl="0">
      <w:lvlJc w:val="left"/>
      <w:lvlText w:val="(%1)"/>
      <w:numFmt w:val="decimal"/>
      <w:start w:val="1"/>
    </w:lvl>
    <w:lvl w:ilvl="1">
      <w:lvlJc w:val="left"/>
      <w:lvlText w:val="(%2)"/>
      <w:numFmt w:val="decimal"/>
      <w:start w:val="8"/>
    </w:lvl>
  </w:abstractNum>
  <w:abstractNum w:abstractNumId="385">
    <w:nsid w:val="2299DCBC"/>
    <w:multiLevelType w:val="hybridMultilevel"/>
    <w:lvl w:ilvl="0">
      <w:lvlJc w:val="left"/>
      <w:lvlText w:val="."/>
      <w:numFmt w:val="bullet"/>
      <w:start w:val="1"/>
    </w:lvl>
    <w:lvl w:ilvl="1">
      <w:lvlJc w:val="left"/>
      <w:lvlText w:val="(%2)"/>
      <w:numFmt w:val="decimal"/>
      <w:start w:val="1"/>
    </w:lvl>
  </w:abstractNum>
  <w:abstractNum w:abstractNumId="386">
    <w:nsid w:val="19908D02"/>
    <w:multiLevelType w:val="hybridMultilevel"/>
    <w:lvl w:ilvl="0">
      <w:lvlJc w:val="left"/>
      <w:lvlText w:val="%1"/>
      <w:numFmt w:val="decimal"/>
      <w:start w:val="1"/>
    </w:lvl>
    <w:lvl w:ilvl="1">
      <w:lvlJc w:val="left"/>
      <w:lvlText w:val="(%2)"/>
      <w:numFmt w:val="decimal"/>
      <w:start w:val="2"/>
    </w:lvl>
  </w:abstractNum>
  <w:abstractNum w:abstractNumId="387">
    <w:nsid w:val="24D48BDB"/>
    <w:multiLevelType w:val="hybridMultilevel"/>
    <w:lvl w:ilvl="0">
      <w:lvlJc w:val="left"/>
      <w:lvlText w:val="(%1)"/>
      <w:numFmt w:val="decimal"/>
      <w:start w:val="2"/>
    </w:lvl>
    <w:lvl w:ilvl="1">
      <w:lvlJc w:val="left"/>
      <w:lvlText w:val="%2"/>
      <w:numFmt w:val="decimal"/>
      <w:start w:val="1"/>
    </w:lvl>
  </w:abstractNum>
  <w:abstractNum w:abstractNumId="388">
    <w:nsid w:val="542DA5B5"/>
    <w:multiLevelType w:val="hybridMultilevel"/>
    <w:lvl w:ilvl="0">
      <w:lvlJc w:val="left"/>
      <w:lvlText w:val="(%1)"/>
      <w:numFmt w:val="decimal"/>
      <w:start w:val="16"/>
    </w:lvl>
  </w:abstractNum>
  <w:abstractNum w:abstractNumId="389">
    <w:nsid w:val="793753DE"/>
    <w:multiLevelType w:val="hybridMultilevel"/>
    <w:lvl w:ilvl="0">
      <w:lvlJc w:val="left"/>
      <w:lvlText w:val="."/>
      <w:numFmt w:val="bullet"/>
      <w:start w:val="1"/>
    </w:lvl>
    <w:lvl w:ilvl="1">
      <w:lvlJc w:val="left"/>
      <w:lvlText w:val="(%2)"/>
      <w:numFmt w:val="decimal"/>
      <w:start w:val="1"/>
    </w:lvl>
  </w:abstractNum>
  <w:abstractNum w:abstractNumId="390">
    <w:nsid w:val="1C67CB3D"/>
    <w:multiLevelType w:val="hybridMultilevel"/>
    <w:lvl w:ilvl="0">
      <w:lvlJc w:val="left"/>
      <w:lvlText w:val="."/>
      <w:numFmt w:val="bullet"/>
      <w:start w:val="1"/>
    </w:lvl>
    <w:lvl w:ilvl="1">
      <w:lvlJc w:val="left"/>
      <w:lvlText w:val="(%2)"/>
      <w:numFmt w:val="lowerLetter"/>
      <w:start w:val="1"/>
    </w:lvl>
  </w:abstractNum>
  <w:abstractNum w:abstractNumId="391">
    <w:nsid w:val="40E29452"/>
    <w:multiLevelType w:val="hybridMultilevel"/>
    <w:lvl w:ilvl="0">
      <w:lvlJc w:val="left"/>
      <w:lvlText w:val="(%1)"/>
      <w:numFmt w:val="decimal"/>
      <w:start w:val="1"/>
    </w:lvl>
  </w:abstractNum>
  <w:abstractNum w:abstractNumId="392">
    <w:nsid w:val="63A4AAB6"/>
    <w:multiLevelType w:val="hybridMultilevel"/>
    <w:lvl w:ilvl="0">
      <w:lvlJc w:val="left"/>
      <w:lvlText w:val="(%1)"/>
      <w:numFmt w:val="decimal"/>
      <w:start w:val="1"/>
    </w:lvl>
  </w:abstractNum>
  <w:abstractNum w:abstractNumId="393">
    <w:nsid w:val="77DA4A57"/>
    <w:multiLevelType w:val="hybridMultilevel"/>
    <w:lvl w:ilvl="0">
      <w:lvlJc w:val="left"/>
      <w:lvlText w:val="(%1)"/>
      <w:numFmt w:val="decimal"/>
      <w:start w:val="2"/>
    </w:lvl>
    <w:lvl w:ilvl="1">
      <w:lvlJc w:val="left"/>
      <w:lvlText w:val="(%2)"/>
      <w:numFmt w:val="lowerLetter"/>
      <w:start w:val="1"/>
    </w:lvl>
  </w:abstractNum>
  <w:abstractNum w:abstractNumId="394">
    <w:nsid w:val="1230F102"/>
    <w:multiLevelType w:val="hybridMultilevel"/>
    <w:lvl w:ilvl="0">
      <w:lvlJc w:val="left"/>
      <w:lvlText w:val="(%1)"/>
      <w:numFmt w:val="decimal"/>
      <w:start w:val="1"/>
    </w:lvl>
  </w:abstractNum>
  <w:abstractNum w:abstractNumId="395">
    <w:nsid w:val="25B57ED4"/>
    <w:multiLevelType w:val="hybridMultilevel"/>
    <w:lvl w:ilvl="0">
      <w:lvlJc w:val="left"/>
      <w:lvlText w:val="(%1)"/>
      <w:numFmt w:val="lowerRoman"/>
      <w:start w:val="3"/>
    </w:lvl>
  </w:abstractNum>
  <w:abstractNum w:abstractNumId="396">
    <w:nsid w:val="47CF16C4"/>
    <w:multiLevelType w:val="hybridMultilevel"/>
    <w:lvl w:ilvl="0">
      <w:lvlJc w:val="left"/>
      <w:lvlText w:val="(%1)"/>
      <w:numFmt w:val="decimal"/>
      <w:start w:val="7"/>
    </w:lvl>
  </w:abstractNum>
  <w:abstractNum w:abstractNumId="397">
    <w:nsid w:val="527FA04C"/>
    <w:multiLevelType w:val="hybridMultilevel"/>
    <w:lvl w:ilvl="0">
      <w:lvlJc w:val="left"/>
      <w:lvlText w:val="."/>
      <w:numFmt w:val="bullet"/>
      <w:start w:val="1"/>
    </w:lvl>
  </w:abstractNum>
  <w:abstractNum w:abstractNumId="398">
    <w:nsid w:val="6FCC0624"/>
    <w:multiLevelType w:val="hybridMultilevel"/>
    <w:lvl w:ilvl="0">
      <w:lvlJc w:val="left"/>
      <w:lvlText w:val="."/>
      <w:numFmt w:val="bullet"/>
      <w:start w:val="1"/>
    </w:lvl>
  </w:abstractNum>
  <w:abstractNum w:abstractNumId="399">
    <w:nsid w:val="1DCDF795"/>
    <w:multiLevelType w:val="hybridMultilevel"/>
    <w:lvl w:ilvl="0">
      <w:lvlJc w:val="left"/>
      <w:lvlText w:val="(%1)"/>
      <w:numFmt w:val="lowerLetter"/>
      <w:start w:val="1"/>
    </w:lvl>
  </w:abstractNum>
  <w:abstractNum w:abstractNumId="400">
    <w:nsid w:val="564580C8"/>
    <w:multiLevelType w:val="hybridMultilevel"/>
    <w:lvl w:ilvl="0">
      <w:lvlJc w:val="left"/>
      <w:lvlText w:val="(%1)"/>
      <w:numFmt w:val="decimal"/>
      <w:start w:val="10"/>
    </w:lvl>
  </w:abstractNum>
  <w:abstractNum w:abstractNumId="401">
    <w:nsid w:val="508ED897"/>
    <w:multiLevelType w:val="hybridMultilevel"/>
    <w:lvl w:ilvl="0">
      <w:lvlJc w:val="left"/>
      <w:lvlText w:val="."/>
      <w:numFmt w:val="bullet"/>
      <w:start w:val="1"/>
    </w:lvl>
  </w:abstractNum>
  <w:abstractNum w:abstractNumId="402">
    <w:nsid w:val="6A9126B5"/>
    <w:multiLevelType w:val="hybridMultilevel"/>
    <w:lvl w:ilvl="0">
      <w:lvlJc w:val="left"/>
      <w:lvlText w:val="(%1)"/>
      <w:numFmt w:val="lowerLetter"/>
      <w:start w:val="1"/>
    </w:lvl>
  </w:abstractNum>
  <w:abstractNum w:abstractNumId="403">
    <w:nsid w:val="68104812"/>
    <w:multiLevelType w:val="hybridMultilevel"/>
    <w:lvl w:ilvl="0">
      <w:lvlJc w:val="left"/>
      <w:lvlText w:val="(%1)"/>
      <w:numFmt w:val="lowerLetter"/>
      <w:start w:val="7"/>
    </w:lvl>
  </w:abstractNum>
  <w:abstractNum w:abstractNumId="404">
    <w:nsid w:val="62FB8680"/>
    <w:multiLevelType w:val="hybridMultilevel"/>
    <w:lvl w:ilvl="0">
      <w:lvlJc w:val="left"/>
      <w:lvlText w:val="(%1)"/>
      <w:numFmt w:val="lowerLetter"/>
      <w:start w:val="35"/>
    </w:lvl>
    <w:lvl w:ilvl="1">
      <w:lvlJc w:val="left"/>
      <w:lvlText w:val="(%2)"/>
      <w:numFmt w:val="lowerLetter"/>
      <w:start w:val="13"/>
    </w:lvl>
  </w:abstractNum>
  <w:abstractNum w:abstractNumId="405">
    <w:nsid w:val="3A45530"/>
    <w:multiLevelType w:val="hybridMultilevel"/>
    <w:lvl w:ilvl="0">
      <w:lvlJc w:val="left"/>
      <w:lvlText w:val="."/>
      <w:numFmt w:val="bullet"/>
      <w:start w:val="1"/>
    </w:lvl>
    <w:lvl w:ilvl="1">
      <w:lvlJc w:val="left"/>
      <w:lvlText w:val="(%2)"/>
      <w:numFmt w:val="decimal"/>
      <w:start w:val="1"/>
    </w:lvl>
  </w:abstractNum>
  <w:abstractNum w:abstractNumId="406">
    <w:nsid w:val="4B9275D2"/>
    <w:multiLevelType w:val="hybridMultilevel"/>
    <w:lvl w:ilvl="0">
      <w:lvlJc w:val="left"/>
      <w:lvlText w:val="(%1)"/>
      <w:numFmt w:val="decimal"/>
      <w:start w:val="1"/>
    </w:lvl>
  </w:abstractNum>
  <w:abstractNum w:abstractNumId="407">
    <w:nsid w:val="4F0CEEDB"/>
    <w:multiLevelType w:val="hybridMultilevel"/>
    <w:lvl w:ilvl="0">
      <w:lvlJc w:val="left"/>
      <w:lvlText w:val="(%1)"/>
      <w:numFmt w:val="decimal"/>
      <w:start w:val="2"/>
    </w:lvl>
  </w:abstractNum>
  <w:abstractNum w:abstractNumId="408">
    <w:nsid w:val="61C30361"/>
    <w:multiLevelType w:val="hybridMultilevel"/>
    <w:lvl w:ilvl="0">
      <w:lvlJc w:val="left"/>
      <w:lvlText w:val="."/>
      <w:numFmt w:val="bullet"/>
      <w:start w:val="1"/>
    </w:lvl>
    <w:lvl w:ilvl="1">
      <w:lvlJc w:val="left"/>
      <w:lvlText w:val="%2."/>
      <w:numFmt w:val="lowerRoman"/>
      <w:start w:val="1"/>
    </w:lvl>
  </w:abstractNum>
  <w:abstractNum w:abstractNumId="409">
    <w:nsid w:val="632099E0"/>
    <w:multiLevelType w:val="hybridMultilevel"/>
    <w:lvl w:ilvl="0">
      <w:lvlJc w:val="left"/>
      <w:lvlText w:val="%1."/>
      <w:numFmt w:val="lowerRoman"/>
      <w:start w:val="2"/>
    </w:lvl>
  </w:abstractNum>
  <w:abstractNum w:abstractNumId="410">
    <w:nsid w:val="24639756"/>
    <w:multiLevelType w:val="hybridMultilevel"/>
    <w:lvl w:ilvl="0">
      <w:lvlJc w:val="left"/>
      <w:lvlText w:val="(%1)"/>
      <w:numFmt w:val="lowerLetter"/>
      <w:start w:val="2"/>
    </w:lvl>
  </w:abstractNum>
  <w:abstractNum w:abstractNumId="411">
    <w:nsid w:val="9D30DFD"/>
    <w:multiLevelType w:val="hybridMultilevel"/>
    <w:lvl w:ilvl="0">
      <w:lvlJc w:val="left"/>
      <w:lvlText w:val="."/>
      <w:numFmt w:val="bullet"/>
      <w:start w:val="1"/>
    </w:lvl>
    <w:lvl w:ilvl="1">
      <w:lvlJc w:val="left"/>
      <w:lvlText w:val="(%2)"/>
      <w:numFmt w:val="decimal"/>
      <w:start w:val="1"/>
    </w:lvl>
  </w:abstractNum>
  <w:abstractNum w:abstractNumId="412">
    <w:nsid w:val="70A42016"/>
    <w:multiLevelType w:val="hybridMultilevel"/>
    <w:lvl w:ilvl="0">
      <w:lvlJc w:val="left"/>
      <w:lvlText w:val="(%1)"/>
      <w:numFmt w:val="decimal"/>
      <w:start w:val="1"/>
    </w:lvl>
  </w:abstractNum>
  <w:abstractNum w:abstractNumId="413">
    <w:nsid w:val="161BC243"/>
    <w:multiLevelType w:val="hybridMultilevel"/>
    <w:lvl w:ilvl="0">
      <w:lvlJc w:val="left"/>
      <w:lvlText w:val="(%1)"/>
      <w:numFmt w:val="decimal"/>
      <w:start w:val="2"/>
    </w:lvl>
  </w:abstractNum>
  <w:abstractNum w:abstractNumId="414">
    <w:nsid w:val="16E908C8"/>
    <w:multiLevelType w:val="hybridMultilevel"/>
    <w:lvl w:ilvl="0">
      <w:lvlJc w:val="left"/>
      <w:lvlText w:val="."/>
      <w:numFmt w:val="bullet"/>
      <w:start w:val="1"/>
    </w:lvl>
  </w:abstractNum>
  <w:abstractNum w:abstractNumId="415">
    <w:nsid w:val="2E0D7671"/>
    <w:multiLevelType w:val="hybridMultilevel"/>
    <w:lvl w:ilvl="0">
      <w:lvlJc w:val="left"/>
      <w:lvlText w:val="(%1)"/>
      <w:numFmt w:val="decimal"/>
      <w:start w:val="1"/>
    </w:lvl>
  </w:abstractNum>
  <w:abstractNum w:abstractNumId="416">
    <w:nsid w:val="38B59EFF"/>
    <w:multiLevelType w:val="hybridMultilevel"/>
    <w:lvl w:ilvl="0">
      <w:lvlJc w:val="left"/>
      <w:lvlText w:val="."/>
      <w:numFmt w:val="bullet"/>
      <w:start w:val="1"/>
    </w:lvl>
  </w:abstractNum>
  <w:abstractNum w:abstractNumId="417">
    <w:nsid w:val="307995CA"/>
    <w:multiLevelType w:val="hybridMultilevel"/>
    <w:lvl w:ilvl="0">
      <w:lvlJc w:val="left"/>
      <w:lvlText w:val="(%1)"/>
      <w:numFmt w:val="decimal"/>
      <w:start w:val="1"/>
    </w:lvl>
    <w:lvl w:ilvl="1">
      <w:lvlJc w:val="left"/>
      <w:lvlText w:val="%2."/>
      <w:numFmt w:val="lowerLetter"/>
      <w:start w:val="1"/>
    </w:lvl>
  </w:abstractNum>
  <w:abstractNum w:abstractNumId="418">
    <w:nsid w:val="52E2024D"/>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19">
    <w:nsid w:val="CE344B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420">
    <w:nsid w:val="29B0E9A8"/>
    <w:multiLevelType w:val="hybridMultilevel"/>
    <w:lvl w:ilvl="0">
      <w:lvlJc w:val="left"/>
      <w:lvlText w:val="(%1)"/>
      <w:numFmt w:val="decimal"/>
      <w:start w:val="24"/>
    </w:lvl>
    <w:lvl w:ilvl="1">
      <w:lvlJc w:val="left"/>
      <w:lvlText w:val="%2"/>
      <w:numFmt w:val="decimal"/>
      <w:start w:val="1"/>
    </w:lvl>
    <w:lvl w:ilvl="2">
      <w:lvlJc w:val="left"/>
      <w:lvlText w:val="%3"/>
      <w:numFmt w:val="lowerLetter"/>
      <w:start w:val="1"/>
    </w:lvl>
  </w:abstractNum>
  <w:abstractNum w:abstractNumId="421">
    <w:nsid w:val="6F49CD8A"/>
    <w:multiLevelType w:val="hybridMultilevel"/>
    <w:lvl w:ilvl="0">
      <w:lvlJc w:val="left"/>
      <w:lvlText w:val="."/>
      <w:numFmt w:val="bullet"/>
      <w:start w:val="1"/>
    </w:lvl>
  </w:abstractNum>
  <w:abstractNum w:abstractNumId="422">
    <w:nsid w:val="4DC5D907"/>
    <w:multiLevelType w:val="hybridMultilevel"/>
    <w:lvl w:ilvl="0">
      <w:lvlJc w:val="left"/>
      <w:lvlText w:val="."/>
      <w:numFmt w:val="bullet"/>
      <w:start w:val="1"/>
    </w:lvl>
  </w:abstractNum>
  <w:abstractNum w:abstractNumId="423">
    <w:nsid w:val="D55945E"/>
    <w:multiLevelType w:val="hybridMultilevel"/>
    <w:lvl w:ilvl="0">
      <w:lvlJc w:val="left"/>
      <w:lvlText w:val="(%1)"/>
      <w:numFmt w:val="lowerLetter"/>
      <w:start w:val="1"/>
    </w:lvl>
  </w:abstractNum>
  <w:abstractNum w:abstractNumId="424">
    <w:nsid w:val="672417E1"/>
    <w:multiLevelType w:val="hybridMultilevel"/>
    <w:lvl w:ilvl="0">
      <w:lvlJc w:val="left"/>
      <w:lvlText w:val="(%1)"/>
      <w:numFmt w:val="lowerLetter"/>
      <w:start w:val="2"/>
    </w:lvl>
  </w:abstractNum>
  <w:abstractNum w:abstractNumId="425">
    <w:nsid w:val="5FF6CA09"/>
    <w:multiLevelType w:val="hybridMultilevel"/>
    <w:lvl w:ilvl="0">
      <w:lvlJc w:val="left"/>
      <w:lvlText w:val="."/>
      <w:numFmt w:val="bullet"/>
      <w:start w:val="1"/>
    </w:lvl>
  </w:abstractNum>
  <w:abstractNum w:abstractNumId="426">
    <w:nsid w:val="330B1333"/>
    <w:multiLevelType w:val="hybridMultilevel"/>
    <w:lvl w:ilvl="0">
      <w:lvlJc w:val="left"/>
      <w:lvlText w:val="."/>
      <w:numFmt w:val="bullet"/>
      <w:start w:val="1"/>
    </w:lvl>
  </w:abstractNum>
  <w:abstractNum w:abstractNumId="427">
    <w:nsid w:val="2EF32EA6"/>
    <w:multiLevelType w:val="hybridMultilevel"/>
    <w:lvl w:ilvl="0">
      <w:lvlJc w:val="left"/>
      <w:lvlText w:val="(%1)"/>
      <w:numFmt w:val="decimal"/>
      <w:start w:val="1"/>
    </w:lvl>
    <w:lvl w:ilvl="1">
      <w:lvlJc w:val="left"/>
      <w:lvlText w:val="%2."/>
      <w:numFmt w:val="lowerLetter"/>
      <w:start w:val="1"/>
    </w:lvl>
  </w:abstractNum>
  <w:abstractNum w:abstractNumId="428">
    <w:nsid w:val="32766A55"/>
    <w:multiLevelType w:val="hybridMultilevel"/>
    <w:lvl w:ilvl="0">
      <w:lvlJc w:val="left"/>
      <w:lvlText w:val="(%1)"/>
      <w:numFmt w:val="upperLetter"/>
      <w:start w:val="2"/>
    </w:lvl>
    <w:lvl w:ilvl="1">
      <w:lvlJc w:val="left"/>
      <w:lvlText w:val="%2."/>
      <w:numFmt w:val="lowerLetter"/>
      <w:start w:val="2"/>
    </w:lvl>
  </w:abstractNum>
  <w:abstractNum w:abstractNumId="429">
    <w:nsid w:val="22D71957"/>
    <w:multiLevelType w:val="hybridMultilevel"/>
    <w:lvl w:ilvl="0">
      <w:lvlJc w:val="left"/>
      <w:lvlText w:val="(%1)"/>
      <w:numFmt w:val="decimal"/>
      <w:start w:val="2"/>
    </w:lvl>
  </w:abstractNum>
  <w:abstractNum w:abstractNumId="430">
    <w:nsid w:val="4CC1263B"/>
    <w:multiLevelType w:val="hybridMultilevel"/>
    <w:lvl w:ilvl="0">
      <w:lvlJc w:val="left"/>
      <w:lvlText w:val="."/>
      <w:numFmt w:val="bullet"/>
      <w:start w:val="1"/>
    </w:lvl>
  </w:abstractNum>
  <w:abstractNum w:abstractNumId="431">
    <w:nsid w:val="8BBEB1D"/>
    <w:multiLevelType w:val="hybridMultilevel"/>
    <w:lvl w:ilvl="0">
      <w:lvlJc w:val="left"/>
      <w:lvlText w:val="(%1)"/>
      <w:numFmt w:val="decimal"/>
      <w:start w:val="1"/>
    </w:lvl>
  </w:abstractNum>
  <w:abstractNum w:abstractNumId="432">
    <w:nsid w:val="7365F1EE"/>
    <w:multiLevelType w:val="hybridMultilevel"/>
    <w:lvl w:ilvl="0">
      <w:lvlJc w:val="left"/>
      <w:lvlText w:val="%1"/>
      <w:numFmt w:val="decimal"/>
      <w:start w:val="1"/>
    </w:lvl>
    <w:lvl w:ilvl="1">
      <w:lvlJc w:val="left"/>
      <w:lvlText w:val="(%2)"/>
      <w:numFmt w:val="decimal"/>
      <w:start w:val="4"/>
    </w:lvl>
  </w:abstractNum>
  <w:abstractNum w:abstractNumId="433">
    <w:nsid w:val="37524CF0"/>
    <w:multiLevelType w:val="hybridMultilevel"/>
    <w:lvl w:ilvl="0">
      <w:lvlJc w:val="left"/>
      <w:lvlText w:val="(%1)"/>
      <w:numFmt w:val="decimal"/>
      <w:start w:val="6"/>
    </w:lvl>
    <w:lvl w:ilvl="1">
      <w:lvlJc w:val="left"/>
      <w:lvlText w:val="(%2)"/>
      <w:numFmt w:val="decimal"/>
      <w:start w:val="6"/>
    </w:lvl>
  </w:abstractNum>
  <w:abstractNum w:abstractNumId="434">
    <w:nsid w:val="70CC332F"/>
    <w:multiLevelType w:val="hybridMultilevel"/>
    <w:lvl w:ilvl="0">
      <w:lvlJc w:val="left"/>
      <w:lvlText w:val="(%1)"/>
      <w:numFmt w:val="decimal"/>
      <w:start w:val="7"/>
    </w:lvl>
  </w:abstractNum>
  <w:abstractNum w:abstractNumId="435">
    <w:nsid w:val="5661786E"/>
    <w:multiLevelType w:val="hybridMultilevel"/>
    <w:lvl w:ilvl="0">
      <w:lvlJc w:val="left"/>
      <w:lvlText w:val="(%1)"/>
      <w:numFmt w:val="decimal"/>
      <w:start w:val="1"/>
    </w:lvl>
  </w:abstractNum>
  <w:abstractNum w:abstractNumId="436">
    <w:nsid w:val="3AF6A220"/>
    <w:multiLevelType w:val="hybridMultilevel"/>
    <w:lvl w:ilvl="0">
      <w:lvlJc w:val="left"/>
      <w:lvlText w:val="%1"/>
      <w:numFmt w:val="upperLetter"/>
      <w:start w:val="1"/>
    </w:lvl>
    <w:lvl w:ilvl="1">
      <w:lvlJc w:val="left"/>
      <w:lvlText w:val="(%2)"/>
      <w:numFmt w:val="decimal"/>
      <w:start w:val="2"/>
    </w:lvl>
  </w:abstractNum>
  <w:abstractNum w:abstractNumId="437">
    <w:nsid w:val="3C5EA902"/>
    <w:multiLevelType w:val="hybridMultilevel"/>
    <w:lvl w:ilvl="0">
      <w:lvlJc w:val="left"/>
      <w:lvlText w:val="(%1)"/>
      <w:numFmt w:val="lowerRoman"/>
      <w:start w:val="2"/>
    </w:lvl>
  </w:abstractNum>
  <w:abstractNum w:abstractNumId="438">
    <w:nsid w:val="256E6749"/>
    <w:multiLevelType w:val="hybridMultilevel"/>
    <w:lvl w:ilvl="0">
      <w:lvlJc w:val="left"/>
      <w:lvlText w:val="(%1)"/>
      <w:numFmt w:val="decimal"/>
      <w:start w:val="3"/>
    </w:lvl>
    <w:lvl w:ilvl="1">
      <w:lvlJc w:val="left"/>
      <w:lvlText w:val="%2."/>
      <w:numFmt w:val="lowerLetter"/>
      <w:start w:val="1"/>
    </w:lvl>
  </w:abstractNum>
  <w:abstractNum w:abstractNumId="439">
    <w:nsid w:val="1CB9A581"/>
    <w:multiLevelType w:val="hybridMultilevel"/>
    <w:lvl w:ilvl="0">
      <w:lvlJc w:val="left"/>
      <w:lvlText w:val="."/>
      <w:numFmt w:val="bullet"/>
      <w:start w:val="1"/>
    </w:lvl>
  </w:abstractNum>
  <w:abstractNum w:abstractNumId="440">
    <w:nsid w:val="1F7F42E2"/>
    <w:multiLevelType w:val="hybridMultilevel"/>
    <w:lvl w:ilvl="0">
      <w:lvlJc w:val="left"/>
      <w:lvlText w:val="(%1)"/>
      <w:numFmt w:val="decimal"/>
      <w:start w:val="1"/>
    </w:lvl>
  </w:abstractNum>
  <w:abstractNum w:abstractNumId="441">
    <w:nsid w:val="49D1FEA0"/>
    <w:multiLevelType w:val="hybridMultilevel"/>
    <w:lvl w:ilvl="0">
      <w:lvlJc w:val="left"/>
      <w:lvlText w:val="(%1)"/>
      <w:numFmt w:val="decimal"/>
      <w:start w:val="8"/>
    </w:lvl>
  </w:abstractNum>
  <w:abstractNum w:abstractNumId="442">
    <w:nsid w:val="268CB37F"/>
    <w:multiLevelType w:val="hybridMultilevel"/>
    <w:lvl w:ilvl="0">
      <w:lvlJc w:val="left"/>
      <w:lvlText w:val="(%1)"/>
      <w:numFmt w:val="decimal"/>
      <w:start w:val="1"/>
    </w:lvl>
  </w:abstractNum>
  <w:abstractNum w:abstractNumId="443">
    <w:nsid w:val="102362F8"/>
    <w:multiLevelType w:val="hybridMultilevel"/>
    <w:lvl w:ilvl="0">
      <w:lvlJc w:val="left"/>
      <w:lvlText w:val="(%1)"/>
      <w:numFmt w:val="decimal"/>
      <w:start w:val="2"/>
    </w:lvl>
  </w:abstractNum>
  <w:abstractNum w:abstractNumId="444">
    <w:nsid w:val="5FEDC0E3"/>
    <w:multiLevelType w:val="hybridMultilevel"/>
    <w:lvl w:ilvl="0">
      <w:lvlJc w:val="left"/>
      <w:lvlText w:val="(%1)"/>
      <w:numFmt w:val="lowerLetter"/>
      <w:start w:val="3"/>
    </w:lvl>
    <w:lvl w:ilvl="1">
      <w:lvlJc w:val="left"/>
      <w:lvlText w:val="(%2)"/>
      <w:numFmt w:val="decimal"/>
      <w:start w:val="4"/>
    </w:lvl>
  </w:abstractNum>
  <w:abstractNum w:abstractNumId="445">
    <w:nsid w:val="3D75BC47"/>
    <w:multiLevelType w:val="hybridMultilevel"/>
    <w:lvl w:ilvl="0">
      <w:lvlJc w:val="left"/>
      <w:lvlText w:val="."/>
      <w:numFmt w:val="bullet"/>
      <w:start w:val="1"/>
    </w:lvl>
  </w:abstractNum>
  <w:abstractNum w:abstractNumId="446">
    <w:nsid w:val="3E30D969"/>
    <w:multiLevelType w:val="hybridMultilevel"/>
    <w:lvl w:ilvl="0">
      <w:lvlJc w:val="left"/>
      <w:lvlText w:val="(%1)"/>
      <w:numFmt w:val="decimal"/>
      <w:start w:val="1"/>
    </w:lvl>
  </w:abstractNum>
  <w:abstractNum w:abstractNumId="447">
    <w:nsid w:val="18A35FE3"/>
    <w:multiLevelType w:val="hybridMultilevel"/>
    <w:lvl w:ilvl="0">
      <w:lvlJc w:val="left"/>
      <w:lvlText w:val="."/>
      <w:numFmt w:val="bullet"/>
      <w:start w:val="1"/>
    </w:lvl>
  </w:abstractNum>
  <w:abstractNum w:abstractNumId="448">
    <w:nsid w:val="6DEF5211"/>
    <w:multiLevelType w:val="hybridMultilevel"/>
    <w:lvl w:ilvl="0">
      <w:lvlJc w:val="left"/>
      <w:lvlText w:val="."/>
      <w:numFmt w:val="bullet"/>
      <w:start w:val="1"/>
    </w:lvl>
  </w:abstractNum>
  <w:abstractNum w:abstractNumId="449">
    <w:nsid w:val="1112DBB6"/>
    <w:multiLevelType w:val="hybridMultilevel"/>
    <w:lvl w:ilvl="0">
      <w:lvlJc w:val="left"/>
      <w:lvlText w:val="."/>
      <w:numFmt w:val="bullet"/>
      <w:start w:val="1"/>
    </w:lvl>
  </w:abstractNum>
  <w:abstractNum w:abstractNumId="450">
    <w:nsid w:val="2586A498"/>
    <w:multiLevelType w:val="hybridMultilevel"/>
    <w:lvl w:ilvl="0">
      <w:lvlJc w:val="left"/>
      <w:lvlText w:val="%1"/>
      <w:numFmt w:val="lowerLetter"/>
      <w:start w:val="1"/>
    </w:lvl>
    <w:lvl w:ilvl="1">
      <w:lvlJc w:val="left"/>
      <w:lvlText w:val="(%2)"/>
      <w:numFmt w:val="decimal"/>
      <w:start w:val="1"/>
    </w:lvl>
  </w:abstractNum>
  <w:abstractNum w:abstractNumId="451">
    <w:nsid w:val="17A03BB9"/>
    <w:multiLevelType w:val="hybridMultilevel"/>
    <w:lvl w:ilvl="0">
      <w:lvlJc w:val="left"/>
      <w:lvlText w:val="(%1)"/>
      <w:numFmt w:val="lowerLetter"/>
      <w:start w:val="4"/>
    </w:lvl>
    <w:lvl w:ilvl="1">
      <w:lvlJc w:val="left"/>
      <w:lvlText w:val="%2"/>
      <w:numFmt w:val="decimal"/>
      <w:start w:val="1"/>
    </w:lvl>
  </w:abstractNum>
  <w:abstractNum w:abstractNumId="452">
    <w:nsid w:val="5CA94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3">
    <w:nsid w:val="734C7D9F"/>
    <w:multiLevelType w:val="hybridMultilevel"/>
    <w:lvl w:ilvl="0">
      <w:lvlJc w:val="left"/>
      <w:lvlText w:val="%1"/>
      <w:numFmt w:val="lowerLetter"/>
      <w:start w:val="1"/>
    </w:lvl>
    <w:lvl w:ilvl="1">
      <w:lvlJc w:val="left"/>
      <w:lvlText w:val="%2."/>
      <w:numFmt w:val="lowerRoman"/>
      <w:start w:val="2"/>
    </w:lvl>
  </w:abstractNum>
  <w:abstractNum w:abstractNumId="454">
    <w:nsid w:val="24F5D018"/>
    <w:multiLevelType w:val="hybridMultilevel"/>
    <w:lvl w:ilvl="0">
      <w:lvlJc w:val="left"/>
      <w:lvlText w:val="%1."/>
      <w:numFmt w:val="lowerLetter"/>
      <w:start w:val="4"/>
    </w:lvl>
    <w:lvl w:ilvl="1">
      <w:lvlJc w:val="left"/>
      <w:lvlText w:val="%2"/>
      <w:numFmt w:val="lowerRoman"/>
      <w:start w:val="1"/>
    </w:lvl>
  </w:abstractNum>
  <w:abstractNum w:abstractNumId="455">
    <w:nsid w:val="6780C122"/>
    <w:multiLevelType w:val="hybridMultilevel"/>
    <w:lvl w:ilvl="0">
      <w:lvlJc w:val="left"/>
      <w:lvlText w:val="(%1)"/>
      <w:numFmt w:val="decimal"/>
      <w:start w:val="3"/>
    </w:lvl>
  </w:abstractNum>
  <w:abstractNum w:abstractNumId="456">
    <w:nsid w:val="534347A8"/>
    <w:multiLevelType w:val="hybridMultilevel"/>
    <w:lvl w:ilvl="0">
      <w:lvlJc w:val="left"/>
      <w:lvlText w:val="(%1)"/>
      <w:numFmt w:val="decimal"/>
      <w:start w:val="5"/>
    </w:lvl>
  </w:abstractNum>
  <w:abstractNum w:abstractNumId="457">
    <w:nsid w:val="5800E34B"/>
    <w:multiLevelType w:val="hybridMultilevel"/>
    <w:lvl w:ilvl="0">
      <w:lvlJc w:val="left"/>
      <w:lvlText w:val="."/>
      <w:numFmt w:val="bullet"/>
      <w:start w:val="1"/>
    </w:lvl>
  </w:abstractNum>
  <w:abstractNum w:abstractNumId="458">
    <w:nsid w:val="1673EFC8"/>
    <w:multiLevelType w:val="hybridMultilevel"/>
    <w:lvl w:ilvl="0">
      <w:lvlJc w:val="left"/>
      <w:lvlText w:val="."/>
      <w:numFmt w:val="bullet"/>
      <w:start w:val="1"/>
    </w:lvl>
  </w:abstractNum>
  <w:abstractNum w:abstractNumId="459">
    <w:nsid w:val="5B9B1FD"/>
    <w:multiLevelType w:val="hybridMultilevel"/>
    <w:lvl w:ilvl="0">
      <w:lvlJc w:val="left"/>
      <w:lvlText w:val="."/>
      <w:numFmt w:val="bullet"/>
      <w:start w:val="1"/>
    </w:lvl>
  </w:abstractNum>
  <w:abstractNum w:abstractNumId="460">
    <w:nsid w:val="7AD7FCA2"/>
    <w:multiLevelType w:val="hybridMultilevel"/>
    <w:lvl w:ilvl="0">
      <w:lvlJc w:val="left"/>
      <w:lvlText w:val="(%1)"/>
      <w:numFmt w:val="decimal"/>
      <w:start w:val="1"/>
    </w:lvl>
  </w:abstractNum>
  <w:abstractNum w:abstractNumId="461">
    <w:nsid w:val="63351604"/>
    <w:multiLevelType w:val="hybridMultilevel"/>
    <w:lvl w:ilvl="0">
      <w:lvlJc w:val="left"/>
      <w:lvlText w:val="(%1)"/>
      <w:numFmt w:val="decimal"/>
      <w:start w:val="2"/>
    </w:lvl>
  </w:abstractNum>
  <w:abstractNum w:abstractNumId="462">
    <w:nsid w:val="E759D1A"/>
    <w:multiLevelType w:val="hybridMultilevel"/>
    <w:lvl w:ilvl="0">
      <w:lvlJc w:val="left"/>
      <w:lvlText w:val="."/>
      <w:numFmt w:val="bullet"/>
      <w:start w:val="1"/>
    </w:lvl>
  </w:abstractNum>
  <w:abstractNum w:abstractNumId="463">
    <w:nsid w:val="6E3DEE90"/>
    <w:multiLevelType w:val="hybridMultilevel"/>
    <w:lvl w:ilvl="0">
      <w:lvlJc w:val="left"/>
      <w:lvlText w:val="."/>
      <w:numFmt w:val="bullet"/>
      <w:start w:val="1"/>
    </w:lvl>
  </w:abstractNum>
  <w:abstractNum w:abstractNumId="464">
    <w:nsid w:val="1A8762F4"/>
    <w:multiLevelType w:val="hybridMultilevel"/>
    <w:lvl w:ilvl="0">
      <w:lvlJc w:val="left"/>
      <w:lvlText w:val="(%1)"/>
      <w:numFmt w:val="decimal"/>
      <w:start w:val="1"/>
    </w:lvl>
  </w:abstractNum>
  <w:abstractNum w:abstractNumId="465">
    <w:nsid w:val="7F41D049"/>
    <w:multiLevelType w:val="hybridMultilevel"/>
    <w:lvl w:ilvl="0">
      <w:lvlJc w:val="left"/>
      <w:lvlText w:val="."/>
      <w:numFmt w:val="bullet"/>
      <w:start w:val="1"/>
    </w:lvl>
  </w:abstractNum>
  <w:abstractNum w:abstractNumId="466">
    <w:nsid w:val="449F66FE"/>
    <w:multiLevelType w:val="hybridMultilevel"/>
    <w:lvl w:ilvl="0">
      <w:lvlJc w:val="left"/>
      <w:lvlText w:val="."/>
      <w:numFmt w:val="bullet"/>
      <w:start w:val="1"/>
    </w:lvl>
  </w:abstractNum>
  <w:abstractNum w:abstractNumId="467">
    <w:nsid w:val="557E0515"/>
    <w:multiLevelType w:val="hybridMultilevel"/>
    <w:lvl w:ilvl="0">
      <w:lvlJc w:val="left"/>
      <w:lvlText w:val="."/>
      <w:numFmt w:val="bullet"/>
      <w:start w:val="1"/>
    </w:lvl>
  </w:abstractNum>
  <w:abstractNum w:abstractNumId="468">
    <w:nsid w:val="3BA0794B"/>
    <w:multiLevelType w:val="hybridMultilevel"/>
    <w:lvl w:ilvl="0">
      <w:lvlJc w:val="left"/>
      <w:lvlText w:val="(%1)"/>
      <w:numFmt w:val="lowerLetter"/>
      <w:start w:val="1"/>
    </w:lvl>
  </w:abstractNum>
  <w:abstractNum w:abstractNumId="469">
    <w:nsid w:val="6A0DCE48"/>
    <w:multiLevelType w:val="hybridMultilevel"/>
    <w:lvl w:ilvl="0">
      <w:lvlJc w:val="left"/>
      <w:lvlText w:val="(%1)"/>
      <w:numFmt w:val="lowerLetter"/>
      <w:start w:val="2"/>
    </w:lvl>
  </w:abstractNum>
  <w:abstractNum w:abstractNumId="470">
    <w:nsid w:val="7237AA96"/>
    <w:multiLevelType w:val="hybridMultilevel"/>
    <w:lvl w:ilvl="0">
      <w:lvlJc w:val="left"/>
      <w:lvlText w:val="."/>
      <w:numFmt w:val="bullet"/>
      <w:start w:val="1"/>
    </w:lvl>
  </w:abstractNum>
  <w:abstractNum w:abstractNumId="471">
    <w:nsid w:val="5B1FBC2D"/>
    <w:multiLevelType w:val="hybridMultilevel"/>
    <w:lvl w:ilvl="0">
      <w:lvlJc w:val="left"/>
      <w:lvlText w:val="."/>
      <w:numFmt w:val="bullet"/>
      <w:start w:val="1"/>
    </w:lvl>
  </w:abstractNum>
  <w:abstractNum w:abstractNumId="472">
    <w:nsid w:val="33DFCCE8"/>
    <w:multiLevelType w:val="hybridMultilevel"/>
    <w:lvl w:ilvl="0">
      <w:lvlJc w:val="left"/>
      <w:lvlText w:val="(%1)"/>
      <w:numFmt w:val="decimal"/>
      <w:start w:val="1"/>
    </w:lvl>
    <w:lvl w:ilvl="1">
      <w:lvlJc w:val="left"/>
      <w:lvlText w:val="%2."/>
      <w:numFmt w:val="lowerLetter"/>
      <w:start w:val="1"/>
    </w:lvl>
  </w:abstractNum>
  <w:abstractNum w:abstractNumId="473">
    <w:nsid w:val="18C45E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74">
    <w:nsid w:val="6B431F25"/>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1"/>
    </w:lvl>
  </w:abstractNum>
  <w:abstractNum w:abstractNumId="475">
    <w:nsid w:val="13CD8DCB"/>
    <w:multiLevelType w:val="hybridMultilevel"/>
    <w:lvl w:ilvl="0">
      <w:lvlJc w:val="left"/>
      <w:lvlText w:val="%1"/>
      <w:numFmt w:val="lowerLetter"/>
      <w:start w:val="1"/>
    </w:lvl>
    <w:lvl w:ilvl="1">
      <w:lvlJc w:val="left"/>
      <w:lvlText w:val="%2."/>
      <w:numFmt w:val="lowerLetter"/>
      <w:start w:val="4"/>
    </w:lvl>
  </w:abstractNum>
  <w:abstractNum w:abstractNumId="476">
    <w:nsid w:val="563A1A5C"/>
    <w:multiLevelType w:val="hybridMultilevel"/>
    <w:lvl w:ilvl="0">
      <w:lvlJc w:val="left"/>
      <w:lvlText w:val="(%1)"/>
      <w:numFmt w:val="lowerLetter"/>
      <w:start w:val="2"/>
    </w:lvl>
    <w:lvl w:ilvl="1">
      <w:lvlJc w:val="left"/>
      <w:lvlText w:val="%2"/>
      <w:numFmt w:val="lowerLetter"/>
      <w:start w:val="1"/>
    </w:lvl>
  </w:abstractNum>
  <w:abstractNum w:abstractNumId="477">
    <w:nsid w:val="2973F88F"/>
    <w:multiLevelType w:val="hybridMultilevel"/>
    <w:lvl w:ilvl="0">
      <w:lvlJc w:val="left"/>
      <w:lvlText w:val="."/>
      <w:numFmt w:val="bullet"/>
      <w:start w:val="1"/>
    </w:lvl>
    <w:lvl w:ilvl="1">
      <w:lvlJc w:val="left"/>
      <w:lvlText w:val="(%2)"/>
      <w:numFmt w:val="decimal"/>
      <w:start w:val="1"/>
    </w:lvl>
  </w:abstractNum>
  <w:abstractNum w:abstractNumId="478">
    <w:nsid w:val="2C70EDAE"/>
    <w:multiLevelType w:val="hybridMultilevel"/>
    <w:lvl w:ilvl="0">
      <w:lvlJc w:val="left"/>
      <w:lvlText w:val="%1."/>
      <w:numFmt w:val="lowerLetter"/>
      <w:start w:val="1"/>
    </w:lvl>
  </w:abstractNum>
  <w:abstractNum w:abstractNumId="479">
    <w:nsid w:val="44296C6D"/>
    <w:multiLevelType w:val="hybridMultilevel"/>
    <w:lvl w:ilvl="0">
      <w:lvlJc w:val="left"/>
      <w:lvlText w:val="."/>
      <w:numFmt w:val="bullet"/>
      <w:start w:val="1"/>
    </w:lvl>
  </w:abstractNum>
  <w:abstractNum w:abstractNumId="480">
    <w:nsid w:val="3A86D445"/>
    <w:multiLevelType w:val="hybridMultilevel"/>
    <w:lvl w:ilvl="0">
      <w:lvlJc w:val="left"/>
      <w:lvlText w:val="%1."/>
      <w:numFmt w:val="decimal"/>
      <w:start w:val="1"/>
    </w:lvl>
  </w:abstractNum>
  <w:abstractNum w:abstractNumId="481">
    <w:nsid w:val="51F79246"/>
    <w:multiLevelType w:val="hybridMultilevel"/>
    <w:lvl w:ilvl="0">
      <w:lvlJc w:val="left"/>
      <w:lvlText w:val="%1."/>
      <w:numFmt w:val="decimal"/>
      <w:start w:val="3"/>
    </w:lvl>
  </w:abstractNum>
  <w:abstractNum w:abstractNumId="482">
    <w:nsid w:val="5BC9A827"/>
    <w:multiLevelType w:val="hybridMultilevel"/>
    <w:lvl w:ilvl="0">
      <w:lvlJc w:val="left"/>
      <w:lvlText w:val="%1."/>
      <w:numFmt w:val="decimal"/>
      <w:start w:val="4"/>
    </w:lvl>
  </w:abstractNum>
  <w:abstractNum w:abstractNumId="483">
    <w:nsid w:val="3AE37D86"/>
    <w:multiLevelType w:val="hybridMultilevel"/>
    <w:lvl w:ilvl="0">
      <w:lvlJc w:val="left"/>
      <w:lvlText w:val="%1."/>
      <w:numFmt w:val="decimal"/>
      <w:start w:val="1"/>
    </w:lvl>
  </w:abstractNum>
  <w:abstractNum w:abstractNumId="484">
    <w:nsid w:val="45440FE5"/>
    <w:multiLevelType w:val="hybridMultilevel"/>
    <w:lvl w:ilvl="0">
      <w:lvlJc w:val="left"/>
      <w:lvlText w:val="%1."/>
      <w:numFmt w:val="decimal"/>
      <w:start w:val="2"/>
    </w:lvl>
  </w:abstractNum>
  <w:abstractNum w:abstractNumId="485">
    <w:nsid w:val="BF783F"/>
    <w:multiLevelType w:val="hybridMultilevel"/>
    <w:lvl w:ilvl="0">
      <w:lvlJc w:val="left"/>
      <w:lvlText w:val="%1."/>
      <w:numFmt w:val="decimal"/>
      <w:start w:val="3"/>
    </w:lvl>
  </w:abstractNum>
  <w:abstractNum w:abstractNumId="486">
    <w:nsid w:val="22643EA9"/>
    <w:multiLevelType w:val="hybridMultilevel"/>
    <w:lvl w:ilvl="0">
      <w:lvlJc w:val="left"/>
      <w:lvlText w:val="(%1)"/>
      <w:numFmt w:val="decimal"/>
      <w:start w:val="1"/>
    </w:lvl>
  </w:abstractNum>
  <w:abstractNum w:abstractNumId="487">
    <w:nsid w:val="1887578D"/>
    <w:multiLevelType w:val="hybridMultilevel"/>
    <w:lvl w:ilvl="0">
      <w:lvlJc w:val="left"/>
      <w:lvlText w:val="%1."/>
      <w:numFmt w:val="lowerLetter"/>
      <w:start w:val="1"/>
    </w:lvl>
  </w:abstractNum>
  <w:abstractNum w:abstractNumId="488">
    <w:nsid w:val="58C05B8A"/>
    <w:multiLevelType w:val="hybridMultilevel"/>
    <w:lvl w:ilvl="0">
      <w:lvlJc w:val="left"/>
      <w:lvlText w:val="%1."/>
      <w:numFmt w:val="lowerLetter"/>
      <w:start w:val="3"/>
    </w:lvl>
  </w:abstractNum>
  <w:abstractNum w:abstractNumId="489">
    <w:nsid w:val="38D82E71"/>
    <w:multiLevelType w:val="hybridMultilevel"/>
    <w:lvl w:ilvl="0">
      <w:lvlJc w:val="left"/>
      <w:lvlText w:val="•"/>
      <w:numFmt w:val="bullet"/>
      <w:start w:val="1"/>
    </w:lvl>
  </w:abstractNum>
  <w:abstractNum w:abstractNumId="490">
    <w:nsid w:val="1E41098A"/>
    <w:multiLevelType w:val="hybridMultilevel"/>
    <w:lvl w:ilvl="0">
      <w:lvlJc w:val="left"/>
      <w:lvlText w:val="•"/>
      <w:numFmt w:val="bullet"/>
      <w:start w:val="1"/>
    </w:lvl>
  </w:abstractNum>
  <w:abstractNum w:abstractNumId="491">
    <w:nsid w:val="5398582C"/>
    <w:multiLevelType w:val="hybridMultilevel"/>
    <w:lvl w:ilvl="0">
      <w:lvlJc w:val="left"/>
      <w:lvlText w:val="•"/>
      <w:numFmt w:val="bullet"/>
      <w:start w:val="1"/>
    </w:lvl>
  </w:abstractNum>
  <w:abstractNum w:abstractNumId="492">
    <w:nsid w:val="1C0D4475"/>
    <w:multiLevelType w:val="hybridMultilevel"/>
    <w:lvl w:ilvl="0">
      <w:lvlJc w:val="left"/>
      <w:lvlText w:val="•"/>
      <w:numFmt w:val="bullet"/>
      <w:start w:val="1"/>
    </w:lvl>
  </w:abstractNum>
  <w:abstractNum w:abstractNumId="493">
    <w:nsid w:val="2CB6A6A4"/>
    <w:multiLevelType w:val="hybridMultilevel"/>
    <w:lvl w:ilvl="0">
      <w:lvlJc w:val="left"/>
      <w:lvlText w:val="(%1)"/>
      <w:numFmt w:val="decimal"/>
      <w:start w:val="1"/>
    </w:lvl>
  </w:abstractNum>
  <w:abstractNum w:abstractNumId="494">
    <w:nsid w:val="41D646BC"/>
    <w:multiLevelType w:val="hybridMultilevel"/>
    <w:lvl w:ilvl="0">
      <w:lvlJc w:val="left"/>
      <w:lvlText w:val="•"/>
      <w:numFmt w:val="bullet"/>
      <w:start w:val="1"/>
    </w:lvl>
  </w:abstractNum>
  <w:abstractNum w:abstractNumId="495">
    <w:nsid w:val="3694A76A"/>
    <w:multiLevelType w:val="hybridMultilevel"/>
    <w:lvl w:ilvl="0">
      <w:lvlJc w:val="left"/>
      <w:lvlText w:val="(%1)"/>
      <w:numFmt w:val="decimal"/>
      <w:start w:val="1"/>
    </w:lvl>
  </w:abstractNum>
  <w:abstractNum w:abstractNumId="496">
    <w:nsid w:val="2BF876EE"/>
    <w:multiLevelType w:val="hybridMultilevel"/>
    <w:lvl w:ilvl="0">
      <w:lvlJc w:val="left"/>
      <w:lvlText w:val="(%1)"/>
      <w:numFmt w:val="lowerLetter"/>
      <w:start w:val="1"/>
    </w:lvl>
  </w:abstractNum>
  <w:abstractNum w:abstractNumId="497">
    <w:nsid w:val="675ADBA"/>
    <w:multiLevelType w:val="hybridMultilevel"/>
    <w:lvl w:ilvl="0">
      <w:lvlJc w:val="left"/>
      <w:lvlText w:val="(%1)"/>
      <w:numFmt w:val="decimal"/>
      <w:start w:val="1"/>
    </w:lvl>
  </w:abstractNum>
  <w:abstractNum w:abstractNumId="498">
    <w:nsid w:val="C12AC7F"/>
    <w:multiLevelType w:val="hybridMultilevel"/>
    <w:lvl w:ilvl="0">
      <w:lvlJc w:val="left"/>
      <w:lvlText w:val="(%1)"/>
      <w:numFmt w:val="decimal"/>
      <w:start w:val="7"/>
    </w:lvl>
  </w:abstractNum>
  <w:abstractNum w:abstractNumId="499">
    <w:nsid w:val="6798F039"/>
    <w:multiLevelType w:val="hybridMultilevel"/>
    <w:lvl w:ilvl="0">
      <w:lvlJc w:val="left"/>
      <w:lvlText w:val="(%1)"/>
      <w:numFmt w:val="decimal"/>
      <w:start w:val="9"/>
    </w:lvl>
  </w:abstractNum>
  <w:abstractNum w:abstractNumId="500">
    <w:nsid w:val="70837C02"/>
    <w:multiLevelType w:val="hybridMultilevel"/>
    <w:lvl w:ilvl="0">
      <w:lvlJc w:val="left"/>
      <w:lvlText w:val="%1)"/>
      <w:numFmt w:val="lowerLetter"/>
      <w:start w:val="1"/>
    </w:lvl>
  </w:abstractNum>
  <w:abstractNum w:abstractNumId="501">
    <w:nsid w:val="7E4A5715"/>
    <w:multiLevelType w:val="hybridMultilevel"/>
    <w:lvl w:ilvl="0">
      <w:lvlJc w:val="left"/>
      <w:lvlText w:val="%1)"/>
      <w:numFmt w:val="lowerLetter"/>
      <w:start w:val="4"/>
    </w:lvl>
  </w:abstractNum>
  <w:abstractNum w:abstractNumId="502">
    <w:nsid w:val="42B8AC67"/>
    <w:multiLevelType w:val="hybridMultilevel"/>
    <w:lvl w:ilvl="0">
      <w:lvlJc w:val="left"/>
      <w:lvlText w:val="%1)"/>
      <w:numFmt w:val="lowerLetter"/>
      <w:start w:val="1"/>
    </w:lvl>
  </w:abstractNum>
  <w:abstractNum w:abstractNumId="503">
    <w:nsid w:val="246348EA"/>
    <w:multiLevelType w:val="hybridMultilevel"/>
    <w:lvl w:ilvl="0">
      <w:lvlJc w:val="left"/>
      <w:lvlText w:val="%1)"/>
      <w:numFmt w:val="lowerLetter"/>
      <w:start w:val="2"/>
    </w:lvl>
  </w:abstractNum>
  <w:abstractNum w:abstractNumId="504">
    <w:nsid w:val="170EB52B"/>
    <w:multiLevelType w:val="hybridMultilevel"/>
    <w:lvl w:ilvl="0">
      <w:lvlJc w:val="left"/>
      <w:lvlText w:val="(%1)"/>
      <w:numFmt w:val="decimal"/>
      <w:start w:val="1"/>
    </w:lvl>
  </w:abstractNum>
  <w:abstractNum w:abstractNumId="505">
    <w:nsid w:val="2DFBCB8C"/>
    <w:multiLevelType w:val="hybridMultilevel"/>
    <w:lvl w:ilvl="0">
      <w:lvlJc w:val="left"/>
      <w:lvlText w:val="(%1)"/>
      <w:numFmt w:val="decimal"/>
      <w:start w:val="1"/>
    </w:lvl>
  </w:abstractNum>
  <w:abstractNum w:abstractNumId="506">
    <w:nsid w:val="3830D6B6"/>
    <w:multiLevelType w:val="hybridMultilevel"/>
    <w:lvl w:ilvl="0">
      <w:lvlJc w:val="left"/>
      <w:lvlText w:val="(%1)"/>
      <w:numFmt w:val="decimal"/>
      <w:start w:val="6"/>
    </w:lvl>
  </w:abstractNum>
  <w:abstractNum w:abstractNumId="507">
    <w:nsid w:val="6D48CF87"/>
    <w:multiLevelType w:val="hybridMultilevel"/>
    <w:lvl w:ilvl="0">
      <w:lvlJc w:val="left"/>
      <w:lvlText w:val="(%1)"/>
      <w:numFmt w:val="decimal"/>
      <w:start w:val="1"/>
    </w:lvl>
  </w:abstractNum>
  <w:abstractNum w:abstractNumId="508">
    <w:nsid w:val="576FC41B"/>
    <w:multiLevelType w:val="hybridMultilevel"/>
    <w:lvl w:ilvl="0">
      <w:lvlJc w:val="left"/>
      <w:lvlText w:val="(%1)"/>
      <w:numFmt w:val="decimal"/>
      <w:start w:val="1"/>
    </w:lvl>
    <w:lvl w:ilvl="1">
      <w:lvlJc w:val="left"/>
      <w:lvlText w:val="▪"/>
      <w:numFmt w:val="bullet"/>
      <w:start w:val="1"/>
    </w:lvl>
  </w:abstractNum>
  <w:abstractNum w:abstractNumId="509">
    <w:nsid w:val="64A1C464"/>
    <w:multiLevelType w:val="hybridMultilevel"/>
    <w:lvl w:ilvl="0">
      <w:lvlJc w:val="left"/>
      <w:lvlText w:val="(%1)"/>
      <w:numFmt w:val="decimal"/>
      <w:start w:val="3"/>
    </w:lvl>
  </w:abstractNum>
  <w:abstractNum w:abstractNumId="510">
    <w:nsid w:val="31723BF5"/>
    <w:multiLevelType w:val="hybridMultilevel"/>
    <w:lvl w:ilvl="0">
      <w:lvlJc w:val="left"/>
      <w:lvlText w:val="(%1)"/>
      <w:numFmt w:val="decimal"/>
      <w:start w:val="4"/>
    </w:lvl>
  </w:abstractNum>
  <w:abstractNum w:abstractNumId="511">
    <w:nsid w:val="11F69861"/>
    <w:multiLevelType w:val="hybridMultilevel"/>
    <w:lvl w:ilvl="0">
      <w:lvlJc w:val="left"/>
      <w:lvlText w:val="(%1)"/>
      <w:numFmt w:val="decimal"/>
      <w:start w:val="1"/>
    </w:lvl>
  </w:abstractNum>
  <w:abstractNum w:abstractNumId="512">
    <w:nsid w:val="369956AB"/>
    <w:multiLevelType w:val="hybridMultilevel"/>
    <w:lvl w:ilvl="0">
      <w:lvlJc w:val="left"/>
      <w:lvlText w:val="%1."/>
      <w:numFmt w:val="decimal"/>
      <w:start w:val="1"/>
    </w:lvl>
    <w:lvl w:ilvl="1">
      <w:lvlJc w:val="left"/>
      <w:lvlText w:val="(%2)"/>
      <w:numFmt w:val="lowerLetter"/>
      <w:start w:val="1"/>
    </w:lvl>
  </w:abstractNum>
  <w:abstractNum w:abstractNumId="513">
    <w:nsid w:val="D3BE41C"/>
    <w:multiLevelType w:val="hybridMultilevel"/>
    <w:lvl w:ilvl="0">
      <w:lvlJc w:val="left"/>
      <w:lvlText w:val="%1."/>
      <w:numFmt w:val="decimal"/>
      <w:start w:val="1"/>
    </w:lvl>
    <w:lvl w:ilvl="1">
      <w:lvlJc w:val="left"/>
      <w:lvlText w:val="(%2)"/>
      <w:numFmt w:val="lowerLetter"/>
      <w:start w:val="1"/>
    </w:lvl>
  </w:abstractNum>
  <w:abstractNum w:abstractNumId="514">
    <w:nsid w:val="4CDA15E7"/>
    <w:multiLevelType w:val="hybridMultilevel"/>
    <w:lvl w:ilvl="0">
      <w:lvlJc w:val="left"/>
      <w:lvlText w:val="%1."/>
      <w:numFmt w:val="decimal"/>
      <w:start w:val="1"/>
    </w:lvl>
    <w:lvl w:ilvl="1">
      <w:lvlJc w:val="left"/>
      <w:lvlText w:val="(%2)"/>
      <w:numFmt w:val="lowerLetter"/>
      <w:start w:val="1"/>
    </w:lvl>
  </w:abstractNum>
  <w:abstractNum w:abstractNumId="515">
    <w:nsid w:val="7BDD6690"/>
    <w:multiLevelType w:val="hybridMultilevel"/>
    <w:lvl w:ilvl="0">
      <w:lvlJc w:val="left"/>
      <w:lvlText w:val="%1."/>
      <w:numFmt w:val="decimal"/>
      <w:start w:val="1"/>
    </w:lvl>
    <w:lvl w:ilvl="1">
      <w:lvlJc w:val="left"/>
      <w:lvlText w:val="(%2)"/>
      <w:numFmt w:val="lowerLetter"/>
      <w:start w:val="1"/>
    </w:lvl>
  </w:abstractNum>
  <w:abstractNum w:abstractNumId="516">
    <w:nsid w:val="DFB5C5B"/>
    <w:multiLevelType w:val="hybridMultilevel"/>
    <w:lvl w:ilvl="0">
      <w:lvlJc w:val="left"/>
      <w:lvlText w:val="(%1)"/>
      <w:numFmt w:val="decimal"/>
      <w:start w:val="1"/>
    </w:lvl>
  </w:abstractNum>
  <w:abstractNum w:abstractNumId="517">
    <w:nsid w:val="6F3E5490"/>
    <w:multiLevelType w:val="hybridMultilevel"/>
    <w:lvl w:ilvl="0">
      <w:lvlJc w:val="left"/>
      <w:lvlText w:val="(%1)"/>
      <w:numFmt w:val="decimal"/>
      <w:start w:val="1"/>
    </w:lvl>
  </w:abstractNum>
  <w:abstractNum w:abstractNumId="518">
    <w:nsid w:val="1464BE1E"/>
    <w:multiLevelType w:val="hybridMultilevel"/>
    <w:lvl w:ilvl="0">
      <w:lvlJc w:val="left"/>
      <w:lvlText w:val="(%1)"/>
      <w:numFmt w:val="decimal"/>
      <w:start w:val="1"/>
    </w:lvl>
  </w:abstractNum>
  <w:abstractNum w:abstractNumId="519">
    <w:nsid w:val="66BBB7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3" Type="http://schemas.openxmlformats.org/officeDocument/2006/relationships/image" Target="media/image32.png"/><Relationship Id="rId68" Type="http://schemas.openxmlformats.org/officeDocument/2006/relationships/image" Target="media/image33.png"/><Relationship Id="rId85" Type="http://schemas.openxmlformats.org/officeDocument/2006/relationships/image" Target="media/image34.png"/><Relationship Id="rId86" Type="http://schemas.openxmlformats.org/officeDocument/2006/relationships/image" Target="media/image35.png"/><Relationship Id="rId105" Type="http://schemas.openxmlformats.org/officeDocument/2006/relationships/image" Target="media/image36.png"/><Relationship Id="rId116" Type="http://schemas.openxmlformats.org/officeDocument/2006/relationships/image" Target="media/image37.png"/><Relationship Id="rId117" Type="http://schemas.openxmlformats.org/officeDocument/2006/relationships/image" Target="media/image38.png"/><Relationship Id="rId118" Type="http://schemas.openxmlformats.org/officeDocument/2006/relationships/image" Target="media/image39.png"/><Relationship Id="rId119" Type="http://schemas.openxmlformats.org/officeDocument/2006/relationships/image" Target="media/image40.png"/><Relationship Id="rId120" Type="http://schemas.openxmlformats.org/officeDocument/2006/relationships/image" Target="media/image41.png"/><Relationship Id="rId121" Type="http://schemas.openxmlformats.org/officeDocument/2006/relationships/image" Target="media/image42.png"/><Relationship Id="rId122" Type="http://schemas.openxmlformats.org/officeDocument/2006/relationships/image" Target="media/image43.png"/><Relationship Id="rId123" Type="http://schemas.openxmlformats.org/officeDocument/2006/relationships/image" Target="media/image44.jpeg"/><Relationship Id="rId124" Type="http://schemas.openxmlformats.org/officeDocument/2006/relationships/image" Target="media/image45.jpeg"/><Relationship Id="rId125" Type="http://schemas.openxmlformats.org/officeDocument/2006/relationships/image" Target="media/image46.jpeg"/><Relationship Id="rId126" Type="http://schemas.openxmlformats.org/officeDocument/2006/relationships/image" Target="media/image47.png"/><Relationship Id="rId127" Type="http://schemas.openxmlformats.org/officeDocument/2006/relationships/image" Target="media/image48.jpeg"/><Relationship Id="rId128" Type="http://schemas.openxmlformats.org/officeDocument/2006/relationships/image" Target="media/image49.jpeg"/><Relationship Id="rId129" Type="http://schemas.openxmlformats.org/officeDocument/2006/relationships/image" Target="media/image50.jpeg"/><Relationship Id="rId130" Type="http://schemas.openxmlformats.org/officeDocument/2006/relationships/image" Target="media/image51.jpeg"/><Relationship Id="rId131" Type="http://schemas.openxmlformats.org/officeDocument/2006/relationships/image" Target="media/image52.jpeg"/><Relationship Id="rId132" Type="http://schemas.openxmlformats.org/officeDocument/2006/relationships/image" Target="media/image53.jpeg"/><Relationship Id="rId133" Type="http://schemas.openxmlformats.org/officeDocument/2006/relationships/image" Target="media/image54.jpeg"/><Relationship Id="rId134" Type="http://schemas.openxmlformats.org/officeDocument/2006/relationships/image" Target="media/image55.jpeg"/><Relationship Id="rId135" Type="http://schemas.openxmlformats.org/officeDocument/2006/relationships/image" Target="media/image56.jpeg"/><Relationship Id="rId136" Type="http://schemas.openxmlformats.org/officeDocument/2006/relationships/image" Target="media/image57.jpeg"/><Relationship Id="rId137" Type="http://schemas.openxmlformats.org/officeDocument/2006/relationships/image" Target="media/image58.jpeg"/><Relationship Id="rId138" Type="http://schemas.openxmlformats.org/officeDocument/2006/relationships/image" Target="media/image59.jpeg"/><Relationship Id="rId139" Type="http://schemas.openxmlformats.org/officeDocument/2006/relationships/image" Target="media/image60.jpeg"/><Relationship Id="rId140" Type="http://schemas.openxmlformats.org/officeDocument/2006/relationships/image" Target="media/image61.jpeg"/><Relationship Id="rId141" Type="http://schemas.openxmlformats.org/officeDocument/2006/relationships/image" Target="media/image62.jpeg"/><Relationship Id="rId142" Type="http://schemas.openxmlformats.org/officeDocument/2006/relationships/image" Target="media/image63.jpeg"/><Relationship Id="rId143" Type="http://schemas.openxmlformats.org/officeDocument/2006/relationships/image" Target="media/image64.jpeg"/><Relationship Id="rId144" Type="http://schemas.openxmlformats.org/officeDocument/2006/relationships/image" Target="media/image65.jpeg"/><Relationship Id="rId145" Type="http://schemas.openxmlformats.org/officeDocument/2006/relationships/image" Target="media/image66.jpeg"/><Relationship Id="rId146" Type="http://schemas.openxmlformats.org/officeDocument/2006/relationships/image" Target="media/image67.jpeg"/><Relationship Id="rId147" Type="http://schemas.openxmlformats.org/officeDocument/2006/relationships/image" Target="media/image68.jpeg"/><Relationship Id="rId148" Type="http://schemas.openxmlformats.org/officeDocument/2006/relationships/image" Target="media/image69.jpeg"/><Relationship Id="rId149" Type="http://schemas.openxmlformats.org/officeDocument/2006/relationships/image" Target="media/image70.jpeg"/><Relationship Id="rId150" Type="http://schemas.openxmlformats.org/officeDocument/2006/relationships/image" Target="media/image71.jpeg"/><Relationship Id="rId151" Type="http://schemas.openxmlformats.org/officeDocument/2006/relationships/image" Target="media/image72.jpeg"/><Relationship Id="rId152" Type="http://schemas.openxmlformats.org/officeDocument/2006/relationships/image" Target="media/image73.jpeg"/><Relationship Id="rId153" Type="http://schemas.openxmlformats.org/officeDocument/2006/relationships/image" Target="media/image74.jpeg"/><Relationship Id="rId154" Type="http://schemas.openxmlformats.org/officeDocument/2006/relationships/image" Target="media/image75.jpeg"/><Relationship Id="rId155" Type="http://schemas.openxmlformats.org/officeDocument/2006/relationships/image" Target="media/image76.jpeg"/><Relationship Id="rId156" Type="http://schemas.openxmlformats.org/officeDocument/2006/relationships/image" Target="media/image77.jpeg"/><Relationship Id="rId157" Type="http://schemas.openxmlformats.org/officeDocument/2006/relationships/image" Target="media/image78.jpeg"/><Relationship Id="rId158" Type="http://schemas.openxmlformats.org/officeDocument/2006/relationships/image" Target="media/image79.png"/><Relationship Id="rId159" Type="http://schemas.openxmlformats.org/officeDocument/2006/relationships/image" Target="media/image80.png"/><Relationship Id="rId160" Type="http://schemas.openxmlformats.org/officeDocument/2006/relationships/image" Target="media/image81.png"/><Relationship Id="rId161" Type="http://schemas.openxmlformats.org/officeDocument/2006/relationships/image" Target="media/image82.png"/><Relationship Id="rId162" Type="http://schemas.openxmlformats.org/officeDocument/2006/relationships/image" Target="media/image83.png"/><Relationship Id="rId163" Type="http://schemas.openxmlformats.org/officeDocument/2006/relationships/image" Target="media/image84.png"/><Relationship Id="rId164" Type="http://schemas.openxmlformats.org/officeDocument/2006/relationships/image" Target="media/image85.png"/><Relationship Id="rId165" Type="http://schemas.openxmlformats.org/officeDocument/2006/relationships/image" Target="media/image86.png"/><Relationship Id="rId166" Type="http://schemas.openxmlformats.org/officeDocument/2006/relationships/image" Target="media/image87.png"/><Relationship Id="rId167" Type="http://schemas.openxmlformats.org/officeDocument/2006/relationships/image" Target="media/image88.png"/><Relationship Id="rId168" Type="http://schemas.openxmlformats.org/officeDocument/2006/relationships/image" Target="media/image89.png"/><Relationship Id="rId169" Type="http://schemas.openxmlformats.org/officeDocument/2006/relationships/image" Target="media/image90.png"/><Relationship Id="rId170" Type="http://schemas.openxmlformats.org/officeDocument/2006/relationships/image" Target="media/image91.png"/><Relationship Id="rId171" Type="http://schemas.openxmlformats.org/officeDocument/2006/relationships/image" Target="media/image92.png"/><Relationship Id="rId172" Type="http://schemas.openxmlformats.org/officeDocument/2006/relationships/image" Target="media/image93.png"/><Relationship Id="rId173" Type="http://schemas.openxmlformats.org/officeDocument/2006/relationships/image" Target="media/image94.png"/><Relationship Id="rId174" Type="http://schemas.openxmlformats.org/officeDocument/2006/relationships/image" Target="media/image95.png"/><Relationship Id="rId175" Type="http://schemas.openxmlformats.org/officeDocument/2006/relationships/image" Target="media/image96.png"/><Relationship Id="rId176" Type="http://schemas.openxmlformats.org/officeDocument/2006/relationships/image" Target="media/image97.png"/><Relationship Id="rId177" Type="http://schemas.openxmlformats.org/officeDocument/2006/relationships/image" Target="media/image98.png"/><Relationship Id="rId178" Type="http://schemas.openxmlformats.org/officeDocument/2006/relationships/image" Target="media/image99.png"/><Relationship Id="rId179" Type="http://schemas.openxmlformats.org/officeDocument/2006/relationships/image" Target="media/image100.png"/><Relationship Id="rId180" Type="http://schemas.openxmlformats.org/officeDocument/2006/relationships/image" Target="media/image101.png"/><Relationship Id="rId181" Type="http://schemas.openxmlformats.org/officeDocument/2006/relationships/image" Target="media/image102.png"/><Relationship Id="rId182" Type="http://schemas.openxmlformats.org/officeDocument/2006/relationships/image" Target="media/image103.png"/><Relationship Id="rId183" Type="http://schemas.openxmlformats.org/officeDocument/2006/relationships/image" Target="media/image104.png"/><Relationship Id="rId184" Type="http://schemas.openxmlformats.org/officeDocument/2006/relationships/image" Target="media/image105.png"/><Relationship Id="rId185" Type="http://schemas.openxmlformats.org/officeDocument/2006/relationships/image" Target="media/image106.png"/><Relationship Id="rId186" Type="http://schemas.openxmlformats.org/officeDocument/2006/relationships/image" Target="media/image107.png"/><Relationship Id="rId187" Type="http://schemas.openxmlformats.org/officeDocument/2006/relationships/image" Target="media/image108.png"/><Relationship Id="rId188" Type="http://schemas.openxmlformats.org/officeDocument/2006/relationships/image" Target="media/image109.png"/><Relationship Id="rId189" Type="http://schemas.openxmlformats.org/officeDocument/2006/relationships/image" Target="media/image110.png"/><Relationship Id="rId190" Type="http://schemas.openxmlformats.org/officeDocument/2006/relationships/image" Target="media/image111.png"/><Relationship Id="rId191" Type="http://schemas.openxmlformats.org/officeDocument/2006/relationships/image" Target="media/image112.png"/><Relationship Id="rId192" Type="http://schemas.openxmlformats.org/officeDocument/2006/relationships/image" Target="media/image113.png"/><Relationship Id="rId193" Type="http://schemas.openxmlformats.org/officeDocument/2006/relationships/image" Target="media/image114.png"/><Relationship Id="rId194" Type="http://schemas.openxmlformats.org/officeDocument/2006/relationships/image" Target="media/image115.png"/><Relationship Id="rId195" Type="http://schemas.openxmlformats.org/officeDocument/2006/relationships/image" Target="media/image116.png"/><Relationship Id="rId196" Type="http://schemas.openxmlformats.org/officeDocument/2006/relationships/image" Target="media/image117.png"/><Relationship Id="rId197" Type="http://schemas.openxmlformats.org/officeDocument/2006/relationships/image" Target="media/image118.png"/><Relationship Id="rId198" Type="http://schemas.openxmlformats.org/officeDocument/2006/relationships/image" Target="media/image119.png"/><Relationship Id="rId199" Type="http://schemas.openxmlformats.org/officeDocument/2006/relationships/image" Target="media/image120.png"/><Relationship Id="rId200" Type="http://schemas.openxmlformats.org/officeDocument/2006/relationships/image" Target="media/image121.png"/><Relationship Id="rId201" Type="http://schemas.openxmlformats.org/officeDocument/2006/relationships/image" Target="media/image122.png"/><Relationship Id="rId202" Type="http://schemas.openxmlformats.org/officeDocument/2006/relationships/image" Target="media/image123.png"/><Relationship Id="rId203" Type="http://schemas.openxmlformats.org/officeDocument/2006/relationships/image" Target="media/image124.png"/><Relationship Id="rId204" Type="http://schemas.openxmlformats.org/officeDocument/2006/relationships/image" Target="media/image125.png"/><Relationship Id="rId205" Type="http://schemas.openxmlformats.org/officeDocument/2006/relationships/image" Target="media/image126.png"/><Relationship Id="rId206" Type="http://schemas.openxmlformats.org/officeDocument/2006/relationships/image" Target="media/image127.png"/><Relationship Id="rId207" Type="http://schemas.openxmlformats.org/officeDocument/2006/relationships/image" Target="media/image128.png"/><Relationship Id="rId208" Type="http://schemas.openxmlformats.org/officeDocument/2006/relationships/image" Target="media/image129.png"/><Relationship Id="rId209" Type="http://schemas.openxmlformats.org/officeDocument/2006/relationships/image" Target="media/image130.png"/><Relationship Id="rId210" Type="http://schemas.openxmlformats.org/officeDocument/2006/relationships/image" Target="media/image131.png"/><Relationship Id="rId211" Type="http://schemas.openxmlformats.org/officeDocument/2006/relationships/image" Target="media/image132.png"/><Relationship Id="rId212" Type="http://schemas.openxmlformats.org/officeDocument/2006/relationships/image" Target="media/image133.png"/><Relationship Id="rId213" Type="http://schemas.openxmlformats.org/officeDocument/2006/relationships/image" Target="media/image134.png"/><Relationship Id="rId214" Type="http://schemas.openxmlformats.org/officeDocument/2006/relationships/image" Target="media/image135.png"/><Relationship Id="rId215" Type="http://schemas.openxmlformats.org/officeDocument/2006/relationships/image" Target="media/image136.png"/><Relationship Id="rId216" Type="http://schemas.openxmlformats.org/officeDocument/2006/relationships/image" Target="media/image137.png"/><Relationship Id="rId217" Type="http://schemas.openxmlformats.org/officeDocument/2006/relationships/image" Target="media/image138.png"/><Relationship Id="rId218" Type="http://schemas.openxmlformats.org/officeDocument/2006/relationships/image" Target="media/image139.png"/><Relationship Id="rId219" Type="http://schemas.openxmlformats.org/officeDocument/2006/relationships/image" Target="media/image140.png"/><Relationship Id="rId220" Type="http://schemas.openxmlformats.org/officeDocument/2006/relationships/image" Target="media/image141.png"/><Relationship Id="rId221" Type="http://schemas.openxmlformats.org/officeDocument/2006/relationships/image" Target="media/image142.png"/><Relationship Id="rId222" Type="http://schemas.openxmlformats.org/officeDocument/2006/relationships/image" Target="media/image143.png"/><Relationship Id="rId223" Type="http://schemas.openxmlformats.org/officeDocument/2006/relationships/image" Target="media/image144.png"/><Relationship Id="rId224" Type="http://schemas.openxmlformats.org/officeDocument/2006/relationships/image" Target="media/image145.png"/><Relationship Id="rId225" Type="http://schemas.openxmlformats.org/officeDocument/2006/relationships/image" Target="media/image146.png"/><Relationship Id="rId226" Type="http://schemas.openxmlformats.org/officeDocument/2006/relationships/image" Target="media/image147.png"/><Relationship Id="rId227" Type="http://schemas.openxmlformats.org/officeDocument/2006/relationships/image" Target="media/image148.png"/><Relationship Id="rId228" Type="http://schemas.openxmlformats.org/officeDocument/2006/relationships/image" Target="media/image149.png"/><Relationship Id="rId229" Type="http://schemas.openxmlformats.org/officeDocument/2006/relationships/image" Target="media/image150.png"/><Relationship Id="rId230" Type="http://schemas.openxmlformats.org/officeDocument/2006/relationships/image" Target="media/image151.png"/><Relationship Id="rId231" Type="http://schemas.openxmlformats.org/officeDocument/2006/relationships/image" Target="media/image152.png"/><Relationship Id="rId232" Type="http://schemas.openxmlformats.org/officeDocument/2006/relationships/image" Target="media/image153.png"/><Relationship Id="rId233" Type="http://schemas.openxmlformats.org/officeDocument/2006/relationships/image" Target="media/image154.png"/><Relationship Id="rId234" Type="http://schemas.openxmlformats.org/officeDocument/2006/relationships/image" Target="media/image155.png"/><Relationship Id="rId235" Type="http://schemas.openxmlformats.org/officeDocument/2006/relationships/image" Target="media/image156.png"/><Relationship Id="rId236" Type="http://schemas.openxmlformats.org/officeDocument/2006/relationships/image" Target="media/image157.png"/><Relationship Id="rId237" Type="http://schemas.openxmlformats.org/officeDocument/2006/relationships/image" Target="media/image158.png"/><Relationship Id="rId238" Type="http://schemas.openxmlformats.org/officeDocument/2006/relationships/image" Target="media/image159.png"/><Relationship Id="rId239" Type="http://schemas.openxmlformats.org/officeDocument/2006/relationships/image" Target="media/image160.png"/><Relationship Id="rId240" Type="http://schemas.openxmlformats.org/officeDocument/2006/relationships/image" Target="media/image161.png"/><Relationship Id="rId241" Type="http://schemas.openxmlformats.org/officeDocument/2006/relationships/image" Target="media/image162.png"/><Relationship Id="rId242" Type="http://schemas.openxmlformats.org/officeDocument/2006/relationships/image" Target="media/image163.png"/><Relationship Id="rId243" Type="http://schemas.openxmlformats.org/officeDocument/2006/relationships/image" Target="media/image164.png"/><Relationship Id="rId244" Type="http://schemas.openxmlformats.org/officeDocument/2006/relationships/image" Target="media/image165.png"/><Relationship Id="rId245" Type="http://schemas.openxmlformats.org/officeDocument/2006/relationships/image" Target="media/image166.png"/><Relationship Id="rId246" Type="http://schemas.openxmlformats.org/officeDocument/2006/relationships/image" Target="media/image167.png"/><Relationship Id="rId247" Type="http://schemas.openxmlformats.org/officeDocument/2006/relationships/image" Target="media/image168.png"/><Relationship Id="rId248" Type="http://schemas.openxmlformats.org/officeDocument/2006/relationships/image" Target="media/image169.png"/><Relationship Id="rId249" Type="http://schemas.openxmlformats.org/officeDocument/2006/relationships/image" Target="media/image170.png"/><Relationship Id="rId250" Type="http://schemas.openxmlformats.org/officeDocument/2006/relationships/image" Target="media/image171.png"/><Relationship Id="rId251" Type="http://schemas.openxmlformats.org/officeDocument/2006/relationships/image" Target="media/image172.png"/><Relationship Id="rId252" Type="http://schemas.openxmlformats.org/officeDocument/2006/relationships/image" Target="media/image173.png"/><Relationship Id="rId253" Type="http://schemas.openxmlformats.org/officeDocument/2006/relationships/image" Target="media/image174.png"/><Relationship Id="rId254" Type="http://schemas.openxmlformats.org/officeDocument/2006/relationships/image" Target="media/image175.png"/><Relationship Id="rId255" Type="http://schemas.openxmlformats.org/officeDocument/2006/relationships/image" Target="media/image176.png"/><Relationship Id="rId256" Type="http://schemas.openxmlformats.org/officeDocument/2006/relationships/image" Target="media/image177.png"/><Relationship Id="rId39" Type="http://schemas.openxmlformats.org/officeDocument/2006/relationships/hyperlink" Target="https://www.sec.gov/Archives/edgar/data/1692115/000119312522305397/d411795dex21.htm" TargetMode="External"/><Relationship Id="rId40" Type="http://schemas.openxmlformats.org/officeDocument/2006/relationships/hyperlink" Target="http://www.sec.gov/Archives/edgar/data/1692115/000119312519250669/d745199dex31.htm" TargetMode="External"/><Relationship Id="rId41" Type="http://schemas.openxmlformats.org/officeDocument/2006/relationships/hyperlink" Target="http://www.sec.gov/Archives/edgar/data/1692115/000119312519250669/d745199dex32.htm" TargetMode="External"/><Relationship Id="rId42" Type="http://schemas.openxmlformats.org/officeDocument/2006/relationships/hyperlink" Target="https://www.sec.gov/Archives/edgar/data/1692115/000119312523008342/d425892dex31.htm" TargetMode="External"/><Relationship Id="rId43" Type="http://schemas.openxmlformats.org/officeDocument/2006/relationships/hyperlink" Target="http://www.sec.gov/Archives/edgar/data/92416/0000892569-94-000102.txt" TargetMode="External"/><Relationship Id="rId44" Type="http://schemas.openxmlformats.org/officeDocument/2006/relationships/hyperlink" Target="http://www.sec.gov/Archives/edgar/data/92416/0000092416-96-000040.txt" TargetMode="External"/><Relationship Id="rId45" Type="http://schemas.openxmlformats.org/officeDocument/2006/relationships/hyperlink" Target="http://www.sec.gov/Archives/edgar/data/92416/0000092416-96-000059.txt" TargetMode="External"/><Relationship Id="rId46" Type="http://schemas.openxmlformats.org/officeDocument/2006/relationships/hyperlink" Target="http://www.sec.gov/Archives/edgar/data/92416/000009241608000067/exhibit1001.htm" TargetMode="External"/><Relationship Id="rId47" Type="http://schemas.openxmlformats.org/officeDocument/2006/relationships/hyperlink" Target="http://www.sec.gov/Archives/edgar/data/92416/000009241608000067/exhibit1002.htm" TargetMode="External"/><Relationship Id="rId48" Type="http://schemas.openxmlformats.org/officeDocument/2006/relationships/hyperlink" Target="http://www.sec.gov/Archives/edgar/data/92416/000119312510042973/dex427.htm" TargetMode="External"/><Relationship Id="rId49" Type="http://schemas.openxmlformats.org/officeDocument/2006/relationships/hyperlink" Target="http://www.sec.gov/Archives/edgar/data/92416/000119312510268436/dex41.htm" TargetMode="External"/><Relationship Id="rId50" Type="http://schemas.openxmlformats.org/officeDocument/2006/relationships/hyperlink" Target="http://www.sec.gov/Archives/edgar/data/92416/000009241614000008/exhibit4-1.htm" TargetMode="External"/><Relationship Id="rId51" Type="http://schemas.openxmlformats.org/officeDocument/2006/relationships/hyperlink" Target="http://www.sec.gov/Archives/edgar/data/92416/000119312516762846/d256766dex402.htm" TargetMode="External"/><Relationship Id="rId52" Type="http://schemas.openxmlformats.org/officeDocument/2006/relationships/hyperlink" Target="http://www.sec.gov/Archives/edgar/data/92416/000119312513391564/d607288dex41.htm" TargetMode="External"/><Relationship Id="rId54" Type="http://schemas.openxmlformats.org/officeDocument/2006/relationships/hyperlink" Target="http://www.sec.gov/Archives/edgar/data/1692115/000119312520308447/d29781d424b5.htm" TargetMode="External"/><Relationship Id="rId55" Type="http://schemas.openxmlformats.org/officeDocument/2006/relationships/hyperlink" Target="http://www.sec.gov/ix?doc=/Archives/edgar/data/1692115/000119312520308471/d92220d8k.htm" TargetMode="External"/><Relationship Id="rId56" Type="http://schemas.openxmlformats.org/officeDocument/2006/relationships/hyperlink" Target="http://www.sec.gov/Archives/edgar/data/92416/000119312516720575/d265946d424b5.htm" TargetMode="External"/><Relationship Id="rId57" Type="http://schemas.openxmlformats.org/officeDocument/2006/relationships/hyperlink" Target="http://www.sec.gov/Archives/edgar/data/92416/000119312518084096/d482364dex41.htm" TargetMode="External"/><Relationship Id="rId58" Type="http://schemas.openxmlformats.org/officeDocument/2006/relationships/hyperlink" Target="http://www.sec.gov/Archives/edgar/data/92416/000119312518084096/d482364dex42.htm" TargetMode="External"/><Relationship Id="rId59" Type="http://schemas.openxmlformats.org/officeDocument/2006/relationships/hyperlink" Target="http://www.sec.gov/Archives/edgar/data/92416/000119312519162792/d756014dex41.htm" TargetMode="External"/><Relationship Id="rId60" Type="http://schemas.openxmlformats.org/officeDocument/2006/relationships/hyperlink" Target="http://www.sec.gov/Archives/edgar/data/92416/000119312519162792/d756014dex42.htm" TargetMode="External"/><Relationship Id="rId61" Type="http://schemas.openxmlformats.org/officeDocument/2006/relationships/hyperlink" Target="http://www.sec.gov/Archives/edgar/data/92416/000119312520160698/d939354dex41.htm" TargetMode="External"/><Relationship Id="rId62" Type="http://schemas.openxmlformats.org/officeDocument/2006/relationships/hyperlink" Target="http://www.sec.gov/Archives/edgar/data/92416/000119312520160698/d939354dex42.htm" TargetMode="External"/><Relationship Id="rId63" Type="http://schemas.openxmlformats.org/officeDocument/2006/relationships/hyperlink" Target="https://www.sec.gov/Archives/edgar/data/92416/000169211522000005/swx123121ex425.htm" TargetMode="External"/><Relationship Id="rId64" Type="http://schemas.openxmlformats.org/officeDocument/2006/relationships/hyperlink" Target="http://www.sec.gov/Archives/edgar/data/92416/000119312521252815/d216020dex41.htm" TargetMode="External"/><Relationship Id="rId65" Type="http://schemas.openxmlformats.org/officeDocument/2006/relationships/hyperlink" Target="https://www.sec.gov/Archives/edgar/data/92416/000119312521252815/d216020dex41.htm" TargetMode="External"/><Relationship Id="rId66" Type="http://schemas.openxmlformats.org/officeDocument/2006/relationships/hyperlink" Target="http://www.sec.gov/Archives/edgar/data/92416/000119312522081759/d315333dex41.htm" TargetMode="External"/><Relationship Id="rId67" Type="http://schemas.openxmlformats.org/officeDocument/2006/relationships/hyperlink" Target="https://www.sec.gov/Archives/edgar/data/92416/000119312522296513/d428629dex41.htm" TargetMode="External"/><Relationship Id="rId69" Type="http://schemas.openxmlformats.org/officeDocument/2006/relationships/hyperlink" Target="http://www.sec.gov/Archives/edgar/data/92416/000169211520000064/swxexhibit100393020.htm" TargetMode="External"/><Relationship Id="rId70" Type="http://schemas.openxmlformats.org/officeDocument/2006/relationships/hyperlink" Target="http://www.sec.gov/Archives/edgar/data/92416/000169211520000064/swxexhibit100493020.htm" TargetMode="External"/><Relationship Id="rId71" Type="http://schemas.openxmlformats.org/officeDocument/2006/relationships/hyperlink" Target="http://www.sec.gov/Archives/edgar/data/92416/000169211519000013/swx123118ex1005.htm" TargetMode="External"/><Relationship Id="rId72" Type="http://schemas.openxmlformats.org/officeDocument/2006/relationships/hyperlink" Target="http://www.sec.gov/Archives/edgar/data/92416/000169211520000064/swxexhibit100193020.htm" TargetMode="External"/><Relationship Id="rId73" Type="http://schemas.openxmlformats.org/officeDocument/2006/relationships/hyperlink" Target="http://www.sec.gov/Archives/edgar/data/92416/000169211520000064/swxexhibit100293020.htm" TargetMode="External"/><Relationship Id="rId74" Type="http://schemas.openxmlformats.org/officeDocument/2006/relationships/hyperlink" Target="http://www.sec.gov/Archives/edgar/data/92416/000009241603000120/exhibit10.htm" TargetMode="External"/><Relationship Id="rId75" Type="http://schemas.openxmlformats.org/officeDocument/2006/relationships/hyperlink" Target="http://www.sec.gov/Archives/edgar/data/92416/000009241605000077/exhibit10-2.htm" TargetMode="External"/><Relationship Id="rId76" Type="http://schemas.openxmlformats.org/officeDocument/2006/relationships/hyperlink" Target="http://www.sec.gov/Archives/edgar/data/92416/000009241608000067/exhibit1003.htm" TargetMode="External"/><Relationship Id="rId77" Type="http://schemas.openxmlformats.org/officeDocument/2006/relationships/hyperlink" Target="http://www.sec.gov/Archives/edgar/data/92416/000119312510042973/dex1021.htm" TargetMode="External"/><Relationship Id="rId78" Type="http://schemas.openxmlformats.org/officeDocument/2006/relationships/hyperlink" Target="http://www.sec.gov/Archives/edgar/data/92416/000119312520107089/d902383dex102.htm" TargetMode="External"/><Relationship Id="rId79" Type="http://schemas.openxmlformats.org/officeDocument/2006/relationships/hyperlink" Target="http://www.sec.gov/Archives/edgar/data/92416/000169211519000013/swx123118ex1014.htm" TargetMode="External"/><Relationship Id="rId80" Type="http://schemas.openxmlformats.org/officeDocument/2006/relationships/hyperlink" Target="http://www.sec.gov/Archives/edgar/data/92416/000119312517062419/d324082dex1019.htm" TargetMode="External"/><Relationship Id="rId81" Type="http://schemas.openxmlformats.org/officeDocument/2006/relationships/hyperlink" Target="http://www.sec.gov/Archives/edgar/data/92416/000119312517062419/d324082dex1020.htm" TargetMode="External"/><Relationship Id="rId82" Type="http://schemas.openxmlformats.org/officeDocument/2006/relationships/hyperlink" Target="http://www.sec.gov/Archives/edgar/data/92416/000119312520107089/d902383dex101.htm" TargetMode="External"/><Relationship Id="rId83" Type="http://schemas.openxmlformats.org/officeDocument/2006/relationships/hyperlink" Target="http://www.sec.gov/Archives/edgar/data/92416/000119312517251363/d401099dex1001.htm" TargetMode="External"/><Relationship Id="rId84" Type="http://schemas.openxmlformats.org/officeDocument/2006/relationships/hyperlink" Target="http://www.sec.gov/Archives/edgar/data/92416/000119312517251363/d401099dex1002.htm" TargetMode="External"/><Relationship Id="rId87" Type="http://schemas.openxmlformats.org/officeDocument/2006/relationships/hyperlink" Target="http://www.sec.gov/Archives/edgar/data/92416/000119312517251363/d401099dex1003.htm" TargetMode="External"/><Relationship Id="rId88" Type="http://schemas.openxmlformats.org/officeDocument/2006/relationships/hyperlink" Target="http://www.sec.gov/Archives/edgar/data/92416/000119312518155358/d553725dex1001.htm" TargetMode="External"/><Relationship Id="rId89" Type="http://schemas.openxmlformats.org/officeDocument/2006/relationships/hyperlink" Target="http://www.sec.gov/Archives/edgar/data/1692115/000119312517097720/d322298ddefc14a.htm#toc322298_57" TargetMode="External"/><Relationship Id="rId90" Type="http://schemas.openxmlformats.org/officeDocument/2006/relationships/hyperlink" Target="http://www.sec.gov/Archives/edgar/data/92416/000119312518063850/d513923dex1024.htm" TargetMode="External"/><Relationship Id="rId91" Type="http://schemas.openxmlformats.org/officeDocument/2006/relationships/hyperlink" Target="http://www.sec.gov/Archives/edgar/data/92416/000119312518063850/d513923dex1025.htm" TargetMode="External"/><Relationship Id="rId92" Type="http://schemas.openxmlformats.org/officeDocument/2006/relationships/hyperlink" Target="http://www.sec.gov/Archives/edgar/data/92416/000119312518155358/d553725dex1002.htm" TargetMode="External"/><Relationship Id="rId93" Type="http://schemas.openxmlformats.org/officeDocument/2006/relationships/hyperlink" Target="http://www.sec.gov/Archives/edgar/data/92416/000169211519000013/swx123118ex1028.htm" TargetMode="External"/><Relationship Id="rId94" Type="http://schemas.openxmlformats.org/officeDocument/2006/relationships/hyperlink" Target="http://www.sec.gov/Archives/edgar/data/92416/000169211519000013/swx123118ex1029.htm" TargetMode="External"/><Relationship Id="rId95" Type="http://schemas.openxmlformats.org/officeDocument/2006/relationships/hyperlink" Target="http://www.sec.gov/Archives/edgar/data/92416/000169211519000013/swx123118ex1030.htm" TargetMode="External"/><Relationship Id="rId96" Type="http://schemas.openxmlformats.org/officeDocument/2006/relationships/hyperlink" Target="http://www.sec.gov/Archives/edgar/data/92416/000169211519000045/swxexhibit1001.htm" TargetMode="External"/><Relationship Id="rId97" Type="http://schemas.openxmlformats.org/officeDocument/2006/relationships/hyperlink" Target="http://www.sec.gov/Archives/edgar/data/92416/000169211519000045/swxexhibit1002.htm" TargetMode="External"/><Relationship Id="rId98" Type="http://schemas.openxmlformats.org/officeDocument/2006/relationships/hyperlink" Target="http://www.sec.gov/Archives/edgar/data/92416/000169211519000045/swxexhibit1003.htm" TargetMode="External"/><Relationship Id="rId99" Type="http://schemas.openxmlformats.org/officeDocument/2006/relationships/hyperlink" Target="http://www.sec.gov/Archives/edgar/data/92416/000169211520000032/swxexhibit100133120.htm" TargetMode="External"/><Relationship Id="rId100" Type="http://schemas.openxmlformats.org/officeDocument/2006/relationships/hyperlink" Target="http://www.sec.gov/Archives/edgar/data/92416/000009241616000112/exhibit4-1.htm" TargetMode="External"/><Relationship Id="rId101" Type="http://schemas.openxmlformats.org/officeDocument/2006/relationships/hyperlink" Target="http://www.sec.gov/Archives/edgar/data/92416/000119312521091268/d139318dex101.htm" TargetMode="External"/><Relationship Id="rId102" Type="http://schemas.openxmlformats.org/officeDocument/2006/relationships/hyperlink" Target="http://www.sec.gov/Archives/edgar/data/1692115/000119312521260616/d172891dex101.htm" TargetMode="External"/><Relationship Id="rId103" Type="http://schemas.openxmlformats.org/officeDocument/2006/relationships/hyperlink" Target="http://www.sec.gov/Archives/edgar/data/1692115/000119312521321584/d196453dex101.htm" TargetMode="External"/><Relationship Id="rId104" Type="http://schemas.openxmlformats.org/officeDocument/2006/relationships/hyperlink" Target="http://www.sec.gov/Archives/edgar/data/92416/000119312522000235/d274968dex102.htm" TargetMode="External"/><Relationship Id="rId106" Type="http://schemas.openxmlformats.org/officeDocument/2006/relationships/hyperlink" Target="http://www.sec.gov/Archives/edgar/data/92416/000119312522000235/d274968dex101.htm" TargetMode="External"/><Relationship Id="rId107" Type="http://schemas.openxmlformats.org/officeDocument/2006/relationships/hyperlink" Target="https://www.sec.gov/Archives/edgar/data/92416/000119312522081759/d315333dex101.htm" TargetMode="External"/><Relationship Id="rId108" Type="http://schemas.openxmlformats.org/officeDocument/2006/relationships/hyperlink" Target="https://www.sec.gov/Archives/edgar/data/92416/000169211522000024/swxexhibit1002063022.htm" TargetMode="External"/><Relationship Id="rId109" Type="http://schemas.openxmlformats.org/officeDocument/2006/relationships/hyperlink" Target="https://www.sec.gov/Archives/edgar/data/92416/000169211522000024/swxexhibit1003063022.htm" TargetMode="External"/><Relationship Id="rId110" Type="http://schemas.openxmlformats.org/officeDocument/2006/relationships/hyperlink" Target="https://www.sec.gov/Archives/edgar/data/1692115/000119312522213820/d365610dex101.htm" TargetMode="External"/><Relationship Id="rId111" Type="http://schemas.openxmlformats.org/officeDocument/2006/relationships/hyperlink" Target="https://www.sec.gov/Archives/edgar/data/1692115/000119312522254307/d386504dex101.htm" TargetMode="External"/><Relationship Id="rId112" Type="http://schemas.openxmlformats.org/officeDocument/2006/relationships/hyperlink" Target="http://www.sec.gov/Archives/edgar/data/1692115/000119312522268954/d401097dex101.htm" TargetMode="External"/><Relationship Id="rId113" Type="http://schemas.openxmlformats.org/officeDocument/2006/relationships/hyperlink" Target="https://www.sec.gov/Archives/edgar/data/92416/000119312522279148/d408097dex101.htm" TargetMode="External"/><Relationship Id="rId114" Type="http://schemas.openxmlformats.org/officeDocument/2006/relationships/hyperlink" Target="https://www.sec.gov/Archives/edgar/data/92416/000119312522279148/d408097dex102.htm" TargetMode="External"/><Relationship Id="rId115" Type="http://schemas.openxmlformats.org/officeDocument/2006/relationships/hyperlink" Target="https://www.sec.gov/Archives/edgar/data/92416/000119312523012081/d4396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2023-02-28T21:51:22Z</dcterms:created>
  <dcterms:modified xsi:type="dcterms:W3CDTF">2023-02-28T21:51:22Z</dcterms:modified>
</cp:coreProperties>
</file>