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Under the Securities Exchange Act of 1934 (Amendment No. 7)</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Southwest Gas Corporation</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Common Stock Par Value $1.00 Per Share</w:t>
      </w:r>
    </w:p>
    <w:p>
      <w:pPr>
        <w:jc w:val="center"/>
        <w:ind w:right="34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844895102</w:t>
      </w:r>
    </w:p>
    <w:p>
      <w:pPr>
        <w:ind w:left="26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James E. McKee, Gabelli Funds, Inc.,</w:t>
      </w:r>
    </w:p>
    <w:p>
      <w:pPr>
        <w:spacing w:after="0" w:line="4" w:lineRule="exact"/>
        <w:rPr>
          <w:sz w:val="24"/>
          <w:szCs w:val="24"/>
          <w:color w:val="auto"/>
        </w:rPr>
      </w:pPr>
    </w:p>
    <w:p>
      <w:pPr>
        <w:jc w:val="center"/>
        <w:ind w:right="3479"/>
        <w:spacing w:after="0" w:line="236" w:lineRule="auto"/>
        <w:rPr>
          <w:sz w:val="20"/>
          <w:szCs w:val="20"/>
          <w:color w:val="auto"/>
        </w:rPr>
      </w:pPr>
      <w:r>
        <w:rPr>
          <w:rFonts w:ascii="Courier New" w:cs="Courier New" w:eastAsia="Courier New" w:hAnsi="Courier New"/>
          <w:sz w:val="18"/>
          <w:szCs w:val="18"/>
          <w:color w:val="auto"/>
        </w:rPr>
        <w:t>One Corporate Center, Rye, NY 10580-1434 (914) 921-5294 (Name, Address and Telephone Number of Person Authorized to Receive Notices and Communications)</w:t>
      </w:r>
    </w:p>
    <w:p>
      <w:pPr>
        <w:spacing w:after="0" w:line="200" w:lineRule="exact"/>
        <w:rPr>
          <w:sz w:val="24"/>
          <w:szCs w:val="24"/>
          <w:color w:val="auto"/>
        </w:rPr>
      </w:pPr>
    </w:p>
    <w:p>
      <w:pPr>
        <w:spacing w:after="0" w:line="206"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July 22, 1999</w:t>
      </w:r>
    </w:p>
    <w:p>
      <w:pPr>
        <w:jc w:val="center"/>
        <w:ind w:right="33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that is the subject of this Sched-</w:t>
      </w:r>
    </w:p>
    <w:p>
      <w:pPr>
        <w:ind w:right="2839"/>
        <w:spacing w:after="0" w:line="235" w:lineRule="auto"/>
        <w:rPr>
          <w:sz w:val="20"/>
          <w:szCs w:val="20"/>
          <w:color w:val="auto"/>
        </w:rPr>
      </w:pPr>
      <w:r>
        <w:rPr>
          <w:rFonts w:ascii="Courier New" w:cs="Courier New" w:eastAsia="Courier New" w:hAnsi="Courier New"/>
          <w:sz w:val="18"/>
          <w:szCs w:val="18"/>
          <w:color w:val="auto"/>
        </w:rPr>
        <w:t>ule 13D, and is filing this schedule because of Sections 240.13d-1(e), 240.13d-1(f) or 240.13d-1(g), check the following box [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640"/>
        <w:spacing w:after="0"/>
        <w:tabs>
          <w:tab w:leader="none" w:pos="3780" w:val="left"/>
        </w:tabs>
        <w:rPr>
          <w:sz w:val="20"/>
          <w:szCs w:val="20"/>
          <w:color w:val="auto"/>
        </w:rPr>
      </w:pPr>
      <w:r>
        <w:rPr>
          <w:rFonts w:ascii="Courier New" w:cs="Courier New" w:eastAsia="Courier New" w:hAnsi="Courier New"/>
          <w:sz w:val="18"/>
          <w:szCs w:val="18"/>
          <w:color w:val="auto"/>
        </w:rPr>
        <w:t>Gabelli Funds, LLC</w:t>
      </w:r>
      <w:r>
        <w:rPr>
          <w:sz w:val="20"/>
          <w:szCs w:val="20"/>
          <w:color w:val="auto"/>
        </w:rPr>
        <w:tab/>
      </w:r>
      <w:r>
        <w:rPr>
          <w:rFonts w:ascii="Courier New" w:cs="Courier New" w:eastAsia="Courier New" w:hAnsi="Courier New"/>
          <w:sz w:val="16"/>
          <w:szCs w:val="16"/>
          <w:color w:val="auto"/>
        </w:rPr>
        <w:t>I.D. No. 13-4044523</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rPr>
          <w:sz w:val="20"/>
          <w:szCs w:val="20"/>
          <w:color w:val="auto"/>
        </w:rPr>
      </w:pPr>
      <w:r>
        <w:rPr>
          <w:rFonts w:ascii="Courier New" w:cs="Courier New" w:eastAsia="Courier New" w:hAnsi="Courier New"/>
          <w:sz w:val="18"/>
          <w:szCs w:val="18"/>
          <w:color w:val="auto"/>
        </w:rPr>
        <w:t>____</w:t>
      </w:r>
    </w:p>
    <w:p>
      <w:pPr>
        <w:ind w:left="5280"/>
        <w:spacing w:after="0" w:line="237" w:lineRule="auto"/>
        <w:rPr>
          <w:sz w:val="20"/>
          <w:szCs w:val="20"/>
          <w:color w:val="auto"/>
        </w:rPr>
      </w:pPr>
      <w:r>
        <w:rPr>
          <w:rFonts w:ascii="Courier New" w:cs="Courier New" w:eastAsia="Courier New" w:hAnsi="Courier New"/>
          <w:sz w:val="18"/>
          <w:szCs w:val="18"/>
          <w:color w:val="auto"/>
        </w:rPr>
        <w:t>(a) /___/</w:t>
      </w:r>
    </w:p>
    <w:p>
      <w:pPr>
        <w:ind w:left="5800"/>
        <w:spacing w:after="0"/>
        <w:rPr>
          <w:sz w:val="20"/>
          <w:szCs w:val="20"/>
          <w:color w:val="auto"/>
        </w:rPr>
      </w:pPr>
      <w:r>
        <w:rPr>
          <w:rFonts w:ascii="Courier New" w:cs="Courier New" w:eastAsia="Courier New" w:hAnsi="Courier New"/>
          <w:sz w:val="18"/>
          <w:szCs w:val="18"/>
          <w:color w:val="auto"/>
        </w:rPr>
        <w:t>____</w:t>
      </w:r>
    </w:p>
    <w:p>
      <w:pPr>
        <w:ind w:left="5280"/>
        <w:spacing w:after="0" w:line="237" w:lineRule="auto"/>
        <w:rPr>
          <w:sz w:val="20"/>
          <w:szCs w:val="20"/>
          <w:color w:val="auto"/>
        </w:rPr>
      </w:pPr>
      <w:r>
        <w:rPr>
          <w:rFonts w:ascii="Courier New" w:cs="Courier New" w:eastAsia="Courier New" w:hAnsi="Courier New"/>
          <w:sz w:val="18"/>
          <w:szCs w:val="18"/>
          <w:color w:val="auto"/>
        </w:rPr>
        <w:t>(b) /___/</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OO-Funds of investment company clients</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(5)</w:t>
        <w:tab/>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_____</w:t>
      </w:r>
    </w:p>
    <w:p>
      <w:pPr>
        <w:ind w:left="5600"/>
        <w:spacing w:after="0" w:line="237" w:lineRule="auto"/>
        <w:tabs>
          <w:tab w:leader="none" w:pos="6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640"/>
        <w:spacing w:after="0"/>
        <w:rPr>
          <w:sz w:val="20"/>
          <w:szCs w:val="20"/>
          <w:color w:val="auto"/>
        </w:rPr>
      </w:pPr>
      <w:r>
        <w:rPr>
          <w:rFonts w:ascii="Courier New" w:cs="Courier New" w:eastAsia="Courier New" w:hAnsi="Courier New"/>
          <w:sz w:val="18"/>
          <w:szCs w:val="18"/>
          <w:color w:val="auto"/>
        </w:rPr>
        <w:t>New York</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tbl>
      <w:tblPr>
        <w:tblLayout w:type="fixed"/>
        <w:tblInd w:w="12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(7)</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803,000 (Item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803,000 (Item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5)</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5" w:lineRule="exact"/>
        <w:rPr>
          <w:sz w:val="24"/>
          <w:szCs w:val="24"/>
          <w:color w:val="auto"/>
        </w:rPr>
      </w:pPr>
    </w:p>
    <w:p>
      <w:pPr>
        <w:ind w:left="640" w:right="3359" w:hanging="632"/>
        <w:spacing w:after="0" w:line="235" w:lineRule="auto"/>
        <w:tabs>
          <w:tab w:leader="none" w:pos="5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803,000 (Item 5)</w:t>
      </w:r>
    </w:p>
    <w:p>
      <w:pPr>
        <w:sectPr>
          <w:pgSz w:w="11900" w:h="16838" w:orient="portrait"/>
          <w:cols w:equalWidth="0" w:num="1">
            <w:col w:w="10219"/>
          </w:cols>
          <w:pgMar w:left="240" w:top="244" w:right="1440" w:bottom="0" w:gutter="0" w:footer="0" w:header="0"/>
        </w:sectPr>
      </w:pPr>
    </w:p>
    <w:bookmarkStart w:id="1" w:name="page2"/>
    <w:bookmarkEnd w:id="1"/>
    <w:p>
      <w:pPr>
        <w:spacing w:after="0" w:line="193" w:lineRule="auto"/>
        <w:tabs>
          <w:tab w:leader="none" w:pos="535" w:val="left"/>
        </w:tabs>
        <w:framePr w:w="600" w:h="146" w:wrap="auto" w:vAnchor="page" w:hAnchor="page" w:x="5900" w:y="547"/>
        <w:rPr>
          <w:rFonts w:ascii="Courier New" w:cs="Courier New" w:eastAsia="Courier New" w:hAnsi="Courier New"/>
          <w:sz w:val="16"/>
          <w:szCs w:val="16"/>
          <w:color w:val="auto"/>
        </w:rPr>
      </w:pPr>
      <w:r>
        <w:rPr>
          <w:rFonts w:ascii="Courier New" w:cs="Courier New" w:eastAsia="Courier New" w:hAnsi="Courier New"/>
          <w:sz w:val="16"/>
          <w:szCs w:val="16"/>
          <w:color w:val="auto"/>
        </w:rPr>
        <w:t>_____</w:t>
      </w:r>
    </w:p>
    <w:p>
      <w:pPr>
        <w:spacing w:after="0" w:line="193" w:lineRule="auto"/>
        <w:tabs>
          <w:tab w:leader="none" w:pos="535" w:val="left"/>
        </w:tabs>
        <w:framePr w:w="180" w:h="146" w:wrap="auto" w:vAnchor="page" w:hAnchor="page" w:x="5800" w:y="75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tabs>
          <w:tab w:leader="none" w:pos="535" w:val="left"/>
        </w:tabs>
        <w:framePr w:w="180" w:h="146" w:wrap="auto" w:vAnchor="page" w:hAnchor="page" w:x="6320" w:y="75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6"/>
          <w:szCs w:val="16"/>
          <w:color w:val="auto"/>
        </w:rPr>
      </w:pPr>
    </w:p>
    <w:p>
      <w:pPr>
        <w:ind w:left="540" w:right="515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(12)</w:t>
        <w:tab/>
        <w:t>CHECK BOX IF THE AGGREGATE AMOUNT IN ROW 11 EXCLUDES CERTAIN SHARES*</w:t>
      </w:r>
    </w:p>
    <w:p>
      <w:pPr>
        <w:spacing w:after="0" w:line="208"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6"/>
          <w:szCs w:val="16"/>
          <w:color w:val="auto"/>
        </w:rPr>
      </w:pPr>
    </w:p>
    <w:p>
      <w:pPr>
        <w:ind w:left="640" w:right="46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2.62%</w:t>
      </w:r>
    </w:p>
    <w:p>
      <w:pPr>
        <w:spacing w:after="0" w:line="6"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6"/>
          <w:szCs w:val="16"/>
          <w:color w:val="auto"/>
        </w:rPr>
      </w:pPr>
    </w:p>
    <w:p>
      <w:pPr>
        <w:ind w:left="640" w:right="7059" w:hanging="632"/>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jc w:val="center"/>
        <w:ind w:right="335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18"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I.R.S. IDENTIFICATION NOS. OF ABOVE PERSONS (ENTITIES ONLY)</w:t>
      </w:r>
    </w:p>
    <w:p>
      <w:pPr>
        <w:spacing w:after="0" w:line="16" w:lineRule="exact"/>
        <w:rPr>
          <w:rFonts w:ascii="Courier New" w:cs="Courier New" w:eastAsia="Courier New" w:hAnsi="Courier New"/>
          <w:sz w:val="16"/>
          <w:szCs w:val="16"/>
          <w:color w:val="auto"/>
        </w:rPr>
      </w:pPr>
    </w:p>
    <w:p>
      <w:pPr>
        <w:ind w:left="640"/>
        <w:spacing w:after="0"/>
        <w:tabs>
          <w:tab w:leader="none" w:pos="4300" w:val="left"/>
        </w:tabs>
        <w:rPr>
          <w:sz w:val="20"/>
          <w:szCs w:val="20"/>
          <w:color w:val="auto"/>
        </w:rPr>
      </w:pPr>
      <w:r>
        <w:rPr>
          <w:rFonts w:ascii="Courier New" w:cs="Courier New" w:eastAsia="Courier New" w:hAnsi="Courier New"/>
          <w:sz w:val="18"/>
          <w:szCs w:val="18"/>
          <w:color w:val="auto"/>
        </w:rPr>
        <w:t>GAMCO Investors, Inc.</w:t>
      </w:r>
      <w:r>
        <w:rPr>
          <w:sz w:val="20"/>
          <w:szCs w:val="20"/>
          <w:color w:val="auto"/>
        </w:rPr>
        <w:tab/>
      </w:r>
      <w:r>
        <w:rPr>
          <w:rFonts w:ascii="Courier New" w:cs="Courier New" w:eastAsia="Courier New" w:hAnsi="Courier New"/>
          <w:sz w:val="16"/>
          <w:szCs w:val="16"/>
          <w:color w:val="auto"/>
        </w:rPr>
        <w:t>I.D. No. 13-2951242</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7"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(b) /___/</w:t>
      </w:r>
    </w:p>
    <w:p>
      <w:pPr>
        <w:spacing w:after="0" w:line="5"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OO-Funds of investment advisory clients</w:t>
      </w:r>
    </w:p>
    <w:p>
      <w:pPr>
        <w:spacing w:after="0" w:line="3"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_____</w:t>
      </w:r>
    </w:p>
    <w:p>
      <w:pPr>
        <w:ind w:left="5600"/>
        <w:spacing w:after="0"/>
        <w:tabs>
          <w:tab w:leader="none" w:pos="5880" w:val="left"/>
        </w:tabs>
        <w:rPr>
          <w:sz w:val="20"/>
          <w:szCs w:val="20"/>
          <w:color w:val="auto"/>
        </w:rPr>
      </w:pPr>
      <w:r>
        <w:rPr>
          <w:rFonts w:ascii="Courier New" w:cs="Courier New" w:eastAsia="Courier New" w:hAnsi="Courier New"/>
          <w:sz w:val="18"/>
          <w:szCs w:val="18"/>
          <w:color w:val="auto"/>
        </w:rPr>
        <w:t>/</w:t>
        <w:tab/>
        <w:t>x /</w:t>
      </w:r>
    </w:p>
    <w:p>
      <w:pPr>
        <w:spacing w:after="0" w:line="3"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6"/>
          <w:szCs w:val="16"/>
          <w:color w:val="auto"/>
        </w:rPr>
      </w:pPr>
    </w:p>
    <w:p>
      <w:pPr>
        <w:ind w:left="640" w:right="589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6"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2,093,883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2,190,883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6"/>
          <w:szCs w:val="16"/>
          <w:color w:val="auto"/>
        </w:rPr>
      </w:pPr>
    </w:p>
    <w:p>
      <w:pPr>
        <w:ind w:left="640" w:right="3359" w:hanging="632"/>
        <w:spacing w:after="0" w:line="235" w:lineRule="auto"/>
        <w:tabs>
          <w:tab w:leader="none" w:pos="53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2,190,883 (Item 5)</w:t>
      </w:r>
    </w:p>
    <w:p>
      <w:pPr>
        <w:spacing w:after="0" w:line="6"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w:t>
      </w:r>
    </w:p>
    <w:p>
      <w:pPr>
        <w:ind w:left="5600"/>
        <w:spacing w:after="0"/>
        <w:rPr>
          <w:sz w:val="20"/>
          <w:szCs w:val="20"/>
          <w:color w:val="auto"/>
        </w:rPr>
      </w:pPr>
      <w:r>
        <w:rPr>
          <w:rFonts w:ascii="Courier New" w:cs="Courier New" w:eastAsia="Courier New" w:hAnsi="Courier New"/>
          <w:sz w:val="18"/>
          <w:szCs w:val="18"/>
          <w:color w:val="auto"/>
        </w:rPr>
        <w:t>/___/</w:t>
      </w:r>
    </w:p>
    <w:p>
      <w:pPr>
        <w:spacing w:after="0" w:line="3"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6"/>
          <w:szCs w:val="16"/>
          <w:color w:val="auto"/>
        </w:rPr>
      </w:pPr>
    </w:p>
    <w:p>
      <w:pPr>
        <w:ind w:left="640" w:right="4619" w:hanging="632"/>
        <w:spacing w:after="0" w:line="235" w:lineRule="auto"/>
        <w:tabs>
          <w:tab w:leader="none" w:pos="53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7.14%</w:t>
      </w:r>
    </w:p>
    <w:p>
      <w:pPr>
        <w:spacing w:after="0" w:line="6"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6"/>
          <w:szCs w:val="16"/>
          <w:color w:val="auto"/>
        </w:rPr>
      </w:pPr>
    </w:p>
    <w:p>
      <w:pPr>
        <w:ind w:left="640" w:right="7059" w:hanging="632"/>
        <w:spacing w:after="0" w:line="235" w:lineRule="auto"/>
        <w:tabs>
          <w:tab w:leader="none" w:pos="53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6"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jc w:val="center"/>
        <w:ind w:right="335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I.R.S. IDENTIFICATION NOS. OF ABOVE PERSONS (ENTITIES ONLY)</w:t>
      </w:r>
    </w:p>
    <w:p>
      <w:pPr>
        <w:spacing w:after="0" w:line="16" w:lineRule="exact"/>
        <w:rPr>
          <w:rFonts w:ascii="Courier New" w:cs="Courier New" w:eastAsia="Courier New" w:hAnsi="Courier New"/>
          <w:sz w:val="16"/>
          <w:szCs w:val="16"/>
          <w:color w:val="auto"/>
        </w:rPr>
      </w:pPr>
    </w:p>
    <w:p>
      <w:pPr>
        <w:ind w:left="640"/>
        <w:spacing w:after="0"/>
        <w:tabs>
          <w:tab w:leader="none" w:pos="4300" w:val="left"/>
        </w:tabs>
        <w:rPr>
          <w:sz w:val="20"/>
          <w:szCs w:val="20"/>
          <w:color w:val="auto"/>
        </w:rPr>
      </w:pPr>
      <w:r>
        <w:rPr>
          <w:rFonts w:ascii="Courier New" w:cs="Courier New" w:eastAsia="Courier New" w:hAnsi="Courier New"/>
          <w:sz w:val="18"/>
          <w:szCs w:val="18"/>
          <w:color w:val="auto"/>
        </w:rPr>
        <w:t>Gabelli Securities, Inc.</w:t>
      </w:r>
      <w:r>
        <w:rPr>
          <w:sz w:val="20"/>
          <w:szCs w:val="20"/>
          <w:color w:val="auto"/>
        </w:rPr>
        <w:tab/>
      </w:r>
      <w:r>
        <w:rPr>
          <w:rFonts w:ascii="Courier New" w:cs="Courier New" w:eastAsia="Courier New" w:hAnsi="Courier New"/>
          <w:sz w:val="16"/>
          <w:szCs w:val="16"/>
          <w:color w:val="auto"/>
        </w:rPr>
        <w:t>I.D. No. 13-3379374</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7"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(b) /___/</w:t>
      </w:r>
    </w:p>
    <w:p>
      <w:pPr>
        <w:spacing w:after="0" w:line="5"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142" w:right="1440" w:bottom="0" w:gutter="0" w:footer="0" w:header="0"/>
        </w:sectPr>
      </w:pPr>
    </w:p>
    <w:bookmarkStart w:id="2" w:name="page3"/>
    <w:bookmarkEnd w:id="2"/>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WC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w:t>
      </w:r>
    </w:p>
    <w:p>
      <w:pPr>
        <w:ind w:left="5600"/>
        <w:spacing w:after="0"/>
        <w:rPr>
          <w:sz w:val="20"/>
          <w:szCs w:val="20"/>
          <w:color w:val="auto"/>
        </w:rPr>
      </w:pPr>
      <w:r>
        <w:rPr>
          <w:rFonts w:ascii="Courier New" w:cs="Courier New" w:eastAsia="Courier New" w:hAnsi="Courier New"/>
          <w:sz w:val="18"/>
          <w:szCs w:val="18"/>
          <w:color w:val="auto"/>
        </w:rPr>
        <w:t>/___/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99" w:hanging="632"/>
        <w:spacing w:after="0" w:line="235" w:lineRule="auto"/>
        <w:tabs>
          <w:tab w:leader="none" w:pos="53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2,500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2,500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2,500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_____</w:t>
      </w:r>
    </w:p>
    <w:p>
      <w:pPr>
        <w:ind w:left="5600"/>
        <w:spacing w:after="0"/>
        <w:tabs>
          <w:tab w:leader="none" w:pos="5880" w:val="left"/>
        </w:tabs>
        <w:rPr>
          <w:sz w:val="20"/>
          <w:szCs w:val="20"/>
          <w:color w:val="auto"/>
        </w:rPr>
      </w:pPr>
      <w:r>
        <w:rPr>
          <w:rFonts w:ascii="Courier New" w:cs="Courier New" w:eastAsia="Courier New" w:hAnsi="Courier New"/>
          <w:sz w:val="18"/>
          <w:szCs w:val="18"/>
          <w:color w:val="auto"/>
        </w:rPr>
        <w:t>/</w:t>
        <w:tab/>
        <w:t>x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53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53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16" w:lineRule="exact"/>
        <w:rPr>
          <w:sz w:val="20"/>
          <w:szCs w:val="20"/>
          <w:color w:val="auto"/>
        </w:rPr>
      </w:pPr>
    </w:p>
    <w:p>
      <w:pPr>
        <w:ind w:left="540"/>
        <w:spacing w:after="0"/>
        <w:tabs>
          <w:tab w:leader="none" w:pos="4100" w:val="left"/>
        </w:tabs>
        <w:rPr>
          <w:sz w:val="20"/>
          <w:szCs w:val="20"/>
          <w:color w:val="auto"/>
        </w:rPr>
      </w:pPr>
      <w:r>
        <w:rPr>
          <w:rFonts w:ascii="Courier New" w:cs="Courier New" w:eastAsia="Courier New" w:hAnsi="Courier New"/>
          <w:sz w:val="18"/>
          <w:szCs w:val="18"/>
          <w:color w:val="auto"/>
        </w:rPr>
        <w:t>Gabelli Foundation, Inc.</w:t>
      </w:r>
      <w:r>
        <w:rPr>
          <w:sz w:val="20"/>
          <w:szCs w:val="20"/>
          <w:color w:val="auto"/>
        </w:rPr>
        <w:tab/>
      </w:r>
      <w:r>
        <w:rPr>
          <w:rFonts w:ascii="Courier New" w:cs="Courier New" w:eastAsia="Courier New" w:hAnsi="Courier New"/>
          <w:sz w:val="16"/>
          <w:szCs w:val="16"/>
          <w:color w:val="auto"/>
        </w:rPr>
        <w:t>I.D. No. 94-2975159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7"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(b) /___/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WC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w:t>
      </w: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640"/>
        <w:spacing w:after="0" w:line="238" w:lineRule="auto"/>
        <w:rPr>
          <w:sz w:val="20"/>
          <w:szCs w:val="20"/>
          <w:color w:val="auto"/>
        </w:rPr>
      </w:pPr>
      <w:r>
        <w:rPr>
          <w:rFonts w:ascii="Courier New" w:cs="Courier New" w:eastAsia="Courier New" w:hAnsi="Courier New"/>
          <w:sz w:val="18"/>
          <w:szCs w:val="18"/>
          <w:color w:val="auto"/>
        </w:rPr>
        <w:t>NV</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7,000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7,000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AGGREGATE AMOUNT BENEFICIALLY OWNED BY EACH REPORTING PERSON</w:t>
      </w:r>
    </w:p>
    <w:p>
      <w:pPr>
        <w:sectPr>
          <w:pgSz w:w="11900" w:h="16838" w:orient="portrait"/>
          <w:cols w:equalWidth="0" w:num="1">
            <w:col w:w="10219"/>
          </w:cols>
          <w:pgMar w:left="240" w:top="136" w:right="1440" w:bottom="0" w:gutter="0" w:footer="0" w:header="0"/>
        </w:sectPr>
      </w:pPr>
    </w:p>
    <w:bookmarkStart w:id="3" w:name="page4"/>
    <w:bookmarkEnd w:id="3"/>
    <w:p>
      <w:pPr>
        <w:ind w:left="540"/>
        <w:spacing w:after="0"/>
        <w:rPr>
          <w:sz w:val="20"/>
          <w:szCs w:val="20"/>
          <w:color w:val="auto"/>
        </w:rPr>
      </w:pPr>
      <w:r>
        <w:rPr>
          <w:rFonts w:ascii="Courier New" w:cs="Courier New" w:eastAsia="Courier New" w:hAnsi="Courier New"/>
          <w:sz w:val="18"/>
          <w:szCs w:val="18"/>
          <w:color w:val="auto"/>
        </w:rPr>
        <w:t>7,000 (Item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_____</w:t>
      </w: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53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7059" w:hanging="632"/>
        <w:spacing w:after="0" w:line="268" w:lineRule="auto"/>
        <w:tabs>
          <w:tab w:leader="none" w:pos="53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00-PRIVATE FOUNDATION</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16" w:lineRule="exact"/>
        <w:rPr>
          <w:sz w:val="20"/>
          <w:szCs w:val="20"/>
          <w:color w:val="auto"/>
        </w:rPr>
      </w:pPr>
    </w:p>
    <w:p>
      <w:pPr>
        <w:ind w:left="640"/>
        <w:spacing w:after="0"/>
        <w:tabs>
          <w:tab w:leader="none" w:pos="3360" w:val="left"/>
        </w:tabs>
        <w:rPr>
          <w:sz w:val="20"/>
          <w:szCs w:val="20"/>
          <w:color w:val="auto"/>
        </w:rPr>
      </w:pPr>
      <w:r>
        <w:rPr>
          <w:rFonts w:ascii="Courier New" w:cs="Courier New" w:eastAsia="Courier New" w:hAnsi="Courier New"/>
          <w:sz w:val="18"/>
          <w:szCs w:val="18"/>
          <w:color w:val="auto"/>
        </w:rPr>
        <w:t>Gabelli Fund, LDC</w:t>
      </w:r>
      <w:r>
        <w:rPr>
          <w:sz w:val="20"/>
          <w:szCs w:val="20"/>
          <w:color w:val="auto"/>
        </w:rPr>
        <w:tab/>
      </w:r>
      <w:r>
        <w:rPr>
          <w:rFonts w:ascii="Courier New" w:cs="Courier New" w:eastAsia="Courier New" w:hAnsi="Courier New"/>
          <w:sz w:val="16"/>
          <w:szCs w:val="16"/>
          <w:color w:val="auto"/>
        </w:rPr>
        <w:t>I.D. No. Foreign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7"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(b) /___/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WC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w:t>
      </w:r>
    </w:p>
    <w:p>
      <w:pPr>
        <w:ind w:left="5600"/>
        <w:spacing w:after="0"/>
        <w:rPr>
          <w:sz w:val="20"/>
          <w:szCs w:val="20"/>
          <w:color w:val="auto"/>
        </w:rPr>
      </w:pPr>
      <w:r>
        <w:rPr>
          <w:rFonts w:ascii="Courier New" w:cs="Courier New" w:eastAsia="Courier New" w:hAnsi="Courier New"/>
          <w:sz w:val="18"/>
          <w:szCs w:val="18"/>
          <w:color w:val="auto"/>
        </w:rPr>
        <w:t>/___/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99" w:hanging="632"/>
        <w:spacing w:after="0" w:line="268" w:lineRule="auto"/>
        <w:tabs>
          <w:tab w:leader="none" w:pos="53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British Virgin Islands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2,000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w:t>
      </w:r>
    </w:p>
    <w:p>
      <w:pPr>
        <w:ind w:left="5600"/>
        <w:spacing w:after="0"/>
        <w:rPr>
          <w:sz w:val="20"/>
          <w:szCs w:val="20"/>
          <w:color w:val="auto"/>
        </w:rPr>
      </w:pPr>
      <w:r>
        <w:rPr>
          <w:rFonts w:ascii="Courier New" w:cs="Courier New" w:eastAsia="Courier New" w:hAnsi="Courier New"/>
          <w:sz w:val="18"/>
          <w:szCs w:val="18"/>
          <w:color w:val="auto"/>
        </w:rPr>
        <w:t>/___/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53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53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16" w:lineRule="exact"/>
        <w:rPr>
          <w:sz w:val="20"/>
          <w:szCs w:val="20"/>
          <w:color w:val="auto"/>
        </w:rPr>
      </w:pPr>
    </w:p>
    <w:p>
      <w:pPr>
        <w:ind w:left="640"/>
        <w:spacing w:after="0"/>
        <w:tabs>
          <w:tab w:leader="none" w:pos="4300" w:val="left"/>
        </w:tabs>
        <w:rPr>
          <w:sz w:val="20"/>
          <w:szCs w:val="20"/>
          <w:color w:val="auto"/>
        </w:rPr>
      </w:pPr>
      <w:r>
        <w:rPr>
          <w:rFonts w:ascii="Courier New" w:cs="Courier New" w:eastAsia="Courier New" w:hAnsi="Courier New"/>
          <w:sz w:val="18"/>
          <w:szCs w:val="18"/>
          <w:color w:val="auto"/>
        </w:rPr>
        <w:t>Gabelli Associates Fund</w:t>
      </w:r>
      <w:r>
        <w:rPr>
          <w:sz w:val="20"/>
          <w:szCs w:val="20"/>
          <w:color w:val="auto"/>
        </w:rPr>
        <w:tab/>
      </w:r>
      <w:r>
        <w:rPr>
          <w:rFonts w:ascii="Courier New" w:cs="Courier New" w:eastAsia="Courier New" w:hAnsi="Courier New"/>
          <w:sz w:val="16"/>
          <w:szCs w:val="16"/>
          <w:color w:val="auto"/>
        </w:rPr>
        <w:t>I.D. No. 13-3246203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7" w:lineRule="auto"/>
        <w:rPr>
          <w:sz w:val="20"/>
          <w:szCs w:val="20"/>
          <w:color w:val="auto"/>
        </w:rPr>
      </w:pPr>
      <w:r>
        <w:rPr>
          <w:rFonts w:ascii="Courier New" w:cs="Courier New" w:eastAsia="Courier New" w:hAnsi="Courier New"/>
          <w:sz w:val="18"/>
          <w:szCs w:val="18"/>
          <w:color w:val="auto"/>
        </w:rPr>
        <w:t>____</w:t>
      </w:r>
    </w:p>
    <w:p>
      <w:pPr>
        <w:sectPr>
          <w:pgSz w:w="11900" w:h="16838" w:orient="portrait"/>
          <w:cols w:equalWidth="0" w:num="1">
            <w:col w:w="10219"/>
          </w:cols>
          <w:pgMar w:left="240" w:top="136" w:right="1440" w:bottom="0" w:gutter="0" w:footer="0" w:header="0"/>
        </w:sectPr>
      </w:pPr>
    </w:p>
    <w:bookmarkStart w:id="4" w:name="page5"/>
    <w:bookmarkEnd w:id="4"/>
    <w:p>
      <w:pPr>
        <w:ind w:left="5280"/>
        <w:spacing w:after="0"/>
        <w:rPr>
          <w:sz w:val="20"/>
          <w:szCs w:val="20"/>
          <w:color w:val="auto"/>
        </w:rPr>
      </w:pPr>
      <w:r>
        <w:rPr>
          <w:rFonts w:ascii="Courier New" w:cs="Courier New" w:eastAsia="Courier New" w:hAnsi="Courier New"/>
          <w:sz w:val="18"/>
          <w:szCs w:val="18"/>
          <w:color w:val="auto"/>
        </w:rPr>
        <w:t>(b) /___/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WC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w:t>
      </w:r>
    </w:p>
    <w:p>
      <w:pPr>
        <w:ind w:left="5600"/>
        <w:spacing w:after="0"/>
        <w:rPr>
          <w:sz w:val="20"/>
          <w:szCs w:val="20"/>
          <w:color w:val="auto"/>
        </w:rPr>
      </w:pPr>
      <w:r>
        <w:rPr>
          <w:rFonts w:ascii="Courier New" w:cs="Courier New" w:eastAsia="Courier New" w:hAnsi="Courier New"/>
          <w:sz w:val="18"/>
          <w:szCs w:val="18"/>
          <w:color w:val="auto"/>
        </w:rPr>
        <w:t>/___/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99" w:hanging="632"/>
        <w:spacing w:after="0" w:line="235" w:lineRule="auto"/>
        <w:tabs>
          <w:tab w:leader="none" w:pos="53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38,400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38,400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AGGREGATE AMOUNT BENEFICIALLY OWNED BY EACH REPORTING PERSON</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38,400 (Item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w:t>
      </w:r>
    </w:p>
    <w:p>
      <w:pPr>
        <w:ind w:left="5600"/>
        <w:spacing w:after="0"/>
        <w:rPr>
          <w:sz w:val="20"/>
          <w:szCs w:val="20"/>
          <w:color w:val="auto"/>
        </w:rPr>
      </w:pPr>
      <w:r>
        <w:rPr>
          <w:rFonts w:ascii="Courier New" w:cs="Courier New" w:eastAsia="Courier New" w:hAnsi="Courier New"/>
          <w:sz w:val="18"/>
          <w:szCs w:val="18"/>
          <w:color w:val="auto"/>
        </w:rPr>
        <w:t>/___/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53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53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PN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16" w:lineRule="exact"/>
        <w:rPr>
          <w:sz w:val="20"/>
          <w:szCs w:val="20"/>
          <w:color w:val="auto"/>
        </w:rPr>
      </w:pPr>
    </w:p>
    <w:p>
      <w:pPr>
        <w:ind w:left="640"/>
        <w:spacing w:after="0"/>
        <w:tabs>
          <w:tab w:leader="none" w:pos="3880" w:val="left"/>
        </w:tabs>
        <w:rPr>
          <w:sz w:val="20"/>
          <w:szCs w:val="20"/>
          <w:color w:val="auto"/>
        </w:rPr>
      </w:pPr>
      <w:r>
        <w:rPr>
          <w:rFonts w:ascii="Courier New" w:cs="Courier New" w:eastAsia="Courier New" w:hAnsi="Courier New"/>
          <w:sz w:val="18"/>
          <w:szCs w:val="18"/>
          <w:color w:val="auto"/>
        </w:rPr>
        <w:t>Gabelli Associates Limited</w:t>
      </w:r>
      <w:r>
        <w:rPr>
          <w:sz w:val="20"/>
          <w:szCs w:val="20"/>
          <w:color w:val="auto"/>
        </w:rPr>
        <w:tab/>
      </w:r>
      <w:r>
        <w:rPr>
          <w:rFonts w:ascii="Courier New" w:cs="Courier New" w:eastAsia="Courier New" w:hAnsi="Courier New"/>
          <w:sz w:val="16"/>
          <w:szCs w:val="16"/>
          <w:color w:val="auto"/>
        </w:rPr>
        <w:t>I.D. No. Foreign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7"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(b) /___/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WC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w:t>
      </w:r>
    </w:p>
    <w:p>
      <w:pPr>
        <w:ind w:left="5600"/>
        <w:spacing w:after="0"/>
        <w:rPr>
          <w:sz w:val="20"/>
          <w:szCs w:val="20"/>
          <w:color w:val="auto"/>
        </w:rPr>
      </w:pPr>
      <w:r>
        <w:rPr>
          <w:rFonts w:ascii="Courier New" w:cs="Courier New" w:eastAsia="Courier New" w:hAnsi="Courier New"/>
          <w:sz w:val="18"/>
          <w:szCs w:val="18"/>
          <w:color w:val="auto"/>
        </w:rPr>
        <w:t>/___/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99" w:hanging="632"/>
        <w:spacing w:after="0" w:line="268" w:lineRule="auto"/>
        <w:tabs>
          <w:tab w:leader="none" w:pos="53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British Virgin Islands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23,000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23,000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bl>
    <w:p>
      <w:pPr>
        <w:sectPr>
          <w:pgSz w:w="11900" w:h="16838" w:orient="portrait"/>
          <w:cols w:equalWidth="0" w:num="1">
            <w:col w:w="10219"/>
          </w:cols>
          <w:pgMar w:left="240" w:top="136" w:right="1440" w:bottom="0" w:gutter="0" w:footer="0" w:header="0"/>
        </w:sectPr>
      </w:pPr>
    </w:p>
    <w:bookmarkStart w:id="5" w:name="page6"/>
    <w:bookmarkEnd w:id="5"/>
    <w:p>
      <w:pPr>
        <w:ind w:left="4220"/>
        <w:spacing w:after="0"/>
        <w:tabs>
          <w:tab w:leader="none" w:pos="4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None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540" w:right="3359" w:hanging="532"/>
        <w:spacing w:after="0" w:line="235"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23,000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w:t>
      </w:r>
    </w:p>
    <w:p>
      <w:pPr>
        <w:ind w:left="5600"/>
        <w:spacing w:after="0"/>
        <w:rPr>
          <w:sz w:val="20"/>
          <w:szCs w:val="20"/>
          <w:color w:val="auto"/>
        </w:rPr>
      </w:pPr>
      <w:r>
        <w:rPr>
          <w:rFonts w:ascii="Courier New" w:cs="Courier New" w:eastAsia="Courier New" w:hAnsi="Courier New"/>
          <w:sz w:val="18"/>
          <w:szCs w:val="18"/>
          <w:color w:val="auto"/>
        </w:rPr>
        <w:t>/___/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53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53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16" w:lineRule="exact"/>
        <w:rPr>
          <w:sz w:val="20"/>
          <w:szCs w:val="20"/>
          <w:color w:val="auto"/>
        </w:rPr>
      </w:pPr>
    </w:p>
    <w:p>
      <w:pPr>
        <w:ind w:left="640"/>
        <w:spacing w:after="0"/>
        <w:tabs>
          <w:tab w:leader="none" w:pos="4720" w:val="left"/>
        </w:tabs>
        <w:rPr>
          <w:sz w:val="20"/>
          <w:szCs w:val="20"/>
          <w:color w:val="auto"/>
        </w:rPr>
      </w:pPr>
      <w:r>
        <w:rPr>
          <w:rFonts w:ascii="Courier New" w:cs="Courier New" w:eastAsia="Courier New" w:hAnsi="Courier New"/>
          <w:sz w:val="18"/>
          <w:szCs w:val="18"/>
          <w:color w:val="auto"/>
        </w:rPr>
        <w:t>Gabelli Group Capital Partners, Inc.</w:t>
      </w:r>
      <w:r>
        <w:rPr>
          <w:sz w:val="20"/>
          <w:szCs w:val="20"/>
          <w:color w:val="auto"/>
        </w:rPr>
        <w:tab/>
      </w:r>
      <w:r>
        <w:rPr>
          <w:rFonts w:ascii="Courier New" w:cs="Courier New" w:eastAsia="Courier New" w:hAnsi="Courier New"/>
          <w:sz w:val="16"/>
          <w:szCs w:val="16"/>
          <w:color w:val="auto"/>
        </w:rPr>
        <w:t>I.D. No. 13-3056041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7"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(b) /___/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None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_____</w:t>
      </w: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99" w:hanging="632"/>
        <w:spacing w:after="0" w:line="235" w:lineRule="auto"/>
        <w:tabs>
          <w:tab w:leader="none" w:pos="53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None (Item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None (Item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None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_____</w:t>
      </w:r>
    </w:p>
    <w:p>
      <w:pPr>
        <w:ind w:left="5600"/>
        <w:spacing w:after="0"/>
        <w:tabs>
          <w:tab w:leader="none" w:pos="5880" w:val="left"/>
        </w:tabs>
        <w:rPr>
          <w:sz w:val="20"/>
          <w:szCs w:val="20"/>
          <w:color w:val="auto"/>
        </w:rPr>
      </w:pPr>
      <w:r>
        <w:rPr>
          <w:rFonts w:ascii="Courier New" w:cs="Courier New" w:eastAsia="Courier New" w:hAnsi="Courier New"/>
          <w:sz w:val="18"/>
          <w:szCs w:val="18"/>
          <w:color w:val="auto"/>
        </w:rPr>
        <w:t>/</w:t>
        <w:tab/>
        <w:t>x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53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53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tab/>
        <w:t>NAMES OF REPORTING PERSONS</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16" w:lineRule="exact"/>
        <w:rPr>
          <w:sz w:val="20"/>
          <w:szCs w:val="20"/>
          <w:color w:val="auto"/>
        </w:rPr>
      </w:pPr>
    </w:p>
    <w:p>
      <w:pPr>
        <w:ind w:left="640"/>
        <w:spacing w:after="0"/>
        <w:tabs>
          <w:tab w:leader="none" w:pos="4420" w:val="left"/>
        </w:tabs>
        <w:rPr>
          <w:sz w:val="20"/>
          <w:szCs w:val="20"/>
          <w:color w:val="auto"/>
        </w:rPr>
      </w:pPr>
      <w:r>
        <w:rPr>
          <w:rFonts w:ascii="Courier New" w:cs="Courier New" w:eastAsia="Courier New" w:hAnsi="Courier New"/>
          <w:sz w:val="18"/>
          <w:szCs w:val="18"/>
          <w:color w:val="auto"/>
        </w:rPr>
        <w:t>Gabelli Asset Management Inc.</w:t>
      </w:r>
      <w:r>
        <w:rPr>
          <w:sz w:val="20"/>
          <w:szCs w:val="20"/>
          <w:color w:val="auto"/>
        </w:rPr>
        <w:tab/>
      </w:r>
      <w:r>
        <w:rPr>
          <w:rFonts w:ascii="Courier New" w:cs="Courier New" w:eastAsia="Courier New" w:hAnsi="Courier New"/>
          <w:sz w:val="16"/>
          <w:szCs w:val="16"/>
          <w:color w:val="auto"/>
        </w:rPr>
        <w:t>I.D. No. 13-4007862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sectPr>
          <w:pgSz w:w="11900" w:h="16838" w:orient="portrait"/>
          <w:cols w:equalWidth="0" w:num="1">
            <w:col w:w="10219"/>
          </w:cols>
          <w:pgMar w:left="240" w:top="136" w:right="1440" w:bottom="0" w:gutter="0" w:footer="0" w:header="0"/>
        </w:sectPr>
      </w:pPr>
    </w:p>
    <w:bookmarkStart w:id="6" w:name="page7"/>
    <w:bookmarkEnd w:id="6"/>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jc w:val="right"/>
        <w:ind w:right="3999"/>
        <w:spacing w:after="0"/>
        <w:rPr>
          <w:sz w:val="20"/>
          <w:szCs w:val="20"/>
          <w:color w:val="auto"/>
        </w:rPr>
      </w:pPr>
      <w:r>
        <w:rPr>
          <w:rFonts w:ascii="Courier New" w:cs="Courier New" w:eastAsia="Courier New" w:hAnsi="Courier New"/>
          <w:sz w:val="18"/>
          <w:szCs w:val="18"/>
          <w:color w:val="auto"/>
        </w:rPr>
        <w:t>(b) /___/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None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_____</w:t>
      </w: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640"/>
        <w:spacing w:after="0" w:line="238" w:lineRule="auto"/>
        <w:rPr>
          <w:sz w:val="20"/>
          <w:szCs w:val="20"/>
          <w:color w:val="auto"/>
        </w:rPr>
      </w:pPr>
      <w:r>
        <w:rPr>
          <w:rFonts w:ascii="Courier New" w:cs="Courier New" w:eastAsia="Courier New" w:hAnsi="Courier New"/>
          <w:sz w:val="18"/>
          <w:szCs w:val="18"/>
          <w:color w:val="auto"/>
        </w:rPr>
        <w:t>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70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 (Item 5)</w:t>
            </w:r>
          </w:p>
        </w:tc>
      </w:tr>
      <w:tr>
        <w:trPr>
          <w:trHeight w:val="203"/>
        </w:trPr>
        <w:tc>
          <w:tcPr>
            <w:tcW w:w="370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70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70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70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 (Item 5)</w:t>
            </w:r>
          </w:p>
        </w:tc>
      </w:tr>
      <w:tr>
        <w:trPr>
          <w:trHeight w:val="203"/>
        </w:trPr>
        <w:tc>
          <w:tcPr>
            <w:tcW w:w="370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70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70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70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None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w:t>
      </w:r>
    </w:p>
    <w:p>
      <w:pPr>
        <w:ind w:left="5600"/>
        <w:spacing w:after="0"/>
        <w:rPr>
          <w:sz w:val="20"/>
          <w:szCs w:val="20"/>
          <w:color w:val="auto"/>
        </w:rPr>
      </w:pPr>
      <w:r>
        <w:rPr>
          <w:rFonts w:ascii="Courier New" w:cs="Courier New" w:eastAsia="Courier New" w:hAnsi="Courier New"/>
          <w:sz w:val="18"/>
          <w:szCs w:val="18"/>
          <w:color w:val="auto"/>
        </w:rPr>
        <w:t>/_x__/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PERCENT OF CLASS REPRESENTED BY AMOUNT IN ROW 11</w:t>
      </w:r>
    </w:p>
    <w:p>
      <w:pPr>
        <w:ind w:left="640"/>
        <w:spacing w:after="0" w:line="238" w:lineRule="auto"/>
        <w:rPr>
          <w:sz w:val="20"/>
          <w:szCs w:val="20"/>
          <w:color w:val="auto"/>
        </w:rPr>
      </w:pPr>
      <w:r>
        <w:rPr>
          <w:rFonts w:ascii="Courier New" w:cs="Courier New" w:eastAsia="Courier New" w:hAnsi="Courier New"/>
          <w:sz w:val="18"/>
          <w:szCs w:val="18"/>
          <w:color w:val="auto"/>
        </w:rPr>
        <w:t>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535"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I.R.S. IDENTIFICATION NOS. OF ABOVE PERSONS (ENTITIES ONLY)</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 J. Gabelli</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7"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(b) /___/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None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w:t>
      </w: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99" w:hanging="632"/>
        <w:spacing w:after="0" w:line="235" w:lineRule="auto"/>
        <w:tabs>
          <w:tab w:leader="none" w:pos="535"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2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3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w:t>
            </w:r>
          </w:p>
        </w:tc>
      </w:tr>
    </w:tbl>
    <w:p>
      <w:pPr>
        <w:sectPr>
          <w:pgSz w:w="11900" w:h="16838" w:orient="portrait"/>
          <w:cols w:equalWidth="0" w:num="1">
            <w:col w:w="10219"/>
          </w:cols>
          <w:pgMar w:left="240" w:top="136" w:right="1440" w:bottom="0" w:gutter="0" w:footer="0" w:header="0"/>
        </w:sectPr>
      </w:pPr>
    </w:p>
    <w:bookmarkStart w:id="7" w:name="page8"/>
    <w:bookmarkEnd w:id="7"/>
    <w:p>
      <w:pPr>
        <w:spacing w:after="0" w:line="193" w:lineRule="auto"/>
        <w:framePr w:w="600" w:h="146" w:wrap="auto" w:vAnchor="page" w:hAnchor="page" w:x="5900" w:y="1560"/>
        <w:rPr>
          <w:rFonts w:ascii="Courier New" w:cs="Courier New" w:eastAsia="Courier New" w:hAnsi="Courier New"/>
          <w:sz w:val="16"/>
          <w:szCs w:val="16"/>
          <w:color w:val="auto"/>
        </w:rPr>
      </w:pPr>
      <w:r>
        <w:rPr>
          <w:rFonts w:ascii="Courier New" w:cs="Courier New" w:eastAsia="Courier New" w:hAnsi="Courier New"/>
          <w:sz w:val="16"/>
          <w:szCs w:val="16"/>
          <w:color w:val="auto"/>
        </w:rPr>
        <w:t>_____</w:t>
      </w:r>
    </w:p>
    <w:p>
      <w:pPr>
        <w:spacing w:after="0" w:line="193" w:lineRule="auto"/>
        <w:framePr w:w="180" w:h="146" w:wrap="auto" w:vAnchor="page" w:hAnchor="page" w:x="5800" w:y="1763"/>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180" w:h="146" w:wrap="auto" w:vAnchor="page" w:hAnchor="page" w:x="6320" w:y="1763"/>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220"/>
        <w:spacing w:after="0"/>
        <w:tabs>
          <w:tab w:leader="none" w:pos="4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POWER</w:t>
      </w:r>
    </w:p>
    <w:p>
      <w:pPr>
        <w:ind w:left="4220"/>
        <w:spacing w:after="0" w:line="238" w:lineRule="auto"/>
        <w:tabs>
          <w:tab w:leader="none" w:pos="4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3" w:lineRule="exact"/>
        <w:rPr>
          <w:rFonts w:ascii="Courier New" w:cs="Courier New" w:eastAsia="Courier New" w:hAnsi="Courier New"/>
          <w:sz w:val="16"/>
          <w:szCs w:val="16"/>
          <w:color w:val="auto"/>
        </w:rPr>
      </w:pPr>
    </w:p>
    <w:p>
      <w:pPr>
        <w:ind w:left="540" w:right="3359" w:hanging="532"/>
        <w:spacing w:after="0" w:line="235" w:lineRule="auto"/>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None (Item 5)</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4" w:lineRule="exact"/>
        <w:rPr>
          <w:rFonts w:ascii="Courier New" w:cs="Courier New" w:eastAsia="Courier New" w:hAnsi="Courier New"/>
          <w:sz w:val="16"/>
          <w:szCs w:val="16"/>
          <w:color w:val="auto"/>
        </w:rPr>
      </w:pPr>
    </w:p>
    <w:p>
      <w:pPr>
        <w:ind w:left="540" w:right="515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(12)</w:t>
        <w:tab/>
        <w:t>CHECK BOX IF THE AGGREGATE AMOUNT IN ROW 11 EXCLUDES CERTAIN SHARES*</w:t>
      </w:r>
    </w:p>
    <w:p>
      <w:pPr>
        <w:spacing w:after="0" w:line="203"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4" w:lineRule="exact"/>
        <w:rPr>
          <w:rFonts w:ascii="Courier New" w:cs="Courier New" w:eastAsia="Courier New" w:hAnsi="Courier New"/>
          <w:sz w:val="16"/>
          <w:szCs w:val="16"/>
          <w:color w:val="auto"/>
        </w:rPr>
      </w:pPr>
    </w:p>
    <w:p>
      <w:pPr>
        <w:ind w:left="640" w:right="4619" w:hanging="632"/>
        <w:spacing w:after="0" w:line="235" w:lineRule="auto"/>
        <w:tabs>
          <w:tab w:leader="none" w:pos="535"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0.00%</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4" w:lineRule="exact"/>
        <w:rPr>
          <w:rFonts w:ascii="Courier New" w:cs="Courier New" w:eastAsia="Courier New" w:hAnsi="Courier New"/>
          <w:sz w:val="16"/>
          <w:szCs w:val="16"/>
          <w:color w:val="auto"/>
        </w:rPr>
      </w:pPr>
    </w:p>
    <w:p>
      <w:pPr>
        <w:ind w:left="640" w:right="7059" w:hanging="632"/>
        <w:spacing w:after="0" w:line="235" w:lineRule="auto"/>
        <w:tabs>
          <w:tab w:leader="none" w:pos="535"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01" w:lineRule="exact"/>
        <w:rPr>
          <w:rFonts w:ascii="Courier New" w:cs="Courier New" w:eastAsia="Courier New" w:hAnsi="Courier New"/>
          <w:sz w:val="16"/>
          <w:szCs w:val="16"/>
          <w:color w:val="auto"/>
        </w:rPr>
      </w:pPr>
    </w:p>
    <w:p>
      <w:pPr>
        <w:jc w:val="center"/>
        <w:ind w:right="335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02"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 w:lineRule="exact"/>
        <w:rPr>
          <w:rFonts w:ascii="Courier New" w:cs="Courier New" w:eastAsia="Courier New" w:hAnsi="Courier New"/>
          <w:sz w:val="18"/>
          <w:szCs w:val="18"/>
          <w:color w:val="auto"/>
        </w:rPr>
      </w:pPr>
    </w:p>
    <w:p>
      <w:pPr>
        <w:ind w:left="540" w:right="5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Mario J. Gabelli</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rPr>
          <w:sz w:val="20"/>
          <w:szCs w:val="20"/>
          <w:color w:val="auto"/>
        </w:rPr>
      </w:pPr>
      <w:r>
        <w:rPr>
          <w:rFonts w:ascii="Courier New" w:cs="Courier New" w:eastAsia="Courier New" w:hAnsi="Courier New"/>
          <w:sz w:val="18"/>
          <w:szCs w:val="18"/>
          <w:color w:val="auto"/>
        </w:rPr>
        <w:t>____</w:t>
      </w:r>
    </w:p>
    <w:p>
      <w:pPr>
        <w:ind w:left="5280"/>
        <w:spacing w:after="0" w:line="237" w:lineRule="auto"/>
        <w:rPr>
          <w:sz w:val="20"/>
          <w:szCs w:val="20"/>
          <w:color w:val="auto"/>
        </w:rPr>
      </w:pPr>
      <w:r>
        <w:rPr>
          <w:rFonts w:ascii="Courier New" w:cs="Courier New" w:eastAsia="Courier New" w:hAnsi="Courier New"/>
          <w:sz w:val="18"/>
          <w:szCs w:val="18"/>
          <w:color w:val="auto"/>
        </w:rPr>
        <w:t>(a) /___/</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(b) /___/</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tabs>
          <w:tab w:leader="none" w:pos="5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line="238" w:lineRule="auto"/>
        <w:tabs>
          <w:tab w:leader="none" w:pos="5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(5)</w:t>
        <w:tab/>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w:t>
      </w:r>
    </w:p>
    <w:p>
      <w:pPr>
        <w:ind w:left="5600"/>
        <w:spacing w:after="0" w:line="237" w:lineRule="auto"/>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4" w:lineRule="exact"/>
        <w:rPr>
          <w:rFonts w:ascii="Courier New" w:cs="Courier New" w:eastAsia="Courier New" w:hAnsi="Courier New"/>
          <w:sz w:val="16"/>
          <w:szCs w:val="16"/>
          <w:color w:val="auto"/>
        </w:rPr>
      </w:pPr>
    </w:p>
    <w:p>
      <w:pPr>
        <w:ind w:left="640" w:right="5899" w:hanging="632"/>
        <w:spacing w:after="0" w:line="235" w:lineRule="auto"/>
        <w:tabs>
          <w:tab w:leader="none" w:pos="535"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tbl>
      <w:tblPr>
        <w:tblLayout w:type="fixed"/>
        <w:tblInd w:w="12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(7)</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38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38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5" w:lineRule="exact"/>
        <w:rPr>
          <w:rFonts w:ascii="Courier New" w:cs="Courier New" w:eastAsia="Courier New" w:hAnsi="Courier New"/>
          <w:sz w:val="16"/>
          <w:szCs w:val="16"/>
          <w:color w:val="auto"/>
        </w:rPr>
      </w:pPr>
    </w:p>
    <w:p>
      <w:pPr>
        <w:ind w:left="540" w:right="3359" w:hanging="532"/>
        <w:spacing w:after="0" w:line="235" w:lineRule="auto"/>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None (Item 5)</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_____</w:t>
      </w:r>
    </w:p>
    <w:p>
      <w:pPr>
        <w:ind w:left="5600"/>
        <w:spacing w:after="0" w:line="237" w:lineRule="auto"/>
        <w:tabs>
          <w:tab w:leader="none" w:pos="5880" w:val="left"/>
        </w:tabs>
        <w:rPr>
          <w:sz w:val="20"/>
          <w:szCs w:val="20"/>
          <w:color w:val="auto"/>
        </w:rPr>
      </w:pPr>
      <w:r>
        <w:rPr>
          <w:rFonts w:ascii="Courier New" w:cs="Courier New" w:eastAsia="Courier New" w:hAnsi="Courier New"/>
          <w:sz w:val="18"/>
          <w:szCs w:val="18"/>
          <w:color w:val="auto"/>
        </w:rPr>
        <w:t>/</w:t>
        <w:tab/>
        <w:t>x /</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rPr>
          <w:sz w:val="20"/>
          <w:szCs w:val="20"/>
          <w:color w:val="auto"/>
        </w:rPr>
      </w:pPr>
      <w:r>
        <w:rPr>
          <w:rFonts w:ascii="Courier New" w:cs="Courier New" w:eastAsia="Courier New" w:hAnsi="Courier New"/>
          <w:sz w:val="18"/>
          <w:szCs w:val="18"/>
          <w:color w:val="auto"/>
        </w:rPr>
        <w:t>(13) PERCENT OF CLASS REPRESENTED BY AMOUNT IN ROW 11</w:t>
      </w:r>
    </w:p>
    <w:p>
      <w:pPr>
        <w:ind w:left="640"/>
        <w:spacing w:after="0" w:line="237" w:lineRule="auto"/>
        <w:rPr>
          <w:sz w:val="20"/>
          <w:szCs w:val="20"/>
          <w:color w:val="auto"/>
        </w:rPr>
      </w:pPr>
      <w:r>
        <w:rPr>
          <w:rFonts w:ascii="Courier New" w:cs="Courier New" w:eastAsia="Courier New" w:hAnsi="Courier New"/>
          <w:sz w:val="18"/>
          <w:szCs w:val="18"/>
          <w:color w:val="auto"/>
        </w:rPr>
        <w:t>0.00%</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4" w:lineRule="exact"/>
        <w:rPr>
          <w:rFonts w:ascii="Courier New" w:cs="Courier New" w:eastAsia="Courier New" w:hAnsi="Courier New"/>
          <w:sz w:val="16"/>
          <w:szCs w:val="16"/>
          <w:color w:val="auto"/>
        </w:rPr>
      </w:pPr>
    </w:p>
    <w:p>
      <w:pPr>
        <w:ind w:left="640" w:right="7059" w:hanging="632"/>
        <w:spacing w:after="0" w:line="235" w:lineRule="auto"/>
        <w:tabs>
          <w:tab w:leader="none" w:pos="53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01" w:lineRule="exact"/>
        <w:rPr>
          <w:rFonts w:ascii="Courier New" w:cs="Courier New" w:eastAsia="Courier New" w:hAnsi="Courier New"/>
          <w:sz w:val="16"/>
          <w:szCs w:val="16"/>
          <w:color w:val="auto"/>
        </w:rPr>
      </w:pPr>
    </w:p>
    <w:p>
      <w:pPr>
        <w:ind w:left="1480"/>
        <w:spacing w:after="0"/>
        <w:rPr>
          <w:sz w:val="20"/>
          <w:szCs w:val="20"/>
          <w:color w:val="auto"/>
        </w:rPr>
      </w:pPr>
      <w:r>
        <w:rPr>
          <w:rFonts w:ascii="Courier New" w:cs="Courier New" w:eastAsia="Courier New" w:hAnsi="Courier New"/>
          <w:sz w:val="18"/>
          <w:szCs w:val="18"/>
          <w:color w:val="auto"/>
        </w:rPr>
        <w:t>*SEE INSTRUCTIONS BEFORE FILLING OUT!</w:t>
      </w: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5" w:lineRule="exact"/>
        <w:rPr>
          <w:rFonts w:ascii="Courier New" w:cs="Courier New" w:eastAsia="Courier New" w:hAnsi="Courier New"/>
          <w:sz w:val="16"/>
          <w:szCs w:val="16"/>
          <w:color w:val="auto"/>
        </w:rPr>
      </w:pPr>
    </w:p>
    <w:p>
      <w:pPr>
        <w:ind w:right="2619" w:firstLine="1053"/>
        <w:spacing w:after="0" w:line="237" w:lineRule="auto"/>
        <w:rPr>
          <w:sz w:val="20"/>
          <w:szCs w:val="20"/>
          <w:color w:val="auto"/>
        </w:rPr>
      </w:pPr>
      <w:r>
        <w:rPr>
          <w:rFonts w:ascii="Courier New" w:cs="Courier New" w:eastAsia="Courier New" w:hAnsi="Courier New"/>
          <w:sz w:val="18"/>
          <w:szCs w:val="18"/>
          <w:color w:val="auto"/>
        </w:rPr>
        <w:t>This Amendment No. 7 to Schedule 13D on the Common Stock of Southwest Gas Corporation (the "Issuer") is being filed on behalf of the undersigned to amend the Schedule 13D, as amended (the "Schedule 13D") which was originally filed on February 7, 1997. Unless otherwise indicated, all capitalized terms used herein but not defined herein shall have the same meaning as set forth in the Schedule 13D.</w:t>
      </w:r>
    </w:p>
    <w:p>
      <w:pPr>
        <w:sectPr>
          <w:pgSz w:w="11900" w:h="16838" w:orient="portrait"/>
          <w:cols w:equalWidth="0" w:num="1">
            <w:col w:w="10219"/>
          </w:cols>
          <w:pgMar w:left="240" w:top="136" w:right="1440" w:bottom="0" w:gutter="0" w:footer="0" w:header="0"/>
        </w:sectPr>
      </w:pPr>
    </w:p>
    <w:bookmarkStart w:id="8" w:name="page9"/>
    <w:bookmarkEnd w:id="8"/>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4" w:lineRule="exact"/>
        <w:rPr>
          <w:sz w:val="20"/>
          <w:szCs w:val="20"/>
          <w:color w:val="auto"/>
        </w:rPr>
      </w:pPr>
    </w:p>
    <w:p>
      <w:pPr>
        <w:ind w:right="2739" w:firstLine="1053"/>
        <w:spacing w:after="0" w:line="238" w:lineRule="auto"/>
        <w:rPr>
          <w:sz w:val="20"/>
          <w:szCs w:val="20"/>
          <w:color w:val="auto"/>
        </w:rPr>
      </w:pPr>
      <w:r>
        <w:rPr>
          <w:rFonts w:ascii="Courier New" w:cs="Courier New" w:eastAsia="Courier New" w:hAnsi="Courier New"/>
          <w:sz w:val="18"/>
          <w:szCs w:val="18"/>
          <w:color w:val="auto"/>
        </w:rPr>
        <w:t>This statement is being filed by Mario J. Gabelli ("Mario Gabelli"), Marc J. Gabelli ("Marc Gabelli") and various entities which either one directly or indirectly controls or for which either one acts as chief investment officer. These entities, except for Lynch Corpora-tion ("Lynch"), Spinnaker Industries, Incorporated ("Spinnaker"), Western New Mexico Telephone Company ("Western New Mexico"), Entoleter, Inc. ("Entoleter"), Lynch Telecommunications Corporation ("Lynch Telecom"), Lynch Telephone Corporation ("Lynch Telephone") and Inter-Community Telephone Company ("Inter-Community") (collectively, "Lynch and its affiliates"), engage in various aspects of the securities business, primarily as investment adviser to various institutional and individual clients, including registered investment companies and pension plans, as broker/dealer and as general partner of various private investment partnerships. Certain of these entities may also make investments for their own accounts.</w:t>
      </w:r>
    </w:p>
    <w:p>
      <w:pPr>
        <w:spacing w:after="0" w:line="6" w:lineRule="exact"/>
        <w:rPr>
          <w:sz w:val="20"/>
          <w:szCs w:val="20"/>
          <w:color w:val="auto"/>
        </w:rPr>
      </w:pPr>
    </w:p>
    <w:p>
      <w:pPr>
        <w:ind w:right="2619" w:firstLine="1053"/>
        <w:spacing w:after="0" w:line="238" w:lineRule="auto"/>
        <w:rPr>
          <w:sz w:val="20"/>
          <w:szCs w:val="20"/>
          <w:color w:val="auto"/>
        </w:rPr>
      </w:pPr>
      <w:r>
        <w:rPr>
          <w:rFonts w:ascii="Courier New" w:cs="Courier New" w:eastAsia="Courier New" w:hAnsi="Courier New"/>
          <w:sz w:val="18"/>
          <w:szCs w:val="18"/>
          <w:color w:val="auto"/>
        </w:rPr>
        <w:t>The foregoing persons in the aggregate often own beneficially more than 5% of a class of equity securities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6" w:lineRule="exact"/>
        <w:rPr>
          <w:sz w:val="20"/>
          <w:szCs w:val="20"/>
          <w:color w:val="auto"/>
        </w:rPr>
      </w:pPr>
    </w:p>
    <w:p>
      <w:pPr>
        <w:ind w:right="3039" w:firstLine="1053"/>
        <w:spacing w:after="0" w:line="236" w:lineRule="auto"/>
        <w:rPr>
          <w:sz w:val="20"/>
          <w:szCs w:val="20"/>
          <w:color w:val="auto"/>
        </w:rPr>
      </w:pPr>
      <w:r>
        <w:rPr>
          <w:rFonts w:ascii="Courier New" w:cs="Courier New" w:eastAsia="Courier New" w:hAnsi="Courier New"/>
          <w:sz w:val="18"/>
          <w:szCs w:val="18"/>
          <w:color w:val="auto"/>
        </w:rPr>
        <w:t>(a), (b) and (c) - This statement is being filed by one or more of the following persons: Gabelli Group Capital Partners, Inc. ("Gabelli Partners"), Gabelli Asset Management Inc.</w:t>
      </w:r>
    </w:p>
    <w:p>
      <w:pPr>
        <w:spacing w:after="0" w:line="6" w:lineRule="exact"/>
        <w:rPr>
          <w:sz w:val="20"/>
          <w:szCs w:val="20"/>
          <w:color w:val="auto"/>
        </w:rPr>
      </w:pPr>
    </w:p>
    <w:p>
      <w:pPr>
        <w:ind w:right="2619"/>
        <w:spacing w:after="0" w:line="238" w:lineRule="auto"/>
        <w:rPr>
          <w:sz w:val="20"/>
          <w:szCs w:val="20"/>
          <w:color w:val="auto"/>
        </w:rPr>
      </w:pPr>
      <w:r>
        <w:rPr>
          <w:rFonts w:ascii="Courier New" w:cs="Courier New" w:eastAsia="Courier New" w:hAnsi="Courier New"/>
          <w:sz w:val="18"/>
          <w:szCs w:val="18"/>
          <w:color w:val="auto"/>
        </w:rPr>
        <w:t>("GAMI") , Gabelli Funds, LLC ("Gabelli Funds"), GAMCO Investors, Inc. ("GAMCO"), Gabelli Securities, Inc. ("GSI"), Gabelli &amp; Company, Inc. ("Gabelli &amp; Company"), Gabelli Performance Partnership L.P. ("GPP"), GLI, Inc. ("GLI"), Gabelli Associates Fund ("Gabelli Associates"), Gabelli Associates Limited ("GAL"), Gabelli &amp; Company, Inc. Profit Sharing Plan (the "Plan"), Gabelli International Limited ("GIL"), Gabelli International II Limited ("GIL II"), Gabelli International Gold Fund Limited ("GIGFL"), ALCE Partners, L.P. ("ALCE"), Gabelli Multimedia Partners, L.P. ("Multimedia Partners"), MJG Associates, Inc. ("MJG Assocciates"), Gemini Capital Management Ltd. ("Gemini"), Gabelli Fund, LDC ("LDC"), Gabelli Foundation, Inc. ("Foundation"), Gabelli Global Partners, Ltd. ("GGP Ltd."), Gabelli Global Partners, L.P. ("GGP L.P."), Mario Gabelli, Marc Gabelli, Lynch, Spinnaker, Western New Mexico, Entoleter, Lynch Telecom, Lynch Telephone and Inter-Community. Those of the foregoing persons signing this Schedule 13D are hereafter referred to as the "Reporting Persons".</w:t>
      </w:r>
    </w:p>
    <w:p>
      <w:pPr>
        <w:spacing w:after="0" w:line="6" w:lineRule="exact"/>
        <w:rPr>
          <w:sz w:val="20"/>
          <w:szCs w:val="20"/>
          <w:color w:val="auto"/>
        </w:rPr>
      </w:pPr>
    </w:p>
    <w:p>
      <w:pPr>
        <w:ind w:right="2739" w:firstLine="1053"/>
        <w:spacing w:after="0" w:line="268" w:lineRule="auto"/>
        <w:rPr>
          <w:sz w:val="20"/>
          <w:szCs w:val="20"/>
          <w:color w:val="auto"/>
        </w:rPr>
      </w:pPr>
      <w:r>
        <w:rPr>
          <w:rFonts w:ascii="Courier New" w:cs="Courier New" w:eastAsia="Courier New" w:hAnsi="Courier New"/>
          <w:sz w:val="16"/>
          <w:szCs w:val="16"/>
          <w:color w:val="auto"/>
        </w:rPr>
        <w:t>Gabelli Partners makes investments for its own account and is the parent company of GAMI. GAMI, a public company listed on the New York Stock Exchange, is the parent company for a variety of companies engaged in the securities business, each of which is named below.</w:t>
      </w:r>
    </w:p>
    <w:p>
      <w:pPr>
        <w:spacing w:after="0" w:line="1" w:lineRule="exact"/>
        <w:rPr>
          <w:sz w:val="20"/>
          <w:szCs w:val="20"/>
          <w:color w:val="auto"/>
        </w:rPr>
      </w:pPr>
    </w:p>
    <w:p>
      <w:pPr>
        <w:ind w:right="2619" w:firstLine="1053"/>
        <w:spacing w:after="0" w:line="237" w:lineRule="auto"/>
        <w:rPr>
          <w:sz w:val="20"/>
          <w:szCs w:val="20"/>
          <w:color w:val="auto"/>
        </w:rPr>
      </w:pPr>
      <w:r>
        <w:rPr>
          <w:rFonts w:ascii="Courier New" w:cs="Courier New" w:eastAsia="Courier New" w:hAnsi="Courier New"/>
          <w:sz w:val="18"/>
          <w:szCs w:val="18"/>
          <w:color w:val="auto"/>
        </w:rPr>
        <w:t>GAMCO, a wholly-owned subsidiary of GAMI,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6" w:lineRule="exact"/>
        <w:rPr>
          <w:sz w:val="20"/>
          <w:szCs w:val="20"/>
          <w:color w:val="auto"/>
        </w:rPr>
      </w:pPr>
    </w:p>
    <w:p>
      <w:pPr>
        <w:ind w:right="2619" w:firstLine="1053"/>
        <w:spacing w:after="0" w:line="237" w:lineRule="auto"/>
        <w:rPr>
          <w:sz w:val="20"/>
          <w:szCs w:val="20"/>
          <w:color w:val="auto"/>
        </w:rPr>
      </w:pPr>
      <w:r>
        <w:rPr>
          <w:rFonts w:ascii="Courier New" w:cs="Courier New" w:eastAsia="Courier New" w:hAnsi="Courier New"/>
          <w:sz w:val="18"/>
          <w:szCs w:val="18"/>
          <w:color w:val="auto"/>
        </w:rPr>
        <w:t>GSI, a majority-owned subsidiary of GAMI, acts as a general partner or investment manager to limited partnerships and offshore investment companies and as a part of its business regularly purchases and sells securities for its own account. It is the immediate parent of Gabelli &amp; Company.</w:t>
      </w:r>
    </w:p>
    <w:p>
      <w:pPr>
        <w:spacing w:after="0" w:line="6"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Gabelli &amp; Company, a wholly-owned subsidiary of GSI, is a broker-dealer registered under the Securities Exchange Act of 1934, as amended ("l934 Act"), which as a part of its business regularly purchases and sells securities for its own account.</w:t>
      </w:r>
    </w:p>
    <w:p>
      <w:pPr>
        <w:spacing w:after="0" w:line="5" w:lineRule="exact"/>
        <w:rPr>
          <w:sz w:val="20"/>
          <w:szCs w:val="20"/>
          <w:color w:val="auto"/>
        </w:rPr>
      </w:pPr>
    </w:p>
    <w:p>
      <w:pPr>
        <w:ind w:right="2939" w:firstLine="1053"/>
        <w:spacing w:after="0" w:line="235" w:lineRule="auto"/>
        <w:rPr>
          <w:sz w:val="20"/>
          <w:szCs w:val="20"/>
          <w:color w:val="auto"/>
        </w:rPr>
      </w:pPr>
      <w:r>
        <w:rPr>
          <w:rFonts w:ascii="Courier New" w:cs="Courier New" w:eastAsia="Courier New" w:hAnsi="Courier New"/>
          <w:sz w:val="18"/>
          <w:szCs w:val="18"/>
          <w:color w:val="auto"/>
        </w:rPr>
        <w:t>GLI, wholly-owned subsidiary of GSI, is a corporation which currently has no active operations.</w:t>
      </w:r>
    </w:p>
    <w:p>
      <w:pPr>
        <w:spacing w:after="0" w:line="6" w:lineRule="exact"/>
        <w:rPr>
          <w:sz w:val="20"/>
          <w:szCs w:val="20"/>
          <w:color w:val="auto"/>
        </w:rPr>
      </w:pPr>
    </w:p>
    <w:p>
      <w:pPr>
        <w:ind w:right="2839" w:firstLine="1053"/>
        <w:spacing w:after="0" w:line="236" w:lineRule="auto"/>
        <w:rPr>
          <w:sz w:val="20"/>
          <w:szCs w:val="20"/>
          <w:color w:val="auto"/>
        </w:rPr>
      </w:pPr>
      <w:r>
        <w:rPr>
          <w:rFonts w:ascii="Courier New" w:cs="Courier New" w:eastAsia="Courier New" w:hAnsi="Courier New"/>
          <w:sz w:val="18"/>
          <w:szCs w:val="18"/>
          <w:color w:val="auto"/>
        </w:rPr>
        <w:t>Gabelli Associates is a New York limited partnership whose primary business purpose is risk arbitrage investments. GSI and Mario Gabelli are the general partners of Gabelli Associates.</w:t>
      </w:r>
    </w:p>
    <w:p>
      <w:pPr>
        <w:spacing w:after="0" w:line="6" w:lineRule="exact"/>
        <w:rPr>
          <w:sz w:val="20"/>
          <w:szCs w:val="20"/>
          <w:color w:val="auto"/>
        </w:rPr>
      </w:pPr>
    </w:p>
    <w:p>
      <w:pPr>
        <w:ind w:right="2739" w:firstLine="1053"/>
        <w:spacing w:after="0" w:line="237" w:lineRule="auto"/>
        <w:rPr>
          <w:sz w:val="20"/>
          <w:szCs w:val="20"/>
          <w:color w:val="auto"/>
        </w:rPr>
      </w:pPr>
      <w:r>
        <w:rPr>
          <w:rFonts w:ascii="Courier New" w:cs="Courier New" w:eastAsia="Courier New" w:hAnsi="Courier New"/>
          <w:sz w:val="18"/>
          <w:szCs w:val="18"/>
          <w:color w:val="auto"/>
        </w:rPr>
        <w:t>GAL is a corporation whose primary business purpose is risk arbitrage investments. Shares of GAL's common stock are offered to persons who are neither citizens nor residents of the United States and may be offered to a limited number of U.S. investors. GSI is the investment manager of GAL.</w:t>
      </w:r>
    </w:p>
    <w:p>
      <w:pPr>
        <w:spacing w:after="0" w:line="6" w:lineRule="exact"/>
        <w:rPr>
          <w:sz w:val="20"/>
          <w:szCs w:val="20"/>
          <w:color w:val="auto"/>
        </w:rPr>
      </w:pPr>
    </w:p>
    <w:p>
      <w:pPr>
        <w:ind w:right="2619" w:firstLine="1053"/>
        <w:spacing w:after="0" w:line="279" w:lineRule="auto"/>
        <w:rPr>
          <w:sz w:val="20"/>
          <w:szCs w:val="20"/>
          <w:color w:val="auto"/>
        </w:rPr>
      </w:pPr>
      <w:r>
        <w:rPr>
          <w:rFonts w:ascii="Courier New" w:cs="Courier New" w:eastAsia="Courier New" w:hAnsi="Courier New"/>
          <w:sz w:val="16"/>
          <w:szCs w:val="16"/>
          <w:color w:val="auto"/>
        </w:rPr>
        <w:t>Gabelli Funds, a wholly-owned subsidiary of GAMI, is a limited liability company. Gabelli Funds is an investment adviser registered under the Advisers Act which presently provides discretionary advisory</w:t>
      </w:r>
    </w:p>
    <w:p>
      <w:pPr>
        <w:sectPr>
          <w:pgSz w:w="11900" w:h="16838" w:orient="portrait"/>
          <w:cols w:equalWidth="0" w:num="1">
            <w:col w:w="10219"/>
          </w:cols>
          <w:pgMar w:left="240" w:top="136" w:right="1440" w:bottom="0" w:gutter="0" w:footer="0" w:header="0"/>
        </w:sectPr>
      </w:pPr>
    </w:p>
    <w:bookmarkStart w:id="9" w:name="page10"/>
    <w:bookmarkEnd w:id="9"/>
    <w:p>
      <w:pPr>
        <w:ind w:right="2619"/>
        <w:spacing w:after="0" w:line="237" w:lineRule="auto"/>
        <w:rPr>
          <w:sz w:val="20"/>
          <w:szCs w:val="20"/>
          <w:color w:val="auto"/>
        </w:rPr>
      </w:pPr>
      <w:r>
        <w:rPr>
          <w:rFonts w:ascii="Courier New" w:cs="Courier New" w:eastAsia="Courier New" w:hAnsi="Courier New"/>
          <w:sz w:val="18"/>
          <w:szCs w:val="18"/>
          <w:color w:val="auto"/>
        </w:rPr>
        <w:t>services to The Gabelli Equity Trust Inc., The Gabelli Asset Fund, The Gabelli Growth Fund, The Gabelli Convertible Securities Fund, Inc., The Gabelli Value Fund Inc., The Gabelli Small Cap Growth Fund, The Gabelli Equity Income Fund, The Gabelli ABC Fund, The Gabelli Global Telecommu-nications Fund, Gabelli Gold Fund, Inc., The Gabelli Global Multimedia Trust Inc., The Gabelli Global Convertible Securities Fund, Gabelli Capital Asset Fund, Gabelli International Growth Fund, Inc., The Gabelli Global Interactive Couch Potato Fund and The Gabelli Global Opportunity Fund (collectively, the "Funds"), which are registered investment companies.</w:t>
      </w:r>
    </w:p>
    <w:p>
      <w:pPr>
        <w:spacing w:after="0" w:line="12" w:lineRule="exact"/>
        <w:rPr>
          <w:sz w:val="20"/>
          <w:szCs w:val="20"/>
          <w:color w:val="auto"/>
        </w:rPr>
      </w:pPr>
    </w:p>
    <w:p>
      <w:pPr>
        <w:ind w:right="2839" w:firstLine="1053"/>
        <w:spacing w:after="0" w:line="236" w:lineRule="auto"/>
        <w:rPr>
          <w:sz w:val="20"/>
          <w:szCs w:val="20"/>
          <w:color w:val="auto"/>
        </w:rPr>
      </w:pPr>
      <w:r>
        <w:rPr>
          <w:rFonts w:ascii="Courier New" w:cs="Courier New" w:eastAsia="Courier New" w:hAnsi="Courier New"/>
          <w:sz w:val="18"/>
          <w:szCs w:val="18"/>
          <w:color w:val="auto"/>
        </w:rPr>
        <w:t>Gabelli Advisers, Inc. ("Gabelli Advisers"), a subsidiary of GAMI, is an investment adviser which provides discretionary advisory services to The Gabelli Westwood Mighty Mitessm Fund.</w:t>
      </w:r>
    </w:p>
    <w:p>
      <w:pPr>
        <w:spacing w:after="0" w:line="6" w:lineRule="exact"/>
        <w:rPr>
          <w:sz w:val="20"/>
          <w:szCs w:val="20"/>
          <w:color w:val="auto"/>
        </w:rPr>
      </w:pPr>
    </w:p>
    <w:p>
      <w:pPr>
        <w:ind w:right="3039" w:firstLine="1053"/>
        <w:spacing w:after="0" w:line="235" w:lineRule="auto"/>
        <w:rPr>
          <w:sz w:val="20"/>
          <w:szCs w:val="20"/>
          <w:color w:val="auto"/>
        </w:rPr>
      </w:pPr>
      <w:r>
        <w:rPr>
          <w:rFonts w:ascii="Courier New" w:cs="Courier New" w:eastAsia="Courier New" w:hAnsi="Courier New"/>
          <w:sz w:val="18"/>
          <w:szCs w:val="18"/>
          <w:color w:val="auto"/>
        </w:rPr>
        <w:t>The Plan, a qualified employee profit sharing plan, covers substantially all employees of GAMI and its affiliates.</w:t>
      </w:r>
    </w:p>
    <w:p>
      <w:pPr>
        <w:spacing w:after="0" w:line="6" w:lineRule="exact"/>
        <w:rPr>
          <w:sz w:val="20"/>
          <w:szCs w:val="20"/>
          <w:color w:val="auto"/>
        </w:rPr>
      </w:pPr>
    </w:p>
    <w:p>
      <w:pPr>
        <w:ind w:right="2619" w:firstLine="1053"/>
        <w:spacing w:after="0" w:line="236" w:lineRule="auto"/>
        <w:rPr>
          <w:sz w:val="20"/>
          <w:szCs w:val="20"/>
          <w:color w:val="auto"/>
        </w:rPr>
      </w:pPr>
      <w:r>
        <w:rPr>
          <w:rFonts w:ascii="Courier New" w:cs="Courier New" w:eastAsia="Courier New" w:hAnsi="Courier New"/>
          <w:sz w:val="18"/>
          <w:szCs w:val="18"/>
          <w:color w:val="auto"/>
        </w:rPr>
        <w:t>GPP is a limited partnership whose primary business purpose is investing in securities. MJG Associates is the general partner of GPP, and Mario Gabelli is a portfolio manager for GPP.</w:t>
      </w:r>
    </w:p>
    <w:p>
      <w:pPr>
        <w:spacing w:after="0" w:line="6" w:lineRule="exact"/>
        <w:rPr>
          <w:sz w:val="20"/>
          <w:szCs w:val="20"/>
          <w:color w:val="auto"/>
        </w:rPr>
      </w:pPr>
    </w:p>
    <w:p>
      <w:pPr>
        <w:ind w:right="2619" w:firstLine="1053"/>
        <w:spacing w:after="0" w:line="237" w:lineRule="auto"/>
        <w:rPr>
          <w:sz w:val="20"/>
          <w:szCs w:val="20"/>
          <w:color w:val="auto"/>
        </w:rPr>
      </w:pPr>
      <w:r>
        <w:rPr>
          <w:rFonts w:ascii="Courier New" w:cs="Courier New" w:eastAsia="Courier New" w:hAnsi="Courier New"/>
          <w:sz w:val="18"/>
          <w:szCs w:val="18"/>
          <w:color w:val="auto"/>
        </w:rPr>
        <w:t>GIL is a corporation whose primary business purpose is investing in a portfolio of equity securities and securities convertible into, or exchangeable for, equity securities in order to achieve its in-vestment objective of significant long-term growth of capital. Shares of GIL's common stock are offered to persons who are neither citizens nor residents of the United States and may be offered to a limited number of U.S. investors. MJG Associates is the Investment Manager of GIL. Mario Gabelli is a portfolio manager for GIL and Chairman of the Board of Directors of GIL.</w:t>
      </w:r>
    </w:p>
    <w:p>
      <w:pPr>
        <w:spacing w:after="0" w:line="11" w:lineRule="exact"/>
        <w:rPr>
          <w:sz w:val="20"/>
          <w:szCs w:val="20"/>
          <w:color w:val="auto"/>
        </w:rPr>
      </w:pPr>
    </w:p>
    <w:p>
      <w:pPr>
        <w:ind w:right="2619" w:firstLine="1053"/>
        <w:spacing w:after="0" w:line="268" w:lineRule="auto"/>
        <w:rPr>
          <w:sz w:val="20"/>
          <w:szCs w:val="20"/>
          <w:color w:val="auto"/>
        </w:rPr>
      </w:pPr>
      <w:r>
        <w:rPr>
          <w:rFonts w:ascii="Courier New" w:cs="Courier New" w:eastAsia="Courier New" w:hAnsi="Courier New"/>
          <w:sz w:val="16"/>
          <w:szCs w:val="16"/>
          <w:color w:val="auto"/>
        </w:rPr>
        <w:t>GIL II is a corporation whose business purpose is investing primarily in a portfolio of equity securities and securities convertible into, or exchangeable for, equity securities in order to achieve its in-vestment objective of significant long-term growth of capital. Shares of GIL II's common stock are offered to persons who are neither citizens nor residents of the United States and may be offered to a limited number of U.S. investors. MJG Associates is the Investment Manager of</w:t>
      </w:r>
    </w:p>
    <w:p>
      <w:pPr>
        <w:spacing w:after="0" w:line="234" w:lineRule="auto"/>
        <w:rPr>
          <w:sz w:val="20"/>
          <w:szCs w:val="20"/>
          <w:color w:val="auto"/>
        </w:rPr>
      </w:pPr>
      <w:r>
        <w:rPr>
          <w:rFonts w:ascii="Courier New" w:cs="Courier New" w:eastAsia="Courier New" w:hAnsi="Courier New"/>
          <w:sz w:val="18"/>
          <w:szCs w:val="18"/>
          <w:color w:val="auto"/>
        </w:rPr>
        <w:t>GIL II.</w:t>
      </w:r>
    </w:p>
    <w:p>
      <w:pPr>
        <w:spacing w:after="0" w:line="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Mario Gabelli is a portfolio manager and Chairman of the Board of Directors of GIL II.</w:t>
      </w:r>
    </w:p>
    <w:p>
      <w:pPr>
        <w:spacing w:after="0" w:line="6" w:lineRule="exact"/>
        <w:rPr>
          <w:sz w:val="20"/>
          <w:szCs w:val="20"/>
          <w:color w:val="auto"/>
        </w:rPr>
      </w:pPr>
    </w:p>
    <w:p>
      <w:pPr>
        <w:ind w:right="2619" w:firstLine="737"/>
        <w:spacing w:after="0" w:line="236" w:lineRule="auto"/>
        <w:rPr>
          <w:sz w:val="20"/>
          <w:szCs w:val="20"/>
          <w:color w:val="auto"/>
        </w:rPr>
      </w:pPr>
      <w:r>
        <w:rPr>
          <w:rFonts w:ascii="Courier New" w:cs="Courier New" w:eastAsia="Courier New" w:hAnsi="Courier New"/>
          <w:sz w:val="18"/>
          <w:szCs w:val="18"/>
          <w:color w:val="auto"/>
        </w:rPr>
        <w:t>ALCE is an investment limited partnership that seeks long-term capital appreciation primarily through investments in public and private equity securities. GSI is a general partner of ALCE.</w:t>
      </w:r>
    </w:p>
    <w:p>
      <w:pPr>
        <w:spacing w:after="0" w:line="6" w:lineRule="exact"/>
        <w:rPr>
          <w:sz w:val="20"/>
          <w:szCs w:val="20"/>
          <w:color w:val="auto"/>
        </w:rPr>
      </w:pPr>
    </w:p>
    <w:p>
      <w:pPr>
        <w:ind w:right="2939" w:firstLine="737"/>
        <w:spacing w:after="0" w:line="237" w:lineRule="auto"/>
        <w:rPr>
          <w:sz w:val="20"/>
          <w:szCs w:val="20"/>
          <w:color w:val="auto"/>
        </w:rPr>
      </w:pPr>
      <w:r>
        <w:rPr>
          <w:rFonts w:ascii="Courier New" w:cs="Courier New" w:eastAsia="Courier New" w:hAnsi="Courier New"/>
          <w:sz w:val="18"/>
          <w:szCs w:val="18"/>
          <w:color w:val="auto"/>
        </w:rPr>
        <w:t>Multimedia Partners is an investment limited partnership whose objective is to provide long-term capital appreciation by investing primarily in public and private multimedia communications companies. GSI is a general partner of Multimedia Partners.</w:t>
      </w:r>
    </w:p>
    <w:p>
      <w:pPr>
        <w:spacing w:after="0" w:line="5" w:lineRule="exact"/>
        <w:rPr>
          <w:sz w:val="20"/>
          <w:szCs w:val="20"/>
          <w:color w:val="auto"/>
        </w:rPr>
      </w:pPr>
    </w:p>
    <w:p>
      <w:pPr>
        <w:ind w:right="2619" w:firstLine="737"/>
        <w:spacing w:after="0" w:line="237" w:lineRule="auto"/>
        <w:rPr>
          <w:sz w:val="20"/>
          <w:szCs w:val="20"/>
          <w:color w:val="auto"/>
        </w:rPr>
      </w:pPr>
      <w:r>
        <w:rPr>
          <w:rFonts w:ascii="Courier New" w:cs="Courier New" w:eastAsia="Courier New" w:hAnsi="Courier New"/>
          <w:sz w:val="18"/>
          <w:szCs w:val="18"/>
          <w:color w:val="auto"/>
        </w:rPr>
        <w:t>GGP L.P. is a partnership whose primary business purpose is investing in Securities on a global basis. Gabelli Securities, Inc. and Gemini Capital Management, LLC are the general partners of GGP L.P. and Marc Gabelli is a portfolio manager for GGP L.P.</w:t>
      </w:r>
    </w:p>
    <w:p>
      <w:pPr>
        <w:spacing w:after="0" w:line="5" w:lineRule="exact"/>
        <w:rPr>
          <w:sz w:val="20"/>
          <w:szCs w:val="20"/>
          <w:color w:val="auto"/>
        </w:rPr>
      </w:pPr>
    </w:p>
    <w:p>
      <w:pPr>
        <w:ind w:right="3259" w:firstLine="737"/>
        <w:spacing w:after="0" w:line="237" w:lineRule="auto"/>
        <w:rPr>
          <w:sz w:val="20"/>
          <w:szCs w:val="20"/>
          <w:color w:val="auto"/>
        </w:rPr>
      </w:pPr>
      <w:r>
        <w:rPr>
          <w:rFonts w:ascii="Courier New" w:cs="Courier New" w:eastAsia="Courier New" w:hAnsi="Courier New"/>
          <w:sz w:val="18"/>
          <w:szCs w:val="18"/>
          <w:color w:val="auto"/>
        </w:rPr>
        <w:t>GGP Ltd. is a corporation whose primary business purpose is investing in Securities on a global basis. Gabelli Securities, International Limited and Gemini Capital Management, LLC are the investment advisors of GGP Ltd. and Marc Gabelli is the portfolio manager for GGP Ltd.</w:t>
      </w:r>
    </w:p>
    <w:p>
      <w:pPr>
        <w:spacing w:after="0" w:line="6" w:lineRule="exact"/>
        <w:rPr>
          <w:sz w:val="20"/>
          <w:szCs w:val="20"/>
          <w:color w:val="auto"/>
        </w:rPr>
      </w:pPr>
    </w:p>
    <w:p>
      <w:pPr>
        <w:ind w:right="2619" w:firstLine="737"/>
        <w:spacing w:after="0" w:line="237" w:lineRule="auto"/>
        <w:rPr>
          <w:sz w:val="20"/>
          <w:szCs w:val="20"/>
          <w:color w:val="auto"/>
        </w:rPr>
      </w:pPr>
      <w:r>
        <w:rPr>
          <w:rFonts w:ascii="Courier New" w:cs="Courier New" w:eastAsia="Courier New" w:hAnsi="Courier New"/>
          <w:sz w:val="18"/>
          <w:szCs w:val="18"/>
          <w:color w:val="auto"/>
        </w:rPr>
        <w:t>LDC is a corporation whose business purpose is investing primarily in a portfolio of equity securities and securities convertible into, or exchangeable for, equity securities in order to achieve its investment objective of significant long-term growth of capital. Interests are offered to insurance companies which do not conduct any business in the United States and which are licensed where they do business. MJG Associates is the Investment Manager of LDC. Mario Gabelli is a portfolio manager for LDC.</w:t>
      </w:r>
    </w:p>
    <w:p>
      <w:pPr>
        <w:spacing w:after="0" w:line="10" w:lineRule="exact"/>
        <w:rPr>
          <w:sz w:val="20"/>
          <w:szCs w:val="20"/>
          <w:color w:val="auto"/>
        </w:rPr>
      </w:pPr>
    </w:p>
    <w:p>
      <w:pPr>
        <w:ind w:right="2739" w:firstLine="737"/>
        <w:spacing w:after="0" w:line="236" w:lineRule="auto"/>
        <w:rPr>
          <w:sz w:val="20"/>
          <w:szCs w:val="20"/>
          <w:color w:val="auto"/>
        </w:rPr>
      </w:pPr>
      <w:r>
        <w:rPr>
          <w:rFonts w:ascii="Courier New" w:cs="Courier New" w:eastAsia="Courier New" w:hAnsi="Courier New"/>
          <w:sz w:val="18"/>
          <w:szCs w:val="18"/>
          <w:color w:val="auto"/>
        </w:rPr>
        <w:t>MJG Associates provides advisory services to private investment partnerships and offshore funds. Mario Gabelli is the sole sharehold-er, director and employee of MJG Associates.</w:t>
      </w:r>
    </w:p>
    <w:p>
      <w:pPr>
        <w:spacing w:after="0" w:line="6" w:lineRule="exact"/>
        <w:rPr>
          <w:sz w:val="20"/>
          <w:szCs w:val="20"/>
          <w:color w:val="auto"/>
        </w:rPr>
      </w:pPr>
    </w:p>
    <w:p>
      <w:pPr>
        <w:ind w:right="3159" w:firstLine="737"/>
        <w:spacing w:after="0" w:line="236" w:lineRule="auto"/>
        <w:rPr>
          <w:sz w:val="20"/>
          <w:szCs w:val="20"/>
          <w:color w:val="auto"/>
        </w:rPr>
      </w:pPr>
      <w:r>
        <w:rPr>
          <w:rFonts w:ascii="Courier New" w:cs="Courier New" w:eastAsia="Courier New" w:hAnsi="Courier New"/>
          <w:sz w:val="18"/>
          <w:szCs w:val="18"/>
          <w:color w:val="auto"/>
        </w:rPr>
        <w:t>Gemini is a corporation whose primary business purpose is to provide advisory services to offshore funds. Marc Gabelli is the President and Chief Investment Officer of Gemini.</w:t>
      </w:r>
    </w:p>
    <w:p>
      <w:pPr>
        <w:spacing w:after="0" w:line="6" w:lineRule="exact"/>
        <w:rPr>
          <w:sz w:val="20"/>
          <w:szCs w:val="20"/>
          <w:color w:val="auto"/>
        </w:rPr>
      </w:pPr>
    </w:p>
    <w:p>
      <w:pPr>
        <w:ind w:right="3159" w:firstLine="737"/>
        <w:spacing w:after="0" w:line="268" w:lineRule="auto"/>
        <w:rPr>
          <w:sz w:val="20"/>
          <w:szCs w:val="20"/>
          <w:color w:val="auto"/>
        </w:rPr>
      </w:pPr>
      <w:r>
        <w:rPr>
          <w:rFonts w:ascii="Courier New" w:cs="Courier New" w:eastAsia="Courier New" w:hAnsi="Courier New"/>
          <w:sz w:val="16"/>
          <w:szCs w:val="16"/>
          <w:color w:val="auto"/>
        </w:rPr>
        <w:t>The Foundation is a private foundation. Mario Gabelli is the President, a Trustee and the Investment Manager of the Foundation.</w:t>
      </w:r>
    </w:p>
    <w:p>
      <w:pPr>
        <w:ind w:right="2619" w:firstLine="737"/>
        <w:spacing w:after="0" w:line="270" w:lineRule="auto"/>
        <w:rPr>
          <w:sz w:val="20"/>
          <w:szCs w:val="20"/>
          <w:color w:val="auto"/>
        </w:rPr>
      </w:pPr>
      <w:r>
        <w:rPr>
          <w:rFonts w:ascii="Courier New" w:cs="Courier New" w:eastAsia="Courier New" w:hAnsi="Courier New"/>
          <w:sz w:val="16"/>
          <w:szCs w:val="16"/>
          <w:color w:val="auto"/>
        </w:rPr>
        <w:t>Lynch is a diversified public company traded on the American Stock Exchange. Its subsidiaries are engaged in communications, services, and manufactured products. Spinnaker, a subsidiary of Lynch, is also a public company and its stock is traded on the NASDAQ National Market. Spinnaker is a diversified manufacturing firm with major subsidiaries in specialty adhesive-backed materials business. Another of Lynch's subsidiaries, Western New Mexico, provides telephone services in a service area in Southwestern New Mexico. Inter-Community, which is also a subsidiary of Lynch, provides local telephone services in an area 40 miles west of Fargo, North Dakota. Lynch and Spinnaker actively pursue new business ventures and acquisitions. Lynch and its affiliates make investments in marketable securities to preserve capital and</w:t>
      </w:r>
    </w:p>
    <w:p>
      <w:pPr>
        <w:sectPr>
          <w:pgSz w:w="11900" w:h="16838" w:orient="portrait"/>
          <w:cols w:equalWidth="0" w:num="1">
            <w:col w:w="10219"/>
          </w:cols>
          <w:pgMar w:left="240" w:top="142" w:right="1440" w:bottom="0" w:gutter="0" w:footer="0" w:header="0"/>
        </w:sectPr>
      </w:pPr>
    </w:p>
    <w:bookmarkStart w:id="10" w:name="page11"/>
    <w:bookmarkEnd w:id="10"/>
    <w:p>
      <w:pPr>
        <w:ind w:right="2619"/>
        <w:spacing w:after="0" w:line="237" w:lineRule="auto"/>
        <w:rPr>
          <w:sz w:val="20"/>
          <w:szCs w:val="20"/>
          <w:color w:val="auto"/>
        </w:rPr>
      </w:pPr>
      <w:r>
        <w:rPr>
          <w:rFonts w:ascii="Courier New" w:cs="Courier New" w:eastAsia="Courier New" w:hAnsi="Courier New"/>
          <w:sz w:val="18"/>
          <w:szCs w:val="18"/>
          <w:color w:val="auto"/>
        </w:rPr>
        <w:t>maintain liquidity for financing their business activities and acquisi-tions (not in the case of Western New Mexico) and are not engaged in the business of investing, reinvesting, or trading in securities. Mario Gabelli is Chairman of Lynch and beneficially owns approximately 23% of the shares of common stock of Lynch.</w:t>
      </w:r>
    </w:p>
    <w:p>
      <w:pPr>
        <w:spacing w:after="0" w:line="6" w:lineRule="exact"/>
        <w:rPr>
          <w:sz w:val="20"/>
          <w:szCs w:val="20"/>
          <w:color w:val="auto"/>
        </w:rPr>
      </w:pPr>
    </w:p>
    <w:p>
      <w:pPr>
        <w:ind w:right="2619" w:firstLine="1053"/>
        <w:spacing w:after="0" w:line="237" w:lineRule="auto"/>
        <w:rPr>
          <w:sz w:val="20"/>
          <w:szCs w:val="20"/>
          <w:color w:val="auto"/>
        </w:rPr>
      </w:pPr>
      <w:r>
        <w:rPr>
          <w:rFonts w:ascii="Courier New" w:cs="Courier New" w:eastAsia="Courier New" w:hAnsi="Courier New"/>
          <w:sz w:val="18"/>
          <w:szCs w:val="18"/>
          <w:color w:val="auto"/>
        </w:rPr>
        <w:t>Mario Gabelli is the majority stockholder and Chairman of the Board of Directors and Chief Executive Officer of Gabelli Partners and GAMI, and the Chief Investment Officer for each of the Reporting Persons which are entities other than Gemini. Gabelli Partners is the majority shareholder of GAMI. GAMI, in turn, is the sole stockholder of GAMCO. GAMI is also the majority stockholder of GSI and the largest shareholder of Gabelli Advisers. Gabelli &amp; Company is a wholly-owned subsidiary of GSI. GLI is a wholly-owned subsidiary of GSI. Marc Gabelli is the majority stockholder of Gemini.</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Reporting Persons do not admit that they constitute a</w:t>
      </w:r>
    </w:p>
    <w:p>
      <w:pPr>
        <w:spacing w:after="0" w:line="238" w:lineRule="auto"/>
        <w:rPr>
          <w:sz w:val="20"/>
          <w:szCs w:val="20"/>
          <w:color w:val="auto"/>
        </w:rPr>
      </w:pPr>
      <w:r>
        <w:rPr>
          <w:rFonts w:ascii="Courier New" w:cs="Courier New" w:eastAsia="Courier New" w:hAnsi="Courier New"/>
          <w:sz w:val="18"/>
          <w:szCs w:val="18"/>
          <w:color w:val="auto"/>
        </w:rPr>
        <w:t>group.</w:t>
      </w:r>
    </w:p>
    <w:p>
      <w:pPr>
        <w:spacing w:after="0" w:line="5" w:lineRule="exact"/>
        <w:rPr>
          <w:sz w:val="20"/>
          <w:szCs w:val="20"/>
          <w:color w:val="auto"/>
        </w:rPr>
      </w:pPr>
    </w:p>
    <w:p>
      <w:pPr>
        <w:ind w:right="2619" w:firstLine="1053"/>
        <w:spacing w:after="0" w:line="269" w:lineRule="auto"/>
        <w:rPr>
          <w:sz w:val="20"/>
          <w:szCs w:val="20"/>
          <w:color w:val="auto"/>
        </w:rPr>
      </w:pPr>
      <w:r>
        <w:rPr>
          <w:rFonts w:ascii="Courier New" w:cs="Courier New" w:eastAsia="Courier New" w:hAnsi="Courier New"/>
          <w:sz w:val="16"/>
          <w:szCs w:val="16"/>
          <w:color w:val="auto"/>
        </w:rPr>
        <w:t>Gabelli Partners, GAMI, GAMCO, Gabelli &amp; Company and GLI are New York corporations and GSI and Gabelli Advisers are Delaware corporations, each having its principal business office at One Corporate Center, Rye, New York 10580. Gabelli Funds is a New York limited liability company having its principal business office at One Corporate Center, Rye, New York 10580. GPP is a New York limited partnership having its principal business office at 401 Theodore Fremd Ave., Rye, New York 10580. MJG Associates is a Connecticut corporation having its principal business office at 401 Theodore Fremd Ave., Rye, New York 10580. Gabelli Associates is a New York limited partnership having its principal business office at One Corporate Center, Rye, New York 10580. Alce and Multimedia Partners and GGP L.P. are Delaware limited partner-ships each having its principal business office at One Corporate Center, Rye, New York 10580. GAL and GIL are corporations organized under the laws of the British Virgin Islands, and GGP Ltd. is a corporation organized under the laws of the Cayman Islands, each having its principal business office at c/o MeesPierson (Cayman) Limited, British American Centre, Dr. Roy's Drive-Phase 3, George Town, Grand Cayman, British West Indies. GIL II is a corporation organized under the laws of the British Virgin Islands having its principal business office at c/o Coutts &amp; Company (Cayman) Limited, West Bay Road, Grand Cayman, British West Indies. Gemini is a Bermuda corporation having its principal business office at c/o Appleby, Spurling &amp; Kempe, Cedar House, 41 Cedar Avenue, Hamilton HM12, Bermuda. LDC is a corporation organized under the laws of the British Virgin Islands having its pricipal business office at c/o Tremont (Bermuda) Limited, Tremont House, 4 Park Road, Hamilton HM II, Bermuda. The Foundation is a private foundation having its principal offices at 165 West Liberty Street, Reno, Nevada 89501. Lynch is an Indiana corporation having its principal business office at 401 Theodore Fremd Avenue, Rye, NY 10580. Spinnaker is a Delaware corporation having its principal business office at 251 Welton Street, Hamden, CT 06511.</w:t>
      </w:r>
    </w:p>
    <w:p>
      <w:pPr>
        <w:spacing w:after="0" w:line="200" w:lineRule="exact"/>
        <w:rPr>
          <w:sz w:val="20"/>
          <w:szCs w:val="20"/>
          <w:color w:val="auto"/>
        </w:rPr>
      </w:pPr>
    </w:p>
    <w:p>
      <w:pPr>
        <w:spacing w:after="0" w:line="391" w:lineRule="exact"/>
        <w:rPr>
          <w:sz w:val="20"/>
          <w:szCs w:val="20"/>
          <w:color w:val="auto"/>
        </w:rPr>
      </w:pPr>
    </w:p>
    <w:p>
      <w:pPr>
        <w:ind w:right="2619" w:firstLine="1053"/>
        <w:spacing w:after="0" w:line="237" w:lineRule="auto"/>
        <w:rPr>
          <w:sz w:val="20"/>
          <w:szCs w:val="20"/>
          <w:color w:val="auto"/>
        </w:rPr>
      </w:pPr>
      <w:r>
        <w:rPr>
          <w:rFonts w:ascii="Courier New" w:cs="Courier New" w:eastAsia="Courier New" w:hAnsi="Courier New"/>
          <w:sz w:val="18"/>
          <w:szCs w:val="18"/>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spacing w:after="0" w:line="6" w:lineRule="exact"/>
        <w:rPr>
          <w:sz w:val="20"/>
          <w:szCs w:val="20"/>
          <w:color w:val="auto"/>
        </w:rPr>
      </w:pPr>
    </w:p>
    <w:p>
      <w:pPr>
        <w:ind w:right="2619" w:firstLine="1061"/>
        <w:spacing w:after="0" w:line="238" w:lineRule="auto"/>
        <w:tabs>
          <w:tab w:leader="none" w:pos="1475"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(e) - On December 8, 1994, the SEC instituted and simultaneously accepted offers for the settlement of an administrative proceeding against Gabelli &amp; Company and GAMCO. The order instituting the proceeding included a finding, which Gabelli &amp; Company and GAMCO neither admitted nor denied, that they failed to implement and maintain policies and procedures reasonably designed to prevent the misuse of material, nonpublic information by not specifically addressing the special circumstances that arose from their affiliation with Lynch Corporation, a public company. To resolve this matter, Gabelli &amp; Company and GAMCO agreed to cease and desist from violating Section 15(f) of the 1934 Act and Section 204A of the Advisers Act, respective-ly. They further agreed to each pay a civil penalty in the amount of $50,000, and to retain, and adopt the recommendations of, an independant consultant regarding their Section 15(f) and Section 204A policies and procedures.</w:t>
      </w:r>
    </w:p>
    <w:p>
      <w:pPr>
        <w:spacing w:after="0" w:line="1"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Reference is made to Schedule I hereto.</w:t>
      </w: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ind w:left="1060"/>
        <w:spacing w:after="0" w:line="237" w:lineRule="auto"/>
        <w:rPr>
          <w:sz w:val="20"/>
          <w:szCs w:val="20"/>
          <w:color w:val="auto"/>
        </w:rPr>
      </w:pPr>
      <w:r>
        <w:rPr>
          <w:rFonts w:ascii="Courier New" w:cs="Courier New" w:eastAsia="Courier New" w:hAnsi="Courier New"/>
          <w:sz w:val="18"/>
          <w:szCs w:val="18"/>
          <w:color w:val="auto"/>
        </w:rPr>
        <w:t>Item 3 to Schedule 13D is amended, in pertinent part, as</w:t>
      </w:r>
    </w:p>
    <w:p>
      <w:pPr>
        <w:spacing w:after="0" w:line="238" w:lineRule="auto"/>
        <w:rPr>
          <w:sz w:val="20"/>
          <w:szCs w:val="20"/>
          <w:color w:val="auto"/>
        </w:rPr>
      </w:pPr>
      <w:r>
        <w:rPr>
          <w:rFonts w:ascii="Courier New" w:cs="Courier New" w:eastAsia="Courier New" w:hAnsi="Courier New"/>
          <w:sz w:val="18"/>
          <w:szCs w:val="18"/>
          <w:color w:val="auto"/>
        </w:rPr>
        <w:t>follows:</w:t>
      </w:r>
    </w:p>
    <w:p>
      <w:pPr>
        <w:ind w:left="1060"/>
        <w:spacing w:after="0"/>
        <w:rPr>
          <w:sz w:val="20"/>
          <w:szCs w:val="20"/>
          <w:color w:val="auto"/>
        </w:rPr>
      </w:pPr>
      <w:r>
        <w:rPr>
          <w:rFonts w:ascii="Courier New" w:cs="Courier New" w:eastAsia="Courier New" w:hAnsi="Courier New"/>
          <w:sz w:val="18"/>
          <w:szCs w:val="18"/>
          <w:color w:val="auto"/>
        </w:rPr>
        <w:t>All Reporting Persons used an aggregate of approximately</w:t>
      </w:r>
    </w:p>
    <w:p>
      <w:pPr>
        <w:spacing w:after="0" w:line="237" w:lineRule="auto"/>
        <w:rPr>
          <w:sz w:val="20"/>
          <w:szCs w:val="20"/>
          <w:color w:val="auto"/>
        </w:rPr>
      </w:pPr>
      <w:r>
        <w:rPr>
          <w:rFonts w:ascii="Courier New" w:cs="Courier New" w:eastAsia="Courier New" w:hAnsi="Courier New"/>
          <w:sz w:val="18"/>
          <w:szCs w:val="18"/>
          <w:color w:val="auto"/>
        </w:rPr>
        <w:t>$1,494,274 to purchase the additional Securities reported as benefi-</w:t>
      </w:r>
    </w:p>
    <w:p>
      <w:pPr>
        <w:spacing w:after="0"/>
        <w:rPr>
          <w:sz w:val="20"/>
          <w:szCs w:val="20"/>
          <w:color w:val="auto"/>
        </w:rPr>
      </w:pPr>
      <w:r>
        <w:rPr>
          <w:rFonts w:ascii="Courier New" w:cs="Courier New" w:eastAsia="Courier New" w:hAnsi="Courier New"/>
          <w:sz w:val="18"/>
          <w:szCs w:val="18"/>
          <w:color w:val="auto"/>
        </w:rPr>
        <w:t>cially owned in Item 5 below since the most recent filing on Schedule</w:t>
      </w:r>
    </w:p>
    <w:p>
      <w:pPr>
        <w:spacing w:after="0"/>
        <w:tabs>
          <w:tab w:leader="none" w:pos="620" w:val="left"/>
        </w:tabs>
        <w:rPr>
          <w:sz w:val="20"/>
          <w:szCs w:val="20"/>
          <w:color w:val="auto"/>
        </w:rPr>
      </w:pP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GAMCO and Gabelli Funds used approximately $541,087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$491,725, respectively, of funds that were provided through the accounts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certain of their investment advisory clients (and, in the case of</w:t>
      </w:r>
    </w:p>
    <w:p>
      <w:pPr>
        <w:spacing w:after="0" w:line="238" w:lineRule="auto"/>
        <w:rPr>
          <w:sz w:val="20"/>
          <w:szCs w:val="20"/>
          <w:color w:val="auto"/>
        </w:rPr>
      </w:pPr>
      <w:r>
        <w:rPr>
          <w:rFonts w:ascii="Courier New" w:cs="Courier New" w:eastAsia="Courier New" w:hAnsi="Courier New"/>
          <w:sz w:val="18"/>
          <w:szCs w:val="18"/>
          <w:color w:val="auto"/>
        </w:rPr>
        <w:t>some of such accounts at GAMCO, may be through borrowings from client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margin accounts) in order to purchase the additional Securities for such</w:t>
      </w:r>
    </w:p>
    <w:p>
      <w:pPr>
        <w:spacing w:after="0" w:line="1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clients.</w:t>
      </w:r>
      <w:r>
        <w:rPr>
          <w:sz w:val="20"/>
          <w:szCs w:val="20"/>
          <w:color w:val="auto"/>
        </w:rPr>
        <w:tab/>
      </w:r>
      <w:r>
        <w:rPr>
          <w:rFonts w:ascii="Courier New" w:cs="Courier New" w:eastAsia="Courier New" w:hAnsi="Courier New"/>
          <w:sz w:val="16"/>
          <w:szCs w:val="16"/>
          <w:color w:val="auto"/>
        </w:rPr>
        <w:t>Gabelli Associates used approximately $262,400 of the</w:t>
      </w:r>
    </w:p>
    <w:p>
      <w:pPr>
        <w:sectPr>
          <w:pgSz w:w="11900" w:h="16838" w:orient="portrait"/>
          <w:cols w:equalWidth="0" w:num="1">
            <w:col w:w="10219"/>
          </w:cols>
          <w:pgMar w:left="240" w:top="142" w:right="1440" w:bottom="0" w:gutter="0" w:footer="0" w:header="0"/>
        </w:sectPr>
      </w:pPr>
    </w:p>
    <w:bookmarkStart w:id="11" w:name="page12"/>
    <w:bookmarkEnd w:id="11"/>
    <w:p>
      <w:pPr>
        <w:ind w:right="2619"/>
        <w:spacing w:after="0" w:line="237" w:lineRule="auto"/>
        <w:rPr>
          <w:sz w:val="20"/>
          <w:szCs w:val="20"/>
          <w:color w:val="auto"/>
        </w:rPr>
      </w:pPr>
      <w:r>
        <w:rPr>
          <w:rFonts w:ascii="Courier New" w:cs="Courier New" w:eastAsia="Courier New" w:hAnsi="Courier New"/>
          <w:sz w:val="18"/>
          <w:szCs w:val="18"/>
          <w:color w:val="auto"/>
        </w:rPr>
        <w:t>investing funds of the Partnership to purchase the additional Securities reported by it. GAL used approximately $199,062 of working capital to purchase the additional Securities reported by it. Item 4. Purpose of Transaction</w:t>
      </w:r>
    </w:p>
    <w:p>
      <w:pPr>
        <w:ind w:left="1060"/>
        <w:spacing w:after="0"/>
        <w:rPr>
          <w:sz w:val="20"/>
          <w:szCs w:val="20"/>
          <w:color w:val="auto"/>
        </w:rPr>
      </w:pPr>
      <w:r>
        <w:rPr>
          <w:rFonts w:ascii="Courier New" w:cs="Courier New" w:eastAsia="Courier New" w:hAnsi="Courier New"/>
          <w:sz w:val="18"/>
          <w:szCs w:val="18"/>
          <w:color w:val="auto"/>
        </w:rPr>
        <w:t>Item 4 to Schedule 13D is amended, in pertinent part, as</w:t>
      </w:r>
    </w:p>
    <w:p>
      <w:pPr>
        <w:spacing w:after="0" w:line="237" w:lineRule="auto"/>
        <w:rPr>
          <w:sz w:val="20"/>
          <w:szCs w:val="20"/>
          <w:color w:val="auto"/>
        </w:rPr>
      </w:pPr>
      <w:r>
        <w:rPr>
          <w:rFonts w:ascii="Courier New" w:cs="Courier New" w:eastAsia="Courier New" w:hAnsi="Courier New"/>
          <w:sz w:val="18"/>
          <w:szCs w:val="18"/>
          <w:color w:val="auto"/>
        </w:rPr>
        <w:t>follows:</w:t>
      </w:r>
    </w:p>
    <w:p>
      <w:pPr>
        <w:spacing w:after="0" w:line="5" w:lineRule="exact"/>
        <w:rPr>
          <w:sz w:val="20"/>
          <w:szCs w:val="20"/>
          <w:color w:val="auto"/>
        </w:rPr>
      </w:pPr>
    </w:p>
    <w:p>
      <w:pPr>
        <w:ind w:right="2619" w:firstLine="1053"/>
        <w:spacing w:after="0" w:line="237" w:lineRule="auto"/>
        <w:rPr>
          <w:sz w:val="20"/>
          <w:szCs w:val="20"/>
          <w:color w:val="auto"/>
        </w:rPr>
      </w:pPr>
      <w:r>
        <w:rPr>
          <w:rFonts w:ascii="Courier New" w:cs="Courier New" w:eastAsia="Courier New" w:hAnsi="Courier New"/>
          <w:sz w:val="18"/>
          <w:szCs w:val="18"/>
          <w:color w:val="auto"/>
        </w:rPr>
        <w:t>Based on the information currently available to it, GAMCO, in so far as it has voting power, intends to vote against the proposal to approve the merger of the Issuer with a wholly-owned subsidiary of ONEOK, Inc. at the meeting of shareholders of the Issuer. GAMCO is also considering taking additional steps, including the possibility of exercising dissenters' rights.</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ind w:left="1060"/>
        <w:spacing w:after="0" w:line="238" w:lineRule="auto"/>
        <w:rPr>
          <w:sz w:val="20"/>
          <w:szCs w:val="20"/>
          <w:color w:val="auto"/>
        </w:rPr>
      </w:pPr>
      <w:r>
        <w:rPr>
          <w:rFonts w:ascii="Courier New" w:cs="Courier New" w:eastAsia="Courier New" w:hAnsi="Courier New"/>
          <w:sz w:val="18"/>
          <w:szCs w:val="18"/>
          <w:color w:val="auto"/>
        </w:rPr>
        <w:t>Item 5 to Schedule 13D is amended, in pertinent part, as</w:t>
      </w:r>
    </w:p>
    <w:p>
      <w:pPr>
        <w:spacing w:after="0"/>
        <w:rPr>
          <w:sz w:val="20"/>
          <w:szCs w:val="20"/>
          <w:color w:val="auto"/>
        </w:rPr>
      </w:pPr>
      <w:r>
        <w:rPr>
          <w:rFonts w:ascii="Courier New" w:cs="Courier New" w:eastAsia="Courier New" w:hAnsi="Courier New"/>
          <w:sz w:val="18"/>
          <w:szCs w:val="18"/>
          <w:color w:val="auto"/>
        </w:rPr>
        <w:t>follows:</w:t>
      </w:r>
    </w:p>
    <w:p>
      <w:pPr>
        <w:spacing w:after="0" w:line="3" w:lineRule="exact"/>
        <w:rPr>
          <w:sz w:val="20"/>
          <w:szCs w:val="20"/>
          <w:color w:val="auto"/>
        </w:rPr>
      </w:pPr>
    </w:p>
    <w:p>
      <w:pPr>
        <w:ind w:right="2739" w:firstLine="1061"/>
        <w:spacing w:after="0" w:line="237" w:lineRule="auto"/>
        <w:tabs>
          <w:tab w:leader="none" w:pos="158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number and percentage of Securities to which this Schedule 13D relates is 3,066,783 shares, representing 9.99% of the 30,682,623 shares outstanding as reported in the Issuer's most recently filed Proxy Statement dated June 30, 1999. The Reporting Persons beneficially own those Securities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tcPr>
          <w:p>
            <w:pPr>
              <w:ind w:left="880"/>
              <w:spacing w:after="0"/>
              <w:rPr>
                <w:sz w:val="20"/>
                <w:szCs w:val="20"/>
                <w:color w:val="auto"/>
              </w:rPr>
            </w:pPr>
            <w:r>
              <w:rPr>
                <w:rFonts w:ascii="Courier New" w:cs="Courier New" w:eastAsia="Courier New" w:hAnsi="Courier New"/>
                <w:sz w:val="18"/>
                <w:szCs w:val="18"/>
                <w:color w:val="auto"/>
              </w:rPr>
              <w:t>Shares of</w:t>
            </w:r>
          </w:p>
        </w:tc>
        <w:tc>
          <w:tcPr>
            <w:tcW w:w="1520" w:type="dxa"/>
            <w:vAlign w:val="bottom"/>
          </w:tcPr>
          <w:p>
            <w:pPr>
              <w:ind w:left="580"/>
              <w:spacing w:after="0"/>
              <w:rPr>
                <w:sz w:val="20"/>
                <w:szCs w:val="20"/>
                <w:color w:val="auto"/>
              </w:rPr>
            </w:pPr>
            <w:r>
              <w:rPr>
                <w:rFonts w:ascii="Courier New" w:cs="Courier New" w:eastAsia="Courier New" w:hAnsi="Courier New"/>
                <w:sz w:val="18"/>
                <w:szCs w:val="18"/>
                <w:color w:val="auto"/>
              </w:rPr>
              <w:t>% of</w:t>
            </w:r>
          </w:p>
        </w:tc>
      </w:tr>
      <w:tr>
        <w:trPr>
          <w:trHeight w:val="203"/>
        </w:trPr>
        <w:tc>
          <w:tcPr>
            <w:tcW w:w="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Common</w:t>
            </w: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Class of</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800" w:type="dxa"/>
            <w:vAlign w:val="bottom"/>
          </w:tcPr>
          <w:p>
            <w:pPr>
              <w:spacing w:after="0"/>
              <w:rPr>
                <w:sz w:val="17"/>
                <w:szCs w:val="17"/>
                <w:color w:val="auto"/>
              </w:rPr>
            </w:pPr>
          </w:p>
        </w:tc>
        <w:tc>
          <w:tcPr>
            <w:tcW w:w="242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Stock</w:t>
            </w: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Common</w:t>
            </w:r>
          </w:p>
        </w:tc>
      </w:tr>
      <w:tr>
        <w:trPr>
          <w:trHeight w:val="405"/>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rPr>
              <w:t>Gabelli Funds:</w:t>
            </w:r>
          </w:p>
        </w:tc>
        <w:tc>
          <w:tcPr>
            <w:tcW w:w="2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w:t>
            </w:r>
          </w:p>
        </w:tc>
        <w:tc>
          <w:tcPr>
            <w:tcW w:w="2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w:t>
            </w: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w:t>
            </w:r>
          </w:p>
        </w:tc>
        <w:tc>
          <w:tcPr>
            <w:tcW w:w="2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803,000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w:t>
            </w:r>
          </w:p>
        </w:tc>
      </w:tr>
      <w:tr>
        <w:trPr>
          <w:trHeight w:val="405"/>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rPr>
              <w:t>GAMCO:</w:t>
            </w:r>
          </w:p>
        </w:tc>
        <w:tc>
          <w:tcPr>
            <w:tcW w:w="2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w:t>
            </w:r>
          </w:p>
        </w:tc>
        <w:tc>
          <w:tcPr>
            <w:tcW w:w="2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w:t>
            </w: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w:t>
            </w:r>
          </w:p>
        </w:tc>
        <w:tc>
          <w:tcPr>
            <w:tcW w:w="2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2,190,883</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7.14%</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GSI</w:t>
            </w:r>
          </w:p>
        </w:tc>
        <w:tc>
          <w:tcPr>
            <w:tcW w:w="1800" w:type="dxa"/>
            <w:vAlign w:val="bottom"/>
          </w:tcPr>
          <w:p>
            <w:pPr>
              <w:spacing w:after="0"/>
              <w:rPr>
                <w:sz w:val="24"/>
                <w:szCs w:val="24"/>
                <w:color w:val="auto"/>
              </w:rPr>
            </w:pPr>
          </w:p>
        </w:tc>
        <w:tc>
          <w:tcPr>
            <w:tcW w:w="2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2,500</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0.01%</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LDC</w:t>
            </w:r>
          </w:p>
        </w:tc>
        <w:tc>
          <w:tcPr>
            <w:tcW w:w="1800" w:type="dxa"/>
            <w:vAlign w:val="bottom"/>
          </w:tcPr>
          <w:p>
            <w:pPr>
              <w:spacing w:after="0"/>
              <w:rPr>
                <w:sz w:val="24"/>
                <w:szCs w:val="24"/>
                <w:color w:val="auto"/>
              </w:rPr>
            </w:pPr>
          </w:p>
        </w:tc>
        <w:tc>
          <w:tcPr>
            <w:tcW w:w="2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2,000</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0.08%</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GAF</w:t>
            </w:r>
          </w:p>
        </w:tc>
        <w:tc>
          <w:tcPr>
            <w:tcW w:w="1800" w:type="dxa"/>
            <w:vAlign w:val="bottom"/>
          </w:tcPr>
          <w:p>
            <w:pPr>
              <w:spacing w:after="0"/>
              <w:rPr>
                <w:sz w:val="24"/>
                <w:szCs w:val="24"/>
                <w:color w:val="auto"/>
              </w:rPr>
            </w:pPr>
          </w:p>
        </w:tc>
        <w:tc>
          <w:tcPr>
            <w:tcW w:w="2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38,400</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0.13%</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GAL</w:t>
            </w:r>
          </w:p>
        </w:tc>
        <w:tc>
          <w:tcPr>
            <w:tcW w:w="1800" w:type="dxa"/>
            <w:vAlign w:val="bottom"/>
          </w:tcPr>
          <w:p>
            <w:pPr>
              <w:spacing w:after="0"/>
              <w:rPr>
                <w:sz w:val="24"/>
                <w:szCs w:val="24"/>
                <w:color w:val="auto"/>
              </w:rPr>
            </w:pPr>
          </w:p>
        </w:tc>
        <w:tc>
          <w:tcPr>
            <w:tcW w:w="2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23,000</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0.07%</w:t>
            </w:r>
          </w:p>
        </w:tc>
      </w:tr>
      <w:tr>
        <w:trPr>
          <w:trHeight w:val="405"/>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rPr>
              <w:t>Foundation</w:t>
            </w:r>
          </w:p>
        </w:tc>
        <w:tc>
          <w:tcPr>
            <w:tcW w:w="2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7,000</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0.02%</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Marc</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Gabelli</w:t>
            </w:r>
          </w:p>
        </w:tc>
        <w:tc>
          <w:tcPr>
            <w:tcW w:w="2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0</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0.00%</w:t>
            </w:r>
          </w:p>
        </w:tc>
      </w:tr>
      <w:tr>
        <w:trPr>
          <w:trHeight w:val="405"/>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rPr>
              <w:t>Mario Gabelli</w:t>
            </w:r>
          </w:p>
        </w:tc>
        <w:tc>
          <w:tcPr>
            <w:tcW w:w="2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0</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0.00%</w:t>
            </w:r>
          </w:p>
        </w:tc>
      </w:tr>
    </w:tbl>
    <w:p>
      <w:pPr>
        <w:spacing w:after="0" w:line="200" w:lineRule="exact"/>
        <w:rPr>
          <w:sz w:val="20"/>
          <w:szCs w:val="20"/>
          <w:color w:val="auto"/>
        </w:rPr>
      </w:pPr>
    </w:p>
    <w:p>
      <w:pPr>
        <w:spacing w:after="0" w:line="209" w:lineRule="exact"/>
        <w:rPr>
          <w:sz w:val="20"/>
          <w:szCs w:val="20"/>
          <w:color w:val="auto"/>
        </w:rPr>
      </w:pPr>
    </w:p>
    <w:p>
      <w:pPr>
        <w:ind w:right="2619" w:firstLine="1053"/>
        <w:spacing w:after="0" w:line="237" w:lineRule="auto"/>
        <w:rPr>
          <w:sz w:val="20"/>
          <w:szCs w:val="20"/>
          <w:color w:val="auto"/>
        </w:rPr>
      </w:pPr>
      <w:r>
        <w:rPr>
          <w:rFonts w:ascii="Courier New" w:cs="Courier New" w:eastAsia="Courier New" w:hAnsi="Courier New"/>
          <w:sz w:val="18"/>
          <w:szCs w:val="18"/>
          <w:color w:val="auto"/>
        </w:rPr>
        <w:t>Mario Gabelli is deemed to have beneficial ownership of the Securities beneficially owned by each of the foregoing persons other than Marc Gabelli. Gabelli Partners and GAMI are deemed to have beneficial ownership of the Securities beneficially owned by each of the foregoing persons other than Mario Gabelli, Marc Gabelli and the Foundation.</w:t>
      </w:r>
    </w:p>
    <w:p>
      <w:pPr>
        <w:spacing w:after="0" w:line="7" w:lineRule="exact"/>
        <w:rPr>
          <w:sz w:val="20"/>
          <w:szCs w:val="20"/>
          <w:color w:val="auto"/>
        </w:rPr>
      </w:pPr>
    </w:p>
    <w:p>
      <w:pPr>
        <w:ind w:right="2619" w:firstLine="1061"/>
        <w:spacing w:after="0" w:line="269" w:lineRule="auto"/>
        <w:tabs>
          <w:tab w:leader="none" w:pos="1475"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(i) GAMCO does not have authority to vote 97,000 of the reported shares, (ii) Gabelli Funds has sole dispositive and voting power with respect to the 803,000 shares of the Issuer held by the the Funds, so long as the aggregate voting interest of all joint filers does not exceed 25% of their total voting interest in the Issuer and in that event, the Proxy Voting Committee of each of the Funds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(iv) the power of Mario Gabelli, Marc Gabelli, Gabelli Partners and GAMI is indirect with respect to Securi-ties beneficially owned directly by other Reporting Persons.</w:t>
      </w:r>
    </w:p>
    <w:p>
      <w:pPr>
        <w:spacing w:after="0" w:line="193" w:lineRule="exact"/>
        <w:rPr>
          <w:rFonts w:ascii="Courier New" w:cs="Courier New" w:eastAsia="Courier New" w:hAnsi="Courier New"/>
          <w:sz w:val="16"/>
          <w:szCs w:val="16"/>
          <w:color w:val="auto"/>
        </w:rPr>
      </w:pPr>
    </w:p>
    <w:p>
      <w:pPr>
        <w:ind w:right="2839" w:firstLine="1061"/>
        <w:spacing w:after="0" w:line="237" w:lineRule="auto"/>
        <w:tabs>
          <w:tab w:leader="none" w:pos="1475"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sectPr>
          <w:pgSz w:w="11900" w:h="16838" w:orient="portrait"/>
          <w:cols w:equalWidth="0" w:num="1">
            <w:col w:w="10219"/>
          </w:cols>
          <w:pgMar w:left="240" w:top="142" w:right="1440" w:bottom="337"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July 22, 1999</w:t>
      </w:r>
    </w:p>
    <w:p>
      <w:pPr>
        <w:ind w:left="3700"/>
        <w:spacing w:after="0" w:line="238" w:lineRule="auto"/>
        <w:rPr>
          <w:sz w:val="20"/>
          <w:szCs w:val="20"/>
          <w:color w:val="auto"/>
        </w:rPr>
      </w:pPr>
      <w:r>
        <w:rPr>
          <w:rFonts w:ascii="Courier New" w:cs="Courier New" w:eastAsia="Courier New" w:hAnsi="Courier New"/>
          <w:sz w:val="18"/>
          <w:szCs w:val="18"/>
          <w:color w:val="auto"/>
        </w:rPr>
        <w:t>MARIO J. GABELLI</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By:_____________________________</w:t>
      </w:r>
    </w:p>
    <w:p>
      <w:pPr>
        <w:ind w:left="4020"/>
        <w:spacing w:after="0" w:line="238" w:lineRule="auto"/>
        <w:rPr>
          <w:sz w:val="20"/>
          <w:szCs w:val="20"/>
          <w:color w:val="auto"/>
        </w:rPr>
      </w:pPr>
      <w:r>
        <w:rPr>
          <w:rFonts w:ascii="Courier New" w:cs="Courier New" w:eastAsia="Courier New" w:hAnsi="Courier New"/>
          <w:sz w:val="18"/>
          <w:szCs w:val="18"/>
          <w:color w:val="auto"/>
        </w:rPr>
        <w:t>James E. McKee</w:t>
      </w:r>
    </w:p>
    <w:p>
      <w:pPr>
        <w:ind w:left="402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GABELLI FUNDS, LLC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w:t>
      </w:r>
    </w:p>
    <w:p>
      <w:pPr>
        <w:ind w:left="4020"/>
        <w:spacing w:after="0" w:line="238" w:lineRule="auto"/>
        <w:rPr>
          <w:sz w:val="20"/>
          <w:szCs w:val="20"/>
          <w:color w:val="auto"/>
        </w:rPr>
      </w:pPr>
      <w:r>
        <w:rPr>
          <w:rFonts w:ascii="Courier New" w:cs="Courier New" w:eastAsia="Courier New" w:hAnsi="Courier New"/>
          <w:sz w:val="18"/>
          <w:szCs w:val="18"/>
          <w:color w:val="auto"/>
        </w:rPr>
        <w:t>James E. McKee</w:t>
      </w:r>
    </w:p>
    <w:p>
      <w:pPr>
        <w:ind w:left="402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8"/>
          <w:szCs w:val="18"/>
          <w:color w:val="auto"/>
        </w:rPr>
        <w:t>GABELLI GROUP CAPITAL PARTNERS, INC.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w:t>
      </w:r>
    </w:p>
    <w:p>
      <w:pPr>
        <w:ind w:left="4020"/>
        <w:spacing w:after="0" w:line="238" w:lineRule="auto"/>
        <w:rPr>
          <w:sz w:val="20"/>
          <w:szCs w:val="20"/>
          <w:color w:val="auto"/>
        </w:rPr>
      </w:pPr>
      <w:r>
        <w:rPr>
          <w:rFonts w:ascii="Courier New" w:cs="Courier New" w:eastAsia="Courier New" w:hAnsi="Courier New"/>
          <w:sz w:val="18"/>
          <w:szCs w:val="18"/>
          <w:color w:val="auto"/>
        </w:rPr>
        <w:t>James E. McKee</w:t>
      </w:r>
    </w:p>
    <w:p>
      <w:pPr>
        <w:ind w:left="4020"/>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GAMCO INVESTORS, INC.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w:t>
      </w:r>
    </w:p>
    <w:p>
      <w:pPr>
        <w:ind w:left="4020"/>
        <w:spacing w:after="0" w:line="238" w:lineRule="auto"/>
        <w:rPr>
          <w:sz w:val="20"/>
          <w:szCs w:val="20"/>
          <w:color w:val="auto"/>
        </w:rPr>
      </w:pPr>
      <w:r>
        <w:rPr>
          <w:rFonts w:ascii="Courier New" w:cs="Courier New" w:eastAsia="Courier New" w:hAnsi="Courier New"/>
          <w:sz w:val="18"/>
          <w:szCs w:val="18"/>
          <w:color w:val="auto"/>
        </w:rPr>
        <w:t>Douglas R. Jamieson</w:t>
      </w:r>
    </w:p>
    <w:p>
      <w:pPr>
        <w:ind w:left="4020"/>
        <w:spacing w:after="0"/>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3"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GABELLI ASSET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By:___________________________</w:t>
      </w:r>
    </w:p>
    <w:p>
      <w:pPr>
        <w:ind w:left="4020"/>
        <w:spacing w:after="0" w:line="238" w:lineRule="auto"/>
        <w:rPr>
          <w:sz w:val="20"/>
          <w:szCs w:val="20"/>
          <w:color w:val="auto"/>
        </w:rPr>
      </w:pPr>
      <w:r>
        <w:rPr>
          <w:rFonts w:ascii="Courier New" w:cs="Courier New" w:eastAsia="Courier New" w:hAnsi="Courier New"/>
          <w:sz w:val="18"/>
          <w:szCs w:val="18"/>
          <w:color w:val="auto"/>
        </w:rPr>
        <w:t>James E. McKee</w:t>
      </w:r>
    </w:p>
    <w:p>
      <w:pPr>
        <w:ind w:left="4020"/>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GABELLI ASSOCIATES FUND</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By:__________________________</w:t>
      </w:r>
    </w:p>
    <w:p>
      <w:pPr>
        <w:ind w:left="4020"/>
        <w:spacing w:after="0" w:line="238" w:lineRule="auto"/>
        <w:rPr>
          <w:sz w:val="20"/>
          <w:szCs w:val="20"/>
          <w:color w:val="auto"/>
        </w:rPr>
      </w:pPr>
      <w:r>
        <w:rPr>
          <w:rFonts w:ascii="Courier New" w:cs="Courier New" w:eastAsia="Courier New" w:hAnsi="Courier New"/>
          <w:sz w:val="18"/>
          <w:szCs w:val="18"/>
          <w:color w:val="auto"/>
        </w:rPr>
        <w:t>Gabelli Securities, Inc.</w:t>
      </w:r>
    </w:p>
    <w:p>
      <w:pPr>
        <w:ind w:left="4020"/>
        <w:spacing w:after="0"/>
        <w:rPr>
          <w:sz w:val="20"/>
          <w:szCs w:val="20"/>
          <w:color w:val="auto"/>
        </w:rPr>
      </w:pPr>
      <w:r>
        <w:rPr>
          <w:rFonts w:ascii="Courier New" w:cs="Courier New" w:eastAsia="Courier New" w:hAnsi="Courier New"/>
          <w:sz w:val="18"/>
          <w:szCs w:val="18"/>
          <w:color w:val="auto"/>
        </w:rPr>
        <w:t>General Partner</w:t>
      </w:r>
    </w:p>
    <w:p>
      <w:pPr>
        <w:ind w:left="4020"/>
        <w:spacing w:after="0" w:line="237" w:lineRule="auto"/>
        <w:rPr>
          <w:sz w:val="20"/>
          <w:szCs w:val="20"/>
          <w:color w:val="auto"/>
        </w:rPr>
      </w:pPr>
      <w:r>
        <w:rPr>
          <w:rFonts w:ascii="Courier New" w:cs="Courier New" w:eastAsia="Courier New" w:hAnsi="Courier New"/>
          <w:sz w:val="18"/>
          <w:szCs w:val="18"/>
          <w:color w:val="auto"/>
        </w:rPr>
        <w:t>by: James E. McKee</w:t>
      </w:r>
    </w:p>
    <w:p>
      <w:pPr>
        <w:ind w:left="444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GABELLI ASSOCIATES LIMITED</w:t>
      </w:r>
    </w:p>
    <w:p>
      <w:pPr>
        <w:sectPr>
          <w:pgSz w:w="11900" w:h="16838" w:orient="portrait"/>
          <w:cols w:equalWidth="0" w:num="1">
            <w:col w:w="10219"/>
          </w:cols>
          <w:pgMar w:left="240" w:top="1440" w:right="1440" w:bottom="0" w:gutter="0" w:footer="0" w:header="0"/>
        </w:sectPr>
      </w:pPr>
    </w:p>
    <w:bookmarkStart w:id="13" w:name="page14"/>
    <w:bookmarkEnd w:id="13"/>
    <w:p>
      <w:pPr>
        <w:ind w:left="3700"/>
        <w:spacing w:after="0"/>
        <w:rPr>
          <w:sz w:val="20"/>
          <w:szCs w:val="20"/>
          <w:color w:val="auto"/>
        </w:rPr>
      </w:pPr>
      <w:r>
        <w:rPr>
          <w:rFonts w:ascii="Courier New" w:cs="Courier New" w:eastAsia="Courier New" w:hAnsi="Courier New"/>
          <w:sz w:val="18"/>
          <w:szCs w:val="18"/>
          <w:color w:val="auto"/>
        </w:rPr>
        <w:t>By:___________________________</w:t>
      </w:r>
    </w:p>
    <w:p>
      <w:pPr>
        <w:ind w:left="4020"/>
        <w:spacing w:after="0" w:line="238" w:lineRule="auto"/>
        <w:rPr>
          <w:sz w:val="20"/>
          <w:szCs w:val="20"/>
          <w:color w:val="auto"/>
        </w:rPr>
      </w:pPr>
      <w:r>
        <w:rPr>
          <w:rFonts w:ascii="Courier New" w:cs="Courier New" w:eastAsia="Courier New" w:hAnsi="Courier New"/>
          <w:sz w:val="18"/>
          <w:szCs w:val="18"/>
          <w:color w:val="auto"/>
        </w:rPr>
        <w:t>Gabelli Securities, Inc.</w:t>
      </w:r>
    </w:p>
    <w:p>
      <w:pPr>
        <w:ind w:left="4020"/>
        <w:spacing w:after="0"/>
        <w:rPr>
          <w:sz w:val="20"/>
          <w:szCs w:val="20"/>
          <w:color w:val="auto"/>
        </w:rPr>
      </w:pPr>
      <w:r>
        <w:rPr>
          <w:rFonts w:ascii="Courier New" w:cs="Courier New" w:eastAsia="Courier New" w:hAnsi="Courier New"/>
          <w:sz w:val="18"/>
          <w:szCs w:val="18"/>
          <w:color w:val="auto"/>
        </w:rPr>
        <w:t>Investment Manager</w:t>
      </w:r>
    </w:p>
    <w:p>
      <w:pPr>
        <w:ind w:left="4020"/>
        <w:spacing w:after="0" w:line="237" w:lineRule="auto"/>
        <w:rPr>
          <w:sz w:val="20"/>
          <w:szCs w:val="20"/>
          <w:color w:val="auto"/>
        </w:rPr>
      </w:pPr>
      <w:r>
        <w:rPr>
          <w:rFonts w:ascii="Courier New" w:cs="Courier New" w:eastAsia="Courier New" w:hAnsi="Courier New"/>
          <w:sz w:val="18"/>
          <w:szCs w:val="18"/>
          <w:color w:val="auto"/>
        </w:rPr>
        <w:t>by: James E. McKee</w:t>
      </w:r>
    </w:p>
    <w:p>
      <w:pPr>
        <w:ind w:left="444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GABELLI FUND, LDC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By:_____________________________</w:t>
      </w:r>
    </w:p>
    <w:p>
      <w:pPr>
        <w:ind w:left="4020"/>
        <w:spacing w:after="0" w:line="238" w:lineRule="auto"/>
        <w:rPr>
          <w:sz w:val="20"/>
          <w:szCs w:val="20"/>
          <w:color w:val="auto"/>
        </w:rPr>
      </w:pPr>
      <w:r>
        <w:rPr>
          <w:rFonts w:ascii="Courier New" w:cs="Courier New" w:eastAsia="Courier New" w:hAnsi="Courier New"/>
          <w:sz w:val="18"/>
          <w:szCs w:val="18"/>
          <w:color w:val="auto"/>
        </w:rPr>
        <w:t>MJG Associates, Inc.</w:t>
      </w:r>
    </w:p>
    <w:p>
      <w:pPr>
        <w:ind w:left="4020"/>
        <w:spacing w:after="0"/>
        <w:rPr>
          <w:sz w:val="20"/>
          <w:szCs w:val="20"/>
          <w:color w:val="auto"/>
        </w:rPr>
      </w:pPr>
      <w:r>
        <w:rPr>
          <w:rFonts w:ascii="Courier New" w:cs="Courier New" w:eastAsia="Courier New" w:hAnsi="Courier New"/>
          <w:sz w:val="18"/>
          <w:szCs w:val="18"/>
          <w:color w:val="auto"/>
        </w:rPr>
        <w:t>Investment Manager</w:t>
      </w:r>
    </w:p>
    <w:p>
      <w:pPr>
        <w:ind w:left="4020"/>
        <w:spacing w:after="0" w:line="237" w:lineRule="auto"/>
        <w:rPr>
          <w:sz w:val="20"/>
          <w:szCs w:val="20"/>
          <w:color w:val="auto"/>
        </w:rPr>
      </w:pPr>
      <w:r>
        <w:rPr>
          <w:rFonts w:ascii="Courier New" w:cs="Courier New" w:eastAsia="Courier New" w:hAnsi="Courier New"/>
          <w:sz w:val="18"/>
          <w:szCs w:val="18"/>
          <w:color w:val="auto"/>
        </w:rPr>
        <w:t>by: Mario J. Gabelli</w:t>
      </w:r>
    </w:p>
    <w:p>
      <w:pPr>
        <w:jc w:val="center"/>
        <w:ind w:right="399"/>
        <w:spacing w:after="0" w:line="238" w:lineRule="auto"/>
        <w:rPr>
          <w:sz w:val="20"/>
          <w:szCs w:val="20"/>
          <w:color w:val="auto"/>
        </w:rPr>
      </w:pPr>
      <w:r>
        <w:rPr>
          <w:rFonts w:ascii="Courier New" w:cs="Courier New" w:eastAsia="Courier New" w:hAnsi="Courier New"/>
          <w:sz w:val="18"/>
          <w:szCs w:val="18"/>
          <w:color w:val="auto"/>
        </w:rPr>
        <w:t>President</w:t>
      </w:r>
    </w:p>
    <w:p>
      <w:pPr>
        <w:ind w:left="4020"/>
        <w:spacing w:after="0"/>
        <w:rPr>
          <w:sz w:val="20"/>
          <w:szCs w:val="20"/>
          <w:color w:val="auto"/>
        </w:rPr>
      </w:pPr>
      <w:r>
        <w:rPr>
          <w:rFonts w:ascii="Courier New" w:cs="Courier New" w:eastAsia="Courier New" w:hAnsi="Courier New"/>
          <w:sz w:val="18"/>
          <w:szCs w:val="18"/>
          <w:color w:val="auto"/>
        </w:rPr>
        <w:t>by: James E. McKee</w:t>
      </w:r>
    </w:p>
    <w:p>
      <w:pPr>
        <w:ind w:left="444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GABELLI SECURITIES INC.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w:t>
      </w:r>
    </w:p>
    <w:p>
      <w:pPr>
        <w:ind w:left="4020"/>
        <w:spacing w:after="0" w:line="238" w:lineRule="auto"/>
        <w:rPr>
          <w:sz w:val="20"/>
          <w:szCs w:val="20"/>
          <w:color w:val="auto"/>
        </w:rPr>
      </w:pPr>
      <w:r>
        <w:rPr>
          <w:rFonts w:ascii="Courier New" w:cs="Courier New" w:eastAsia="Courier New" w:hAnsi="Courier New"/>
          <w:sz w:val="18"/>
          <w:szCs w:val="18"/>
          <w:color w:val="auto"/>
        </w:rPr>
        <w:t>James E. McKee</w:t>
      </w:r>
    </w:p>
    <w:p>
      <w:pPr>
        <w:ind w:left="402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GABELLI FOUNDATION, INC.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BY:__________________________</w:t>
      </w:r>
    </w:p>
    <w:p>
      <w:pPr>
        <w:ind w:left="4020"/>
        <w:spacing w:after="0" w:line="238" w:lineRule="auto"/>
        <w:rPr>
          <w:sz w:val="20"/>
          <w:szCs w:val="20"/>
          <w:color w:val="auto"/>
        </w:rPr>
      </w:pPr>
      <w:r>
        <w:rPr>
          <w:rFonts w:ascii="Courier New" w:cs="Courier New" w:eastAsia="Courier New" w:hAnsi="Courier New"/>
          <w:sz w:val="18"/>
          <w:szCs w:val="18"/>
          <w:color w:val="auto"/>
        </w:rPr>
        <w:t>Mario J. Gabelli, President</w:t>
      </w:r>
    </w:p>
    <w:p>
      <w:pPr>
        <w:ind w:left="4020"/>
        <w:spacing w:after="0"/>
        <w:rPr>
          <w:sz w:val="20"/>
          <w:szCs w:val="20"/>
          <w:color w:val="auto"/>
        </w:rPr>
      </w:pPr>
      <w:r>
        <w:rPr>
          <w:rFonts w:ascii="Courier New" w:cs="Courier New" w:eastAsia="Courier New" w:hAnsi="Courier New"/>
          <w:sz w:val="18"/>
          <w:szCs w:val="18"/>
          <w:color w:val="auto"/>
        </w:rPr>
        <w:t>By: James E. McKee</w:t>
      </w:r>
    </w:p>
    <w:p>
      <w:pPr>
        <w:ind w:left="402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I</w:t>
      </w:r>
    </w:p>
    <w:p>
      <w:pPr>
        <w:spacing w:after="0" w:line="200" w:lineRule="exact"/>
        <w:rPr>
          <w:sz w:val="20"/>
          <w:szCs w:val="20"/>
          <w:color w:val="auto"/>
        </w:rPr>
      </w:pPr>
    </w:p>
    <w:p>
      <w:pPr>
        <w:spacing w:after="0" w:line="20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Information with Respect to Executive</w:t>
      </w:r>
    </w:p>
    <w:p>
      <w:pPr>
        <w:jc w:val="center"/>
        <w:ind w:right="3359"/>
        <w:spacing w:after="0" w:line="238" w:lineRule="auto"/>
        <w:rPr>
          <w:sz w:val="20"/>
          <w:szCs w:val="20"/>
          <w:color w:val="auto"/>
        </w:rPr>
      </w:pPr>
      <w:r>
        <w:rPr>
          <w:rFonts w:ascii="Courier New" w:cs="Courier New" w:eastAsia="Courier New" w:hAnsi="Courier New"/>
          <w:sz w:val="18"/>
          <w:szCs w:val="18"/>
          <w:color w:val="auto"/>
        </w:rPr>
        <w:t>Officers and Directors of the Undersigned</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Schedule I to Schedule 13D is amended, in pertinent part,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5" w:lineRule="exact"/>
        <w:rPr>
          <w:sz w:val="20"/>
          <w:szCs w:val="20"/>
          <w:color w:val="auto"/>
        </w:rPr>
      </w:pPr>
    </w:p>
    <w:p>
      <w:pPr>
        <w:ind w:right="2619" w:firstLine="1053"/>
        <w:spacing w:after="0" w:line="269" w:lineRule="auto"/>
        <w:rPr>
          <w:sz w:val="20"/>
          <w:szCs w:val="20"/>
          <w:color w:val="auto"/>
        </w:rPr>
      </w:pPr>
      <w:r>
        <w:rPr>
          <w:rFonts w:ascii="Courier New" w:cs="Courier New" w:eastAsia="Courier New" w:hAnsi="Courier New"/>
          <w:sz w:val="16"/>
          <w:szCs w:val="16"/>
          <w:color w:val="auto"/>
        </w:rPr>
        <w:t>The following sets forth as to each of the executive officers and directors of the undersigned: his name; his business address; and his present principal occupation or employment and the name, principal business and address of any corporation or other organization in which such employment is conducted. Unless otherwise specified, the principal employer of each such individual is Gabelli Group Capital Partners, Inc., Gabelli Asset Management Inc., Gabelli Funds, LLC, Gabelli &amp; Company,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of this Schedule 13D.</w:t>
      </w:r>
    </w:p>
    <w:p>
      <w:pPr>
        <w:sectPr>
          <w:pgSz w:w="11900" w:h="16838" w:orient="portrait"/>
          <w:cols w:equalWidth="0" w:num="1">
            <w:col w:w="10219"/>
          </w:cols>
          <w:pgMar w:left="240" w:top="54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Gabelli Group Capital Partners,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24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Richard B. Black</w:t>
            </w:r>
          </w:p>
        </w:tc>
        <w:tc>
          <w:tcPr>
            <w:tcW w:w="43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President and Director of</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Oak Technology, Inc.;</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Chairman ECRM; Director</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of The Morgan Group, Inc.;</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General Partner of KBA Part-</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ners, Parker Plaza</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5"/>
              </w:rPr>
              <w:t>400 Kelby Street,</w:t>
            </w:r>
          </w:p>
        </w:tc>
        <w:tc>
          <w:tcPr>
            <w:tcW w:w="19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Fort Lee, NJ 07029</w:t>
            </w: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Charles C. Baum</w:t>
            </w:r>
          </w:p>
        </w:tc>
        <w:tc>
          <w:tcPr>
            <w:tcW w:w="432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6"/>
              </w:rPr>
              <w:t>Chairman, Director and Chief Execu-</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tive Officer of The Morgan Group,</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Inc.; Secretary &amp; Treasurer</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United Holdings</w:t>
            </w:r>
          </w:p>
        </w:tc>
        <w:tc>
          <w:tcPr>
            <w:tcW w:w="19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2545 Wilkens Avenue</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Baltimore, MD  21223</w:t>
            </w: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John C. Ferrara</w:t>
            </w:r>
          </w:p>
        </w:tc>
        <w:tc>
          <w:tcPr>
            <w:tcW w:w="43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Business Consultant; Director of</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5"/>
              </w:rPr>
              <w:t>Lynch Corporation</w:t>
            </w:r>
          </w:p>
        </w:tc>
        <w:tc>
          <w:tcPr>
            <w:tcW w:w="19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c/o Gabelli Funds, Inc.</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One Corporate Center</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Rye, NY 10580</w:t>
            </w:r>
          </w:p>
        </w:tc>
        <w:tc>
          <w:tcPr>
            <w:tcW w:w="1900" w:type="dxa"/>
            <w:vAlign w:val="bottom"/>
          </w:tcPr>
          <w:p>
            <w:pPr>
              <w:spacing w:after="0"/>
              <w:rPr>
                <w:sz w:val="17"/>
                <w:szCs w:val="17"/>
                <w:color w:val="auto"/>
              </w:rPr>
            </w:pP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Dr. Eamon M. Kelly</w:t>
            </w:r>
          </w:p>
        </w:tc>
        <w:tc>
          <w:tcPr>
            <w:tcW w:w="2420" w:type="dxa"/>
            <w:vAlign w:val="bottom"/>
          </w:tcPr>
          <w:p>
            <w:pPr>
              <w:ind w:left="640"/>
              <w:spacing w:after="0"/>
              <w:rPr>
                <w:sz w:val="20"/>
                <w:szCs w:val="20"/>
                <w:color w:val="auto"/>
              </w:rPr>
            </w:pPr>
            <w:r>
              <w:rPr>
                <w:rFonts w:ascii="Courier New" w:cs="Courier New" w:eastAsia="Courier New" w:hAnsi="Courier New"/>
                <w:sz w:val="18"/>
                <w:szCs w:val="18"/>
                <w:color w:val="auto"/>
              </w:rPr>
              <w:t>Professor</w:t>
            </w:r>
          </w:p>
        </w:tc>
        <w:tc>
          <w:tcPr>
            <w:tcW w:w="1900" w:type="dxa"/>
            <w:vAlign w:val="bottom"/>
          </w:tcPr>
          <w:p>
            <w:pPr>
              <w:spacing w:after="0"/>
              <w:rPr>
                <w:sz w:val="24"/>
                <w:szCs w:val="24"/>
                <w:color w:val="auto"/>
              </w:rPr>
            </w:pP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Payson Center for International</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Development Technology Transfer</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5"/>
              </w:rPr>
              <w:t>Tulane University</w:t>
            </w:r>
          </w:p>
        </w:tc>
        <w:tc>
          <w:tcPr>
            <w:tcW w:w="19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300 Hebert Hall</w:t>
            </w:r>
          </w:p>
        </w:tc>
        <w:tc>
          <w:tcPr>
            <w:tcW w:w="19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6823 St. Charles</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Avenue</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New Orleans, LA</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70118</w:t>
            </w: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Marc J. Gabelli</w:t>
            </w:r>
          </w:p>
        </w:tc>
        <w:tc>
          <w:tcPr>
            <w:tcW w:w="2420" w:type="dxa"/>
            <w:vAlign w:val="bottom"/>
          </w:tcPr>
          <w:p>
            <w:pPr>
              <w:ind w:left="640"/>
              <w:spacing w:after="0"/>
              <w:rPr>
                <w:sz w:val="20"/>
                <w:szCs w:val="20"/>
                <w:color w:val="auto"/>
              </w:rPr>
            </w:pPr>
            <w:r>
              <w:rPr>
                <w:rFonts w:ascii="Courier New" w:cs="Courier New" w:eastAsia="Courier New" w:hAnsi="Courier New"/>
                <w:sz w:val="18"/>
                <w:szCs w:val="18"/>
                <w:color w:val="auto"/>
                <w:w w:val="95"/>
              </w:rPr>
              <w:t>Managing Director</w:t>
            </w:r>
          </w:p>
        </w:tc>
        <w:tc>
          <w:tcPr>
            <w:tcW w:w="1900" w:type="dxa"/>
            <w:vAlign w:val="bottom"/>
          </w:tcPr>
          <w:p>
            <w:pPr>
              <w:spacing w:after="0"/>
              <w:rPr>
                <w:sz w:val="24"/>
                <w:szCs w:val="24"/>
                <w:color w:val="auto"/>
              </w:rPr>
            </w:pP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Matthew R. Gabelli</w:t>
            </w:r>
          </w:p>
        </w:tc>
        <w:tc>
          <w:tcPr>
            <w:tcW w:w="43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Vice President-Trading</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5"/>
              </w:rPr>
              <w:t>Gabelli &amp; Company</w:t>
            </w:r>
          </w:p>
        </w:tc>
        <w:tc>
          <w:tcPr>
            <w:tcW w:w="19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One Corporate Center</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Rye, New York 10580</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Officers:</w:t>
            </w:r>
          </w:p>
        </w:tc>
        <w:tc>
          <w:tcPr>
            <w:tcW w:w="24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43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Chairman, Chief Executive</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Officer and Chief Investment</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Officer</w:t>
            </w:r>
          </w:p>
        </w:tc>
        <w:tc>
          <w:tcPr>
            <w:tcW w:w="1900" w:type="dxa"/>
            <w:vAlign w:val="bottom"/>
          </w:tcPr>
          <w:p>
            <w:pPr>
              <w:spacing w:after="0"/>
              <w:rPr>
                <w:sz w:val="17"/>
                <w:szCs w:val="17"/>
                <w:color w:val="auto"/>
              </w:rPr>
            </w:pP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43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Executive Vice President-Finance</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5"/>
              </w:rPr>
              <w:t>and Adminstration</w:t>
            </w:r>
          </w:p>
        </w:tc>
        <w:tc>
          <w:tcPr>
            <w:tcW w:w="190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w:t>
            </w:r>
          </w:p>
        </w:tc>
        <w:tc>
          <w:tcPr>
            <w:tcW w:w="242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pacing w:after="0" w:line="207" w:lineRule="exact"/>
        <w:rPr>
          <w:sz w:val="20"/>
          <w:szCs w:val="20"/>
          <w:color w:val="auto"/>
        </w:rPr>
      </w:pPr>
    </w:p>
    <w:p>
      <w:pPr>
        <w:ind w:right="2619" w:firstLine="535"/>
        <w:spacing w:after="0" w:line="237" w:lineRule="auto"/>
        <w:tabs>
          <w:tab w:leader="none" w:pos="105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Gabelli is the Chief Executive Officer and Chief Invest-ment Officer of Gabelli Group Capital Partners, Inc., Gabelli Asset Management Inc. and GAMCO Investors, Inc.; Director/Trustee of all registered investment companies advised by Gabelli Funds, Inc.; Chairman and Chief Executive Officer of Lynch Corporation; Director of East/West Communications, Inc.</w:t>
      </w:r>
    </w:p>
    <w:p>
      <w:pPr>
        <w:sectPr>
          <w:pgSz w:w="11900" w:h="16838" w:orient="portrait"/>
          <w:cols w:equalWidth="0" w:num="1">
            <w:col w:w="10219"/>
          </w:cols>
          <w:pgMar w:left="240" w:top="514"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Robert S. ZuccaroVice President and Chief Financial</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1">
            <w:col w:w="10219"/>
          </w:cols>
          <w:pgMar w:left="240" w:top="520" w:right="1440" w:bottom="0" w:gutter="0" w:footer="0" w:header="0"/>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James E. McKee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Counsel and Secretary</w:t>
      </w:r>
    </w:p>
    <w:p>
      <w:pPr>
        <w:spacing w:after="0" w:line="200" w:lineRule="exact"/>
        <w:rPr>
          <w:sz w:val="20"/>
          <w:szCs w:val="20"/>
          <w:color w:val="auto"/>
        </w:rPr>
      </w:pPr>
    </w:p>
    <w:p>
      <w:pPr>
        <w:sectPr>
          <w:pgSz w:w="11900" w:h="16838" w:orient="portrait"/>
          <w:cols w:equalWidth="0" w:num="2">
            <w:col w:w="2980" w:space="720"/>
            <w:col w:w="6519"/>
          </w:cols>
          <w:pgMar w:left="240" w:top="520"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Gabelli Asset Management Inc.</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219"/>
          </w:cols>
          <w:pgMar w:left="240" w:top="520" w:right="1440" w:bottom="0" w:gutter="0" w:footer="0" w:header="0"/>
          <w:type w:val="continuous"/>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Mario J. Gabelli</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w:t>
      </w:r>
    </w:p>
    <w:p>
      <w:pPr>
        <w:spacing w:after="0" w:line="200" w:lineRule="exact"/>
        <w:rPr>
          <w:sz w:val="20"/>
          <w:szCs w:val="20"/>
          <w:color w:val="auto"/>
        </w:rPr>
      </w:pPr>
    </w:p>
    <w:p>
      <w:pPr>
        <w:sectPr>
          <w:pgSz w:w="11900" w:h="16838" w:orient="portrait"/>
          <w:cols w:equalWidth="0" w:num="2">
            <w:col w:w="2980" w:space="720"/>
            <w:col w:w="6519"/>
          </w:cols>
          <w:pgMar w:left="240" w:top="520"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Richard B. Black</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w:t>
      </w:r>
    </w:p>
    <w:p>
      <w:pPr>
        <w:spacing w:after="0" w:line="200" w:lineRule="exact"/>
        <w:rPr>
          <w:sz w:val="20"/>
          <w:szCs w:val="20"/>
          <w:color w:val="auto"/>
        </w:rPr>
      </w:pPr>
    </w:p>
    <w:p>
      <w:pPr>
        <w:sectPr>
          <w:pgSz w:w="11900" w:h="16838" w:orient="portrait"/>
          <w:cols w:equalWidth="0" w:num="2">
            <w:col w:w="2980" w:space="720"/>
            <w:col w:w="6519"/>
          </w:cols>
          <w:pgMar w:left="240" w:top="520"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Charles C. Baum</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w:t>
      </w:r>
    </w:p>
    <w:p>
      <w:pPr>
        <w:spacing w:after="0" w:line="200" w:lineRule="exact"/>
        <w:rPr>
          <w:sz w:val="20"/>
          <w:szCs w:val="20"/>
          <w:color w:val="auto"/>
        </w:rPr>
      </w:pPr>
    </w:p>
    <w:p>
      <w:pPr>
        <w:sectPr>
          <w:pgSz w:w="11900" w:h="16838" w:orient="portrait"/>
          <w:cols w:equalWidth="0" w:num="2">
            <w:col w:w="2980" w:space="720"/>
            <w:col w:w="6519"/>
          </w:cols>
          <w:pgMar w:left="240" w:top="520"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Dr. Eamon M. Kelly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w:t>
      </w:r>
    </w:p>
    <w:p>
      <w:pPr>
        <w:spacing w:after="0" w:line="200" w:lineRule="exact"/>
        <w:rPr>
          <w:sz w:val="20"/>
          <w:szCs w:val="20"/>
          <w:color w:val="auto"/>
        </w:rPr>
      </w:pPr>
    </w:p>
    <w:p>
      <w:pPr>
        <w:sectPr>
          <w:pgSz w:w="11900" w:h="16838" w:orient="portrait"/>
          <w:cols w:equalWidth="0" w:num="2">
            <w:col w:w="2980" w:space="720"/>
            <w:col w:w="6519"/>
          </w:cols>
          <w:pgMar w:left="240" w:top="520"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Karl Otto Pohl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Sal Oppenheim Jr. &amp; Cie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Bockenheimer Landstrasse 20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D-6000 FRANKFURT AM MAIN</w:t>
      </w:r>
    </w:p>
    <w:p>
      <w:pPr>
        <w:spacing w:after="0" w:line="238" w:lineRule="auto"/>
        <w:rPr>
          <w:sz w:val="20"/>
          <w:szCs w:val="20"/>
          <w:color w:val="auto"/>
        </w:rPr>
      </w:pPr>
      <w:r>
        <w:rPr>
          <w:rFonts w:ascii="Courier New" w:cs="Courier New" w:eastAsia="Courier New" w:hAnsi="Courier New"/>
          <w:sz w:val="18"/>
          <w:szCs w:val="18"/>
          <w:color w:val="auto"/>
        </w:rPr>
        <w:t>Germany</w:t>
      </w:r>
    </w:p>
    <w:p>
      <w:pPr>
        <w:spacing w:after="0" w:line="200" w:lineRule="exact"/>
        <w:rPr>
          <w:sz w:val="20"/>
          <w:szCs w:val="20"/>
          <w:color w:val="auto"/>
        </w:rPr>
      </w:pPr>
    </w:p>
    <w:p>
      <w:pPr>
        <w:sectPr>
          <w:pgSz w:w="11900" w:h="16838" w:orient="portrait"/>
          <w:cols w:equalWidth="0" w:num="2">
            <w:col w:w="2980" w:space="720"/>
            <w:col w:w="6519"/>
          </w:cols>
          <w:pgMar w:left="240" w:top="520"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w:t>
      </w:r>
    </w:p>
    <w:p>
      <w:pPr>
        <w:sectPr>
          <w:pgSz w:w="11900" w:h="16838" w:orient="portrait"/>
          <w:cols w:equalWidth="0" w:num="1">
            <w:col w:w="10219"/>
          </w:cols>
          <w:pgMar w:left="240" w:top="520" w:right="1440" w:bottom="0" w:gutter="0" w:footer="0" w:header="0"/>
          <w:type w:val="continuous"/>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Mario J. Gabelli</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Chief Executive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and Chief Investment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2980" w:space="720"/>
            <w:col w:w="6519"/>
          </w:cols>
          <w:pgMar w:left="240" w:top="520" w:right="1440" w:bottom="0" w:gutter="0" w:footer="0" w:header="0"/>
          <w:type w:val="continuous"/>
        </w:sect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Stephen G. Bondi</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President-Finance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Adminstration</w:t>
      </w:r>
    </w:p>
    <w:p>
      <w:pPr>
        <w:spacing w:after="0" w:line="200" w:lineRule="exact"/>
        <w:rPr>
          <w:sz w:val="20"/>
          <w:szCs w:val="20"/>
          <w:color w:val="auto"/>
        </w:rPr>
      </w:pPr>
    </w:p>
    <w:p>
      <w:pPr>
        <w:sectPr>
          <w:pgSz w:w="11900" w:h="16838" w:orient="portrait"/>
          <w:cols w:equalWidth="0" w:num="2">
            <w:col w:w="2980" w:space="720"/>
            <w:col w:w="6519"/>
          </w:cols>
          <w:pgMar w:left="240" w:top="520"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S. Zuccaro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Chief Financial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2980" w:space="720"/>
            <w:col w:w="6519"/>
          </w:cols>
          <w:pgMar w:left="240" w:top="520"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James E. McKee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General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Counsel and Secretary</w:t>
      </w:r>
    </w:p>
    <w:p>
      <w:pPr>
        <w:spacing w:after="0" w:line="200" w:lineRule="exact"/>
        <w:rPr>
          <w:sz w:val="20"/>
          <w:szCs w:val="20"/>
          <w:color w:val="auto"/>
        </w:rPr>
      </w:pPr>
    </w:p>
    <w:p>
      <w:pPr>
        <w:sectPr>
          <w:pgSz w:w="11900" w:h="16838" w:orient="portrait"/>
          <w:cols w:equalWidth="0" w:num="2">
            <w:col w:w="2980" w:space="720"/>
            <w:col w:w="6519"/>
          </w:cols>
          <w:pgMar w:left="240" w:top="520"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Investors,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Mario J. Gabelli</w:t>
      </w:r>
    </w:p>
    <w:p>
      <w:pPr>
        <w:ind w:left="540"/>
        <w:spacing w:after="0" w:line="238" w:lineRule="auto"/>
        <w:rPr>
          <w:sz w:val="20"/>
          <w:szCs w:val="20"/>
          <w:color w:val="auto"/>
        </w:rPr>
      </w:pPr>
      <w:r>
        <w:rPr>
          <w:rFonts w:ascii="Courier New" w:cs="Courier New" w:eastAsia="Courier New" w:hAnsi="Courier New"/>
          <w:sz w:val="18"/>
          <w:szCs w:val="18"/>
          <w:color w:val="auto"/>
        </w:rPr>
        <w:t>Douglas R. Jamieson</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Joseph R. Rindler, Jr.</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Regina M. Pitaro</w:t>
      </w:r>
    </w:p>
    <w:p>
      <w:pPr>
        <w:ind w:left="540"/>
        <w:spacing w:after="0" w:line="238" w:lineRule="auto"/>
        <w:rPr>
          <w:sz w:val="20"/>
          <w:szCs w:val="20"/>
          <w:color w:val="auto"/>
        </w:rPr>
      </w:pPr>
      <w:r>
        <w:rPr>
          <w:rFonts w:ascii="Courier New" w:cs="Courier New" w:eastAsia="Courier New" w:hAnsi="Courier New"/>
          <w:sz w:val="18"/>
          <w:szCs w:val="18"/>
          <w:color w:val="auto"/>
        </w:rPr>
        <w:t>F. William Scholz, II</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ectPr>
          <w:pgSz w:w="11900" w:h="16838" w:orient="portrait"/>
          <w:cols w:equalWidth="0" w:num="1">
            <w:col w:w="10219"/>
          </w:cols>
          <w:pgMar w:left="240" w:top="520" w:right="1440" w:bottom="0" w:gutter="0" w:footer="0" w:header="0"/>
          <w:type w:val="continuous"/>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Mario J. Gabelli</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Chief Investment Officer</w:t>
      </w:r>
    </w:p>
    <w:p>
      <w:pPr>
        <w:spacing w:after="0" w:line="200" w:lineRule="exact"/>
        <w:rPr>
          <w:sz w:val="20"/>
          <w:szCs w:val="20"/>
          <w:color w:val="auto"/>
        </w:rPr>
      </w:pPr>
    </w:p>
    <w:p>
      <w:pPr>
        <w:sectPr>
          <w:pgSz w:w="11900" w:h="16838" w:orient="portrait"/>
          <w:cols w:equalWidth="0" w:num="2">
            <w:col w:w="2980" w:space="720"/>
            <w:col w:w="6519"/>
          </w:cols>
          <w:pgMar w:left="240" w:top="520"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Joseph R. Rindler, Jr.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w:t>
      </w:r>
    </w:p>
    <w:p>
      <w:pPr>
        <w:spacing w:after="0" w:line="200" w:lineRule="exact"/>
        <w:rPr>
          <w:sz w:val="20"/>
          <w:szCs w:val="20"/>
          <w:color w:val="auto"/>
        </w:rPr>
      </w:pPr>
    </w:p>
    <w:p>
      <w:pPr>
        <w:sectPr>
          <w:pgSz w:w="11900" w:h="16838" w:orient="portrait"/>
          <w:cols w:equalWidth="0" w:num="2">
            <w:col w:w="2980" w:space="720"/>
            <w:col w:w="6519"/>
          </w:cols>
          <w:pgMar w:left="240" w:top="520"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Douglas R. Jamieson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ectPr>
          <w:pgSz w:w="11900" w:h="16838" w:orient="portrait"/>
          <w:cols w:equalWidth="0" w:num="2">
            <w:col w:w="2980" w:space="720"/>
            <w:col w:w="6519"/>
          </w:cols>
          <w:pgMar w:left="240" w:top="520"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S. Zuccaro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Chief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ectPr>
          <w:pgSz w:w="11900" w:h="16838" w:orient="portrait"/>
          <w:cols w:equalWidth="0" w:num="2">
            <w:col w:w="2980" w:space="720"/>
            <w:col w:w="6519"/>
          </w:cols>
          <w:pgMar w:left="240" w:top="520"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Stephen G. Bondi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w:t>
      </w:r>
    </w:p>
    <w:p>
      <w:pPr>
        <w:spacing w:after="0" w:line="200" w:lineRule="exact"/>
        <w:rPr>
          <w:sz w:val="20"/>
          <w:szCs w:val="20"/>
          <w:color w:val="auto"/>
        </w:rPr>
      </w:pPr>
    </w:p>
    <w:p>
      <w:pPr>
        <w:sectPr>
          <w:pgSz w:w="11900" w:h="16838" w:orient="portrait"/>
          <w:cols w:equalWidth="0" w:num="2">
            <w:col w:w="2980" w:space="720"/>
            <w:col w:w="6519"/>
          </w:cols>
          <w:pgMar w:left="240" w:top="520"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James E. McKee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Counsel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ectPr>
          <w:pgSz w:w="11900" w:h="16838" w:orient="portrait"/>
          <w:cols w:equalWidth="0" w:num="2">
            <w:col w:w="2980" w:space="720"/>
            <w:col w:w="6519"/>
          </w:cols>
          <w:pgMar w:left="240" w:top="520"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Peter D. Goldstein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Deputy General Counsel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ectPr>
          <w:pgSz w:w="11900" w:h="16838" w:orient="portrait"/>
          <w:cols w:equalWidth="0" w:num="2">
            <w:col w:w="2980" w:space="720"/>
            <w:col w:w="6519"/>
          </w:cols>
          <w:pgMar w:left="240" w:top="520"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Gabelli Funds, LLC</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ectPr>
          <w:pgSz w:w="11900" w:h="16838" w:orient="portrait"/>
          <w:cols w:equalWidth="0" w:num="1">
            <w:col w:w="10219"/>
          </w:cols>
          <w:pgMar w:left="240" w:top="520" w:right="1440" w:bottom="0" w:gutter="0" w:footer="0" w:header="0"/>
          <w:type w:val="continuous"/>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Mario J. Gabelli</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Investment Officer</w:t>
      </w:r>
    </w:p>
    <w:p>
      <w:pPr>
        <w:spacing w:after="0" w:line="200" w:lineRule="exact"/>
        <w:rPr>
          <w:sz w:val="20"/>
          <w:szCs w:val="20"/>
          <w:color w:val="auto"/>
        </w:rPr>
      </w:pPr>
    </w:p>
    <w:p>
      <w:pPr>
        <w:sectPr>
          <w:pgSz w:w="11900" w:h="16838" w:orient="portrait"/>
          <w:cols w:equalWidth="0" w:num="2">
            <w:col w:w="2980" w:space="720"/>
            <w:col w:w="6519"/>
          </w:cols>
          <w:pgMar w:left="240" w:top="520"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Bruce N. Alpert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Operating Officer</w:t>
      </w:r>
    </w:p>
    <w:p>
      <w:pPr>
        <w:sectPr>
          <w:pgSz w:w="11900" w:h="16838" w:orient="portrait"/>
          <w:cols w:equalWidth="0" w:num="2">
            <w:col w:w="2980" w:space="720"/>
            <w:col w:w="6519"/>
          </w:cols>
          <w:pgMar w:left="240" w:top="520" w:right="1440" w:bottom="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4"/>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Gus Coutsouros</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6"/>
              </w:rPr>
              <w:t>Vice President and Chief Financial</w:t>
            </w:r>
          </w:p>
        </w:tc>
      </w:tr>
      <w:tr>
        <w:trPr>
          <w:trHeight w:val="203"/>
        </w:trPr>
        <w:tc>
          <w:tcPr>
            <w:tcW w:w="3280" w:type="dxa"/>
            <w:vAlign w:val="bottom"/>
          </w:tcPr>
          <w:p>
            <w:pPr>
              <w:spacing w:after="0"/>
              <w:rPr>
                <w:sz w:val="17"/>
                <w:szCs w:val="17"/>
                <w:color w:val="auto"/>
              </w:rPr>
            </w:pPr>
          </w:p>
        </w:tc>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Officer</w:t>
            </w:r>
          </w:p>
        </w:tc>
        <w:tc>
          <w:tcPr>
            <w:tcW w:w="2120" w:type="dxa"/>
            <w:vAlign w:val="bottom"/>
          </w:tcPr>
          <w:p>
            <w:pPr>
              <w:spacing w:after="0"/>
              <w:rPr>
                <w:sz w:val="17"/>
                <w:szCs w:val="17"/>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w w:val="95"/>
              </w:rPr>
              <w:t>Vice President</w:t>
            </w: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James E. McKee</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Secretary</w:t>
            </w:r>
          </w:p>
        </w:tc>
        <w:tc>
          <w:tcPr>
            <w:tcW w:w="2120" w:type="dxa"/>
            <w:vAlign w:val="bottom"/>
          </w:tcPr>
          <w:p>
            <w:pPr>
              <w:spacing w:after="0"/>
              <w:rPr>
                <w:sz w:val="24"/>
                <w:szCs w:val="24"/>
                <w:color w:val="auto"/>
              </w:rPr>
            </w:pPr>
          </w:p>
        </w:tc>
      </w:tr>
      <w:tr>
        <w:trPr>
          <w:trHeight w:val="608"/>
        </w:trPr>
        <w:tc>
          <w:tcPr>
            <w:tcW w:w="3280" w:type="dxa"/>
            <w:vAlign w:val="bottom"/>
          </w:tcPr>
          <w:p>
            <w:pPr>
              <w:spacing w:after="0"/>
              <w:rPr>
                <w:sz w:val="20"/>
                <w:szCs w:val="20"/>
                <w:color w:val="auto"/>
              </w:rPr>
            </w:pPr>
            <w:r>
              <w:rPr>
                <w:rFonts w:ascii="Courier New" w:cs="Courier New" w:eastAsia="Courier New" w:hAnsi="Courier New"/>
                <w:sz w:val="18"/>
                <w:szCs w:val="18"/>
                <w:color w:val="auto"/>
              </w:rPr>
              <w:t>Gabelli Advisers, Inc.</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Bruce N. Alpert</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John D. Gabelli</w:t>
            </w:r>
          </w:p>
        </w:tc>
        <w:tc>
          <w:tcPr>
            <w:tcW w:w="18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Joseph R. Rindler, Jr.</w:t>
            </w:r>
          </w:p>
        </w:tc>
        <w:tc>
          <w:tcPr>
            <w:tcW w:w="18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Bruce N. Alpert</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Chief Operating Officer</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w w:val="95"/>
              </w:rPr>
              <w:t>Vice President</w:t>
            </w: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James E. McKee</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Secretary</w:t>
            </w:r>
          </w:p>
        </w:tc>
        <w:tc>
          <w:tcPr>
            <w:tcW w:w="212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Gabelli Securities, Inc.</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W. Blake</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President of W.R. Blake</w:t>
            </w:r>
          </w:p>
        </w:tc>
      </w:tr>
      <w:tr>
        <w:trPr>
          <w:trHeight w:val="203"/>
        </w:trPr>
        <w:tc>
          <w:tcPr>
            <w:tcW w:w="3280" w:type="dxa"/>
            <w:vAlign w:val="bottom"/>
          </w:tcPr>
          <w:p>
            <w:pPr>
              <w:spacing w:after="0"/>
              <w:rPr>
                <w:sz w:val="17"/>
                <w:szCs w:val="17"/>
                <w:color w:val="auto"/>
              </w:rPr>
            </w:pPr>
          </w:p>
        </w:tc>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&amp; Sons, Inc.</w:t>
            </w:r>
          </w:p>
        </w:tc>
        <w:tc>
          <w:tcPr>
            <w:tcW w:w="212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196-20 Northern Boulevard</w:t>
            </w:r>
          </w:p>
        </w:tc>
      </w:tr>
      <w:tr>
        <w:trPr>
          <w:trHeight w:val="203"/>
        </w:trPr>
        <w:tc>
          <w:tcPr>
            <w:tcW w:w="3280" w:type="dxa"/>
            <w:vAlign w:val="bottom"/>
          </w:tcPr>
          <w:p>
            <w:pPr>
              <w:spacing w:after="0"/>
              <w:rPr>
                <w:sz w:val="17"/>
                <w:szCs w:val="17"/>
                <w:color w:val="auto"/>
              </w:rPr>
            </w:pPr>
          </w:p>
        </w:tc>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Flushing, NY</w:t>
            </w:r>
          </w:p>
        </w:tc>
        <w:tc>
          <w:tcPr>
            <w:tcW w:w="21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6"/>
              </w:rPr>
              <w:t>11358</w:t>
            </w:r>
          </w:p>
        </w:tc>
      </w:tr>
      <w:tr>
        <w:trPr>
          <w:trHeight w:val="608"/>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Douglas G. DeVivo</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General Partner of ALCE</w:t>
            </w:r>
          </w:p>
        </w:tc>
      </w:tr>
      <w:tr>
        <w:trPr>
          <w:trHeight w:val="203"/>
        </w:trPr>
        <w:tc>
          <w:tcPr>
            <w:tcW w:w="3280" w:type="dxa"/>
            <w:vAlign w:val="bottom"/>
          </w:tcPr>
          <w:p>
            <w:pPr>
              <w:spacing w:after="0"/>
              <w:rPr>
                <w:sz w:val="17"/>
                <w:szCs w:val="17"/>
                <w:color w:val="auto"/>
              </w:rPr>
            </w:pPr>
          </w:p>
        </w:tc>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Partners, L.P.</w:t>
            </w:r>
          </w:p>
        </w:tc>
        <w:tc>
          <w:tcPr>
            <w:tcW w:w="212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One First Street, Suite 16</w:t>
            </w:r>
          </w:p>
        </w:tc>
      </w:tr>
      <w:tr>
        <w:trPr>
          <w:trHeight w:val="203"/>
        </w:trPr>
        <w:tc>
          <w:tcPr>
            <w:tcW w:w="3280" w:type="dxa"/>
            <w:vAlign w:val="bottom"/>
          </w:tcPr>
          <w:p>
            <w:pPr>
              <w:spacing w:after="0"/>
              <w:rPr>
                <w:sz w:val="17"/>
                <w:szCs w:val="17"/>
                <w:color w:val="auto"/>
              </w:rPr>
            </w:pPr>
          </w:p>
        </w:tc>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Los Altos, CA</w:t>
            </w:r>
          </w:p>
        </w:tc>
        <w:tc>
          <w:tcPr>
            <w:tcW w:w="21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94022</w:t>
            </w:r>
          </w:p>
        </w:tc>
      </w:tr>
      <w:tr>
        <w:trPr>
          <w:trHeight w:val="608"/>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Joseph R. Rindler, Jr.</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See above</w:t>
            </w:r>
          </w:p>
        </w:tc>
        <w:tc>
          <w:tcPr>
            <w:tcW w:w="212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w w:val="95"/>
              </w:rPr>
              <w:t>Vice President</w:t>
            </w: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S. Zuccaro</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Vice President-Finance</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James E. McKee</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Secretary</w:t>
            </w:r>
          </w:p>
        </w:tc>
        <w:tc>
          <w:tcPr>
            <w:tcW w:w="2120" w:type="dxa"/>
            <w:vAlign w:val="bottom"/>
          </w:tcPr>
          <w:p>
            <w:pPr>
              <w:spacing w:after="0"/>
              <w:rPr>
                <w:sz w:val="24"/>
                <w:szCs w:val="24"/>
                <w:color w:val="auto"/>
              </w:rPr>
            </w:pPr>
          </w:p>
        </w:tc>
      </w:tr>
      <w:tr>
        <w:trPr>
          <w:trHeight w:val="810"/>
        </w:trPr>
        <w:tc>
          <w:tcPr>
            <w:tcW w:w="3280" w:type="dxa"/>
            <w:vAlign w:val="bottom"/>
          </w:tcPr>
          <w:p>
            <w:pPr>
              <w:spacing w:after="0"/>
              <w:rPr>
                <w:sz w:val="20"/>
                <w:szCs w:val="20"/>
                <w:color w:val="auto"/>
              </w:rPr>
            </w:pPr>
            <w:r>
              <w:rPr>
                <w:rFonts w:ascii="Courier New" w:cs="Courier New" w:eastAsia="Courier New" w:hAnsi="Courier New"/>
                <w:sz w:val="18"/>
                <w:szCs w:val="18"/>
                <w:color w:val="auto"/>
              </w:rPr>
              <w:t>Gabelli &amp; Company, Inc.</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James G. Webster, III</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Chairman</w:t>
            </w: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See above</w:t>
            </w: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Donald C. Jenkins</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Director of Research</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James G. Webster, III</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Chairman</w:t>
            </w: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w w:val="95"/>
              </w:rPr>
              <w:t>Vice President</w:t>
            </w: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Bruce N. Alpert</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Vice President-Mutual Funds</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Walter K. Walsh</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Compliance Officer</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James E. McKee</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Secretary</w:t>
            </w:r>
          </w:p>
        </w:tc>
        <w:tc>
          <w:tcPr>
            <w:tcW w:w="2120" w:type="dxa"/>
            <w:vAlign w:val="bottom"/>
          </w:tcPr>
          <w:p>
            <w:pPr>
              <w:spacing w:after="0"/>
              <w:rPr>
                <w:sz w:val="24"/>
                <w:szCs w:val="24"/>
                <w:color w:val="auto"/>
              </w:rPr>
            </w:pPr>
          </w:p>
        </w:tc>
      </w:tr>
      <w:tr>
        <w:trPr>
          <w:trHeight w:val="608"/>
        </w:trPr>
        <w:tc>
          <w:tcPr>
            <w:tcW w:w="3280" w:type="dxa"/>
            <w:vAlign w:val="bottom"/>
          </w:tcPr>
          <w:p>
            <w:pPr>
              <w:spacing w:after="0"/>
              <w:rPr>
                <w:sz w:val="20"/>
                <w:szCs w:val="20"/>
                <w:color w:val="auto"/>
              </w:rPr>
            </w:pPr>
            <w:r>
              <w:rPr>
                <w:rFonts w:ascii="Courier New" w:cs="Courier New" w:eastAsia="Courier New" w:hAnsi="Courier New"/>
                <w:sz w:val="18"/>
                <w:szCs w:val="18"/>
                <w:color w:val="auto"/>
              </w:rPr>
              <w:t>GLI, Inc.</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Directors:</w:t>
            </w:r>
          </w:p>
        </w:tc>
        <w:tc>
          <w:tcPr>
            <w:tcW w:w="18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See above-Gabelli Funds, Inc.</w:t>
            </w:r>
          </w:p>
        </w:tc>
      </w:tr>
    </w:tbl>
    <w:p>
      <w:pPr>
        <w:sectPr>
          <w:pgSz w:w="11900" w:h="16838" w:orient="portrait"/>
          <w:cols w:equalWidth="0" w:num="1">
            <w:col w:w="10219"/>
          </w:cols>
          <w:pgMar w:left="240" w:top="339" w:right="1440"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4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Chairman and Chief Investment</w:t>
            </w:r>
          </w:p>
        </w:tc>
      </w:tr>
      <w:tr>
        <w:trPr>
          <w:trHeight w:val="203"/>
        </w:trPr>
        <w:tc>
          <w:tcPr>
            <w:tcW w:w="34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2420" w:type="dxa"/>
            <w:vAlign w:val="bottom"/>
          </w:tcPr>
          <w:p>
            <w:pPr>
              <w:spacing w:after="0"/>
              <w:rPr>
                <w:sz w:val="17"/>
                <w:szCs w:val="17"/>
                <w:color w:val="auto"/>
              </w:rPr>
            </w:pP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Gabelli Associates Limited</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See above-Gabelli Funds, Inc.</w:t>
            </w:r>
          </w:p>
        </w:tc>
      </w:tr>
      <w:tr>
        <w:trPr>
          <w:trHeight w:val="608"/>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Roger Hanson (2)</w:t>
            </w: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MeesPierson</w:t>
            </w:r>
          </w:p>
        </w:tc>
        <w:tc>
          <w:tcPr>
            <w:tcW w:w="2420" w:type="dxa"/>
            <w:vAlign w:val="bottom"/>
          </w:tcPr>
          <w:p>
            <w:pPr>
              <w:ind w:left="100"/>
              <w:spacing w:after="0"/>
              <w:rPr>
                <w:sz w:val="20"/>
                <w:szCs w:val="20"/>
                <w:color w:val="auto"/>
              </w:rPr>
            </w:pPr>
            <w:r>
              <w:rPr>
                <w:rFonts w:ascii="Courier New" w:cs="Courier New" w:eastAsia="Courier New" w:hAnsi="Courier New"/>
                <w:sz w:val="18"/>
                <w:szCs w:val="18"/>
                <w:color w:val="auto"/>
              </w:rPr>
              <w:t>(Cayman)</w:t>
            </w:r>
          </w:p>
        </w:tc>
      </w:tr>
      <w:tr>
        <w:trPr>
          <w:trHeight w:val="203"/>
        </w:trPr>
        <w:tc>
          <w:tcPr>
            <w:tcW w:w="34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Limited</w:t>
            </w:r>
          </w:p>
        </w:tc>
        <w:tc>
          <w:tcPr>
            <w:tcW w:w="242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British American Centre</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Dr. Roy's Drive- Phase 3</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Georgetown, Grand Cayman</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Cayman Islands, British</w:t>
            </w:r>
          </w:p>
        </w:tc>
      </w:tr>
      <w:tr>
        <w:trPr>
          <w:trHeight w:val="203"/>
        </w:trPr>
        <w:tc>
          <w:tcPr>
            <w:tcW w:w="34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WestIndies</w:t>
            </w:r>
          </w:p>
        </w:tc>
        <w:tc>
          <w:tcPr>
            <w:tcW w:w="242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Chief Investment Officer</w:t>
            </w: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Kevin Bromley (2)</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Vice President, Treasurer and</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Assistant Secretary</w:t>
            </w: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Sandra Wright (2)</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Secretary and Assistant Treasurer</w:t>
            </w:r>
          </w:p>
        </w:tc>
      </w:tr>
      <w:tr>
        <w:trPr>
          <w:trHeight w:val="810"/>
        </w:trPr>
        <w:tc>
          <w:tcPr>
            <w:tcW w:w="3480" w:type="dxa"/>
            <w:vAlign w:val="bottom"/>
          </w:tcPr>
          <w:p>
            <w:pPr>
              <w:spacing w:after="0"/>
              <w:rPr>
                <w:sz w:val="20"/>
                <w:szCs w:val="20"/>
                <w:color w:val="auto"/>
              </w:rPr>
            </w:pPr>
            <w:r>
              <w:rPr>
                <w:rFonts w:ascii="Courier New" w:cs="Courier New" w:eastAsia="Courier New" w:hAnsi="Courier New"/>
                <w:sz w:val="18"/>
                <w:szCs w:val="18"/>
                <w:color w:val="auto"/>
              </w:rPr>
              <w:t>Gabelli International Limited</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See above-Gabelli Funds, Inc.</w:t>
            </w: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Roger Hanson (2)</w:t>
            </w: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MeesPierson</w:t>
            </w:r>
          </w:p>
        </w:tc>
        <w:tc>
          <w:tcPr>
            <w:tcW w:w="2420" w:type="dxa"/>
            <w:vAlign w:val="bottom"/>
          </w:tcPr>
          <w:p>
            <w:pPr>
              <w:ind w:left="100"/>
              <w:spacing w:after="0"/>
              <w:rPr>
                <w:sz w:val="20"/>
                <w:szCs w:val="20"/>
                <w:color w:val="auto"/>
              </w:rPr>
            </w:pPr>
            <w:r>
              <w:rPr>
                <w:rFonts w:ascii="Courier New" w:cs="Courier New" w:eastAsia="Courier New" w:hAnsi="Courier New"/>
                <w:sz w:val="18"/>
                <w:szCs w:val="18"/>
                <w:color w:val="auto"/>
              </w:rPr>
              <w:t>(Cayman)</w:t>
            </w:r>
          </w:p>
        </w:tc>
      </w:tr>
      <w:tr>
        <w:trPr>
          <w:trHeight w:val="203"/>
        </w:trPr>
        <w:tc>
          <w:tcPr>
            <w:tcW w:w="34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Limited</w:t>
            </w:r>
          </w:p>
        </w:tc>
        <w:tc>
          <w:tcPr>
            <w:tcW w:w="242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British American Centre</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Dr. Roy's Drive- Phase 3</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Georgetown, Grand Cayman</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Cayman Islands, British West Indies</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Kevin Bromley (2)</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Vice President, Treasurer, and</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Assistant Secretary</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MeesPierson (Cayman) Limited</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British American Centre</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Dr. Roy's Drive- Phase 3</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Georgetown, Grand Cayman</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Cayman Islands, British West Indies</w:t>
            </w: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Sandra Wright (2)</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Secretary and Assistant Treasurer</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Assistant Secretary</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MeesPierson (Cayman) Limited</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British American Centre</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Dr. Roy's Drive- Phase 3</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Georgetown, Grand Cayman</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Cayman Islands, British West Indies</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Gemini Capitial Management Ltd.</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Marc J. Gabelli</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See above-Gabelli Funds, Inc.</w:t>
            </w: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See Above-Gabelli Funds, Inc.</w:t>
            </w: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Michael A. Salatto</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Controller, Gabelli Securities,</w:t>
            </w:r>
          </w:p>
        </w:tc>
      </w:tr>
      <w:tr>
        <w:trPr>
          <w:trHeight w:val="203"/>
        </w:trPr>
        <w:tc>
          <w:tcPr>
            <w:tcW w:w="34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w:t>
            </w:r>
          </w:p>
        </w:tc>
        <w:tc>
          <w:tcPr>
            <w:tcW w:w="2420" w:type="dxa"/>
            <w:vAlign w:val="bottom"/>
          </w:tcPr>
          <w:p>
            <w:pPr>
              <w:spacing w:after="0"/>
              <w:rPr>
                <w:sz w:val="17"/>
                <w:szCs w:val="17"/>
                <w:color w:val="auto"/>
              </w:rPr>
            </w:pP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Michael J. Burns (3)</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Appleby, Spurling &amp; Kempe</w:t>
            </w:r>
          </w:p>
        </w:tc>
      </w:tr>
      <w:tr>
        <w:trPr>
          <w:trHeight w:val="203"/>
        </w:trPr>
        <w:tc>
          <w:tcPr>
            <w:tcW w:w="34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Cedar House</w:t>
            </w:r>
          </w:p>
        </w:tc>
        <w:tc>
          <w:tcPr>
            <w:tcW w:w="242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41 Cedar Avenue</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Hamilton, HM12</w:t>
            </w:r>
          </w:p>
        </w:tc>
      </w:tr>
      <w:tr>
        <w:trPr>
          <w:trHeight w:val="203"/>
        </w:trPr>
        <w:tc>
          <w:tcPr>
            <w:tcW w:w="34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Bermuda</w:t>
            </w:r>
          </w:p>
        </w:tc>
        <w:tc>
          <w:tcPr>
            <w:tcW w:w="242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18" w:name="page19"/>
    <w:bookmarkEnd w:id="18"/>
    <w:p>
      <w:pPr>
        <w:ind w:left="540"/>
        <w:spacing w:after="0"/>
        <w:rPr>
          <w:sz w:val="20"/>
          <w:szCs w:val="20"/>
          <w:color w:val="auto"/>
        </w:rPr>
      </w:pPr>
      <w:r>
        <w:rPr>
          <w:rFonts w:ascii="Courier New" w:cs="Courier New" w:eastAsia="Courier New" w:hAnsi="Courier New"/>
          <w:sz w:val="16"/>
          <w:szCs w:val="16"/>
          <w:color w:val="auto"/>
        </w:rPr>
        <w:t>Douglas Molyneux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Appleby, Spurling &amp; Kempe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Cedar House</w:t>
      </w:r>
    </w:p>
    <w:p>
      <w:pPr>
        <w:spacing w:after="0" w:line="238" w:lineRule="auto"/>
        <w:rPr>
          <w:sz w:val="20"/>
          <w:szCs w:val="20"/>
          <w:color w:val="auto"/>
        </w:rPr>
      </w:pPr>
      <w:r>
        <w:rPr>
          <w:rFonts w:ascii="Courier New" w:cs="Courier New" w:eastAsia="Courier New" w:hAnsi="Courier New"/>
          <w:sz w:val="18"/>
          <w:szCs w:val="18"/>
          <w:color w:val="auto"/>
        </w:rPr>
        <w:t>41 Cedar Avenue</w:t>
      </w:r>
    </w:p>
    <w:p>
      <w:pPr>
        <w:spacing w:after="0"/>
        <w:rPr>
          <w:sz w:val="20"/>
          <w:szCs w:val="20"/>
          <w:color w:val="auto"/>
        </w:rPr>
      </w:pPr>
      <w:r>
        <w:rPr>
          <w:rFonts w:ascii="Courier New" w:cs="Courier New" w:eastAsia="Courier New" w:hAnsi="Courier New"/>
          <w:sz w:val="18"/>
          <w:szCs w:val="18"/>
          <w:color w:val="auto"/>
        </w:rPr>
        <w:t>Hamilton, HM12</w:t>
      </w:r>
    </w:p>
    <w:p>
      <w:pPr>
        <w:spacing w:after="0" w:line="237" w:lineRule="auto"/>
        <w:rPr>
          <w:sz w:val="20"/>
          <w:szCs w:val="20"/>
          <w:color w:val="auto"/>
        </w:rPr>
      </w:pPr>
      <w:r>
        <w:rPr>
          <w:rFonts w:ascii="Courier New" w:cs="Courier New" w:eastAsia="Courier New" w:hAnsi="Courier New"/>
          <w:sz w:val="18"/>
          <w:szCs w:val="18"/>
          <w:color w:val="auto"/>
        </w:rPr>
        <w:t>Bermuda</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Fund, LDC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Johann S. Wong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 Tremont (Bermuda)</w:t>
      </w:r>
    </w:p>
    <w:p>
      <w:pPr>
        <w:spacing w:after="0" w:line="238" w:lineRule="auto"/>
        <w:rPr>
          <w:sz w:val="20"/>
          <w:szCs w:val="20"/>
          <w:color w:val="auto"/>
        </w:rPr>
      </w:pPr>
      <w:r>
        <w:rPr>
          <w:rFonts w:ascii="Courier New" w:cs="Courier New" w:eastAsia="Courier New" w:hAnsi="Courier New"/>
          <w:sz w:val="18"/>
          <w:szCs w:val="18"/>
          <w:color w:val="auto"/>
        </w:rPr>
        <w:t>Limited</w:t>
      </w:r>
    </w:p>
    <w:p>
      <w:pPr>
        <w:spacing w:after="0"/>
        <w:rPr>
          <w:sz w:val="20"/>
          <w:szCs w:val="20"/>
          <w:color w:val="auto"/>
        </w:rPr>
      </w:pPr>
      <w:r>
        <w:rPr>
          <w:rFonts w:ascii="Courier New" w:cs="Courier New" w:eastAsia="Courier New" w:hAnsi="Courier New"/>
          <w:sz w:val="18"/>
          <w:szCs w:val="18"/>
          <w:color w:val="auto"/>
        </w:rPr>
        <w:t>Tremont House</w:t>
      </w:r>
    </w:p>
    <w:p>
      <w:pPr>
        <w:spacing w:after="0" w:line="237" w:lineRule="auto"/>
        <w:rPr>
          <w:sz w:val="20"/>
          <w:szCs w:val="20"/>
          <w:color w:val="auto"/>
        </w:rPr>
      </w:pPr>
      <w:r>
        <w:rPr>
          <w:rFonts w:ascii="Courier New" w:cs="Courier New" w:eastAsia="Courier New" w:hAnsi="Courier New"/>
          <w:sz w:val="18"/>
          <w:szCs w:val="18"/>
          <w:color w:val="auto"/>
        </w:rPr>
        <w:t>4 Park Road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Hamilton HM 11, Bermuda</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Peter D. Anderson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Givens Hall Bank &amp; Trust</w:t>
      </w:r>
    </w:p>
    <w:p>
      <w:pPr>
        <w:spacing w:after="0" w:line="238" w:lineRule="auto"/>
        <w:rPr>
          <w:sz w:val="20"/>
          <w:szCs w:val="20"/>
          <w:color w:val="auto"/>
        </w:rPr>
      </w:pPr>
      <w:r>
        <w:rPr>
          <w:rFonts w:ascii="Courier New" w:cs="Courier New" w:eastAsia="Courier New" w:hAnsi="Courier New"/>
          <w:sz w:val="18"/>
          <w:szCs w:val="18"/>
          <w:color w:val="auto"/>
        </w:rPr>
        <w:t>Genesis Building</w:t>
      </w:r>
    </w:p>
    <w:p>
      <w:pPr>
        <w:spacing w:after="0"/>
        <w:rPr>
          <w:sz w:val="20"/>
          <w:szCs w:val="20"/>
          <w:color w:val="auto"/>
        </w:rPr>
      </w:pPr>
      <w:r>
        <w:rPr>
          <w:rFonts w:ascii="Courier New" w:cs="Courier New" w:eastAsia="Courier New" w:hAnsi="Courier New"/>
          <w:sz w:val="18"/>
          <w:szCs w:val="18"/>
          <w:color w:val="auto"/>
        </w:rPr>
        <w:t>P.O. Box 2097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Grand Cayman, Cayman Islands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BWI3459498141</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Karl Otto Pohl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above</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Anthonie C. van Ekris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below</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Gabelli Global Partners, Ltd.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Stephen G. Bondi</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Marc J. Gabelli</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Patrick Salvisberg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Vice President</w:t>
      </w:r>
    </w:p>
    <w:p>
      <w:pPr>
        <w:spacing w:after="0" w:line="238" w:lineRule="auto"/>
        <w:rPr>
          <w:sz w:val="20"/>
          <w:szCs w:val="20"/>
          <w:color w:val="auto"/>
        </w:rPr>
      </w:pPr>
      <w:r>
        <w:rPr>
          <w:rFonts w:ascii="Courier New" w:cs="Courier New" w:eastAsia="Courier New" w:hAnsi="Courier New"/>
          <w:sz w:val="18"/>
          <w:szCs w:val="18"/>
          <w:color w:val="auto"/>
        </w:rPr>
        <w:t>Institutional Capital Markets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Bear Stearns International Ltd.</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Marco Sampelligrini</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Banco Intesa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Milan, Italy</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Antonie Van Ekris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below</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Corporation</w:t>
      </w:r>
    </w:p>
    <w:p>
      <w:pPr>
        <w:spacing w:after="0" w:line="238" w:lineRule="auto"/>
        <w:rPr>
          <w:sz w:val="20"/>
          <w:szCs w:val="20"/>
          <w:color w:val="auto"/>
        </w:rPr>
      </w:pPr>
      <w:r>
        <w:rPr>
          <w:rFonts w:ascii="Courier New" w:cs="Courier New" w:eastAsia="Courier New" w:hAnsi="Courier New"/>
          <w:sz w:val="18"/>
          <w:szCs w:val="18"/>
          <w:color w:val="auto"/>
        </w:rPr>
        <w:t>401 Theodore Fremd Avenue</w:t>
      </w:r>
    </w:p>
    <w:p>
      <w:pPr>
        <w:spacing w:after="0"/>
        <w:tabs>
          <w:tab w:leader="none" w:pos="940" w:val="left"/>
        </w:tabs>
        <w:rPr>
          <w:sz w:val="20"/>
          <w:szCs w:val="20"/>
          <w:color w:val="auto"/>
        </w:rPr>
      </w:pPr>
      <w:r>
        <w:rPr>
          <w:rFonts w:ascii="Courier New" w:cs="Courier New" w:eastAsia="Courier New" w:hAnsi="Courier New"/>
          <w:sz w:val="18"/>
          <w:szCs w:val="18"/>
          <w:color w:val="auto"/>
        </w:rPr>
        <w:t>Rye, NY</w:t>
      </w:r>
      <w:r>
        <w:rPr>
          <w:sz w:val="20"/>
          <w:szCs w:val="20"/>
          <w:color w:val="auto"/>
        </w:rPr>
        <w:tab/>
      </w:r>
      <w:r>
        <w:rPr>
          <w:rFonts w:ascii="Courier New" w:cs="Courier New" w:eastAsia="Courier New" w:hAnsi="Courier New"/>
          <w:sz w:val="16"/>
          <w:szCs w:val="16"/>
          <w:color w:val="auto"/>
        </w:rPr>
        <w:t>10580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2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2960" w:type="dxa"/>
            <w:vAlign w:val="bottom"/>
          </w:tcPr>
          <w:p>
            <w:pPr>
              <w:ind w:left="540"/>
              <w:spacing w:after="0"/>
              <w:rPr>
                <w:sz w:val="20"/>
                <w:szCs w:val="20"/>
                <w:color w:val="auto"/>
              </w:rPr>
            </w:pPr>
            <w:r>
              <w:rPr>
                <w:rFonts w:ascii="Courier New" w:cs="Courier New" w:eastAsia="Courier New" w:hAnsi="Courier New"/>
                <w:sz w:val="18"/>
                <w:szCs w:val="18"/>
                <w:color w:val="auto"/>
              </w:rPr>
              <w:t>Paul J. Evanson</w:t>
            </w:r>
          </w:p>
        </w:tc>
        <w:tc>
          <w:tcPr>
            <w:tcW w:w="2420" w:type="dxa"/>
            <w:vAlign w:val="bottom"/>
          </w:tcPr>
          <w:p>
            <w:pPr>
              <w:ind w:left="740"/>
              <w:spacing w:after="0"/>
              <w:rPr>
                <w:sz w:val="20"/>
                <w:szCs w:val="20"/>
                <w:color w:val="auto"/>
              </w:rPr>
            </w:pPr>
            <w:r>
              <w:rPr>
                <w:rFonts w:ascii="Courier New" w:cs="Courier New" w:eastAsia="Courier New" w:hAnsi="Courier New"/>
                <w:sz w:val="18"/>
                <w:szCs w:val="18"/>
                <w:color w:val="auto"/>
              </w:rPr>
              <w:t>President</w:t>
            </w:r>
          </w:p>
        </w:tc>
        <w:tc>
          <w:tcPr>
            <w:tcW w:w="1360" w:type="dxa"/>
            <w:vAlign w:val="bottom"/>
          </w:tcPr>
          <w:p>
            <w:pPr>
              <w:spacing w:after="0"/>
              <w:rPr>
                <w:sz w:val="24"/>
                <w:szCs w:val="24"/>
                <w:color w:val="auto"/>
              </w:rPr>
            </w:pPr>
          </w:p>
        </w:tc>
      </w:tr>
      <w:tr>
        <w:trPr>
          <w:trHeight w:val="203"/>
        </w:trPr>
        <w:tc>
          <w:tcPr>
            <w:tcW w:w="296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Florida Light &amp; Power Co.</w:t>
            </w:r>
          </w:p>
        </w:tc>
      </w:tr>
      <w:tr>
        <w:trPr>
          <w:trHeight w:val="203"/>
        </w:trPr>
        <w:tc>
          <w:tcPr>
            <w:tcW w:w="296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P.O Box 14000</w:t>
            </w:r>
          </w:p>
        </w:tc>
        <w:tc>
          <w:tcPr>
            <w:tcW w:w="13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700 Universe Blvd.</w:t>
            </w:r>
          </w:p>
        </w:tc>
      </w:tr>
      <w:tr>
        <w:trPr>
          <w:trHeight w:val="203"/>
        </w:trPr>
        <w:tc>
          <w:tcPr>
            <w:tcW w:w="296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Juno Beach, Fl 33408</w:t>
            </w:r>
          </w:p>
        </w:tc>
      </w:tr>
      <w:tr>
        <w:trPr>
          <w:trHeight w:val="405"/>
        </w:trPr>
        <w:tc>
          <w:tcPr>
            <w:tcW w:w="296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378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6"/>
              </w:rPr>
              <w:t>See above-Gabelli Funds, Inc.</w:t>
            </w:r>
          </w:p>
        </w:tc>
      </w:tr>
      <w:tr>
        <w:trPr>
          <w:trHeight w:val="608"/>
        </w:trPr>
        <w:tc>
          <w:tcPr>
            <w:tcW w:w="2960" w:type="dxa"/>
            <w:vAlign w:val="bottom"/>
          </w:tcPr>
          <w:p>
            <w:pPr>
              <w:ind w:left="540"/>
              <w:spacing w:after="0"/>
              <w:rPr>
                <w:sz w:val="20"/>
                <w:szCs w:val="20"/>
                <w:color w:val="auto"/>
              </w:rPr>
            </w:pPr>
            <w:r>
              <w:rPr>
                <w:rFonts w:ascii="Courier New" w:cs="Courier New" w:eastAsia="Courier New" w:hAnsi="Courier New"/>
                <w:sz w:val="18"/>
                <w:szCs w:val="18"/>
                <w:color w:val="auto"/>
              </w:rPr>
              <w:t>E. Val Cerutti</w:t>
            </w:r>
          </w:p>
        </w:tc>
        <w:tc>
          <w:tcPr>
            <w:tcW w:w="37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Business Consultant</w:t>
            </w:r>
          </w:p>
        </w:tc>
      </w:tr>
      <w:tr>
        <w:trPr>
          <w:trHeight w:val="203"/>
        </w:trPr>
        <w:tc>
          <w:tcPr>
            <w:tcW w:w="296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Cerutti Consultants</w:t>
            </w:r>
          </w:p>
        </w:tc>
      </w:tr>
      <w:tr>
        <w:trPr>
          <w:trHeight w:val="203"/>
        </w:trPr>
        <w:tc>
          <w:tcPr>
            <w:tcW w:w="296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227 McLain Street</w:t>
            </w:r>
          </w:p>
        </w:tc>
      </w:tr>
      <w:tr>
        <w:trPr>
          <w:trHeight w:val="203"/>
        </w:trPr>
        <w:tc>
          <w:tcPr>
            <w:tcW w:w="296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Mount Kisco, NY</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10540</w:t>
            </w:r>
          </w:p>
        </w:tc>
      </w:tr>
      <w:tr>
        <w:trPr>
          <w:trHeight w:val="405"/>
        </w:trPr>
        <w:tc>
          <w:tcPr>
            <w:tcW w:w="2960" w:type="dxa"/>
            <w:vAlign w:val="bottom"/>
          </w:tcPr>
          <w:p>
            <w:pPr>
              <w:ind w:left="540"/>
              <w:spacing w:after="0"/>
              <w:rPr>
                <w:sz w:val="20"/>
                <w:szCs w:val="20"/>
                <w:color w:val="auto"/>
              </w:rPr>
            </w:pPr>
            <w:r>
              <w:rPr>
                <w:rFonts w:ascii="Courier New" w:cs="Courier New" w:eastAsia="Courier New" w:hAnsi="Courier New"/>
                <w:sz w:val="18"/>
                <w:szCs w:val="18"/>
                <w:color w:val="auto"/>
              </w:rPr>
              <w:t>Ralph R. Papitto</w:t>
            </w:r>
          </w:p>
        </w:tc>
        <w:tc>
          <w:tcPr>
            <w:tcW w:w="37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Chairman of the Board</w:t>
            </w:r>
          </w:p>
        </w:tc>
      </w:tr>
      <w:tr>
        <w:trPr>
          <w:trHeight w:val="203"/>
        </w:trPr>
        <w:tc>
          <w:tcPr>
            <w:tcW w:w="296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AFC Cable Systems, Inc.</w:t>
            </w:r>
          </w:p>
        </w:tc>
      </w:tr>
      <w:tr>
        <w:trPr>
          <w:trHeight w:val="203"/>
        </w:trPr>
        <w:tc>
          <w:tcPr>
            <w:tcW w:w="296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50 Kennedy Plaza</w:t>
            </w:r>
          </w:p>
        </w:tc>
        <w:tc>
          <w:tcPr>
            <w:tcW w:w="13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Suite 1250</w:t>
            </w:r>
          </w:p>
        </w:tc>
        <w:tc>
          <w:tcPr>
            <w:tcW w:w="13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Providence, RI</w:t>
            </w:r>
          </w:p>
        </w:tc>
        <w:tc>
          <w:tcPr>
            <w:tcW w:w="1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2"/>
              </w:rPr>
              <w:t>02903</w:t>
            </w:r>
          </w:p>
        </w:tc>
      </w:tr>
      <w:tr>
        <w:trPr>
          <w:trHeight w:val="608"/>
        </w:trPr>
        <w:tc>
          <w:tcPr>
            <w:tcW w:w="2960" w:type="dxa"/>
            <w:vAlign w:val="bottom"/>
          </w:tcPr>
          <w:p>
            <w:pPr>
              <w:ind w:left="540"/>
              <w:spacing w:after="0"/>
              <w:rPr>
                <w:sz w:val="20"/>
                <w:szCs w:val="20"/>
                <w:color w:val="auto"/>
              </w:rPr>
            </w:pPr>
            <w:r>
              <w:rPr>
                <w:rFonts w:ascii="Courier New" w:cs="Courier New" w:eastAsia="Courier New" w:hAnsi="Courier New"/>
                <w:sz w:val="18"/>
                <w:szCs w:val="18"/>
                <w:color w:val="auto"/>
              </w:rPr>
              <w:t>Salvatore Muoio</w:t>
            </w:r>
          </w:p>
        </w:tc>
        <w:tc>
          <w:tcPr>
            <w:tcW w:w="2420" w:type="dxa"/>
            <w:vAlign w:val="bottom"/>
          </w:tcPr>
          <w:p>
            <w:pPr>
              <w:ind w:left="740"/>
              <w:spacing w:after="0"/>
              <w:rPr>
                <w:sz w:val="20"/>
                <w:szCs w:val="20"/>
                <w:color w:val="auto"/>
              </w:rPr>
            </w:pPr>
            <w:r>
              <w:rPr>
                <w:rFonts w:ascii="Courier New" w:cs="Courier New" w:eastAsia="Courier New" w:hAnsi="Courier New"/>
                <w:sz w:val="18"/>
                <w:szCs w:val="18"/>
                <w:color w:val="auto"/>
              </w:rPr>
              <w:t>Principal</w:t>
            </w:r>
          </w:p>
        </w:tc>
        <w:tc>
          <w:tcPr>
            <w:tcW w:w="1360" w:type="dxa"/>
            <w:vAlign w:val="bottom"/>
          </w:tcPr>
          <w:p>
            <w:pPr>
              <w:spacing w:after="0"/>
              <w:rPr>
                <w:sz w:val="24"/>
                <w:szCs w:val="24"/>
                <w:color w:val="auto"/>
              </w:rPr>
            </w:pPr>
          </w:p>
        </w:tc>
      </w:tr>
      <w:tr>
        <w:trPr>
          <w:trHeight w:val="203"/>
        </w:trPr>
        <w:tc>
          <w:tcPr>
            <w:tcW w:w="296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S. Muoio &amp; Co., LLC</w:t>
            </w:r>
          </w:p>
        </w:tc>
      </w:tr>
      <w:tr>
        <w:trPr>
          <w:trHeight w:val="203"/>
        </w:trPr>
        <w:tc>
          <w:tcPr>
            <w:tcW w:w="296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Suite 1425</w:t>
            </w:r>
          </w:p>
        </w:tc>
        <w:tc>
          <w:tcPr>
            <w:tcW w:w="13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655 Third Avenue</w:t>
            </w:r>
          </w:p>
        </w:tc>
        <w:tc>
          <w:tcPr>
            <w:tcW w:w="13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New York, NY 10017</w:t>
            </w:r>
          </w:p>
        </w:tc>
      </w:tr>
    </w:tbl>
    <w:p>
      <w:pPr>
        <w:sectPr>
          <w:pgSz w:w="11900" w:h="16838" w:orient="portrait"/>
          <w:cols w:equalWidth="0" w:num="1">
            <w:col w:w="10219"/>
          </w:cols>
          <w:pgMar w:left="240" w:top="142" w:right="1440" w:bottom="0" w:gutter="0" w:footer="0" w:header="0"/>
          <w:type w:val="continuous"/>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John C. Ferrara</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Business Consultant</w:t>
            </w:r>
          </w:p>
        </w:tc>
      </w:tr>
      <w:tr>
        <w:trPr>
          <w:trHeight w:val="203"/>
        </w:trPr>
        <w:tc>
          <w:tcPr>
            <w:tcW w:w="322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c/o Lynch Corporation</w:t>
            </w:r>
          </w:p>
        </w:tc>
      </w:tr>
      <w:tr>
        <w:trPr>
          <w:trHeight w:val="203"/>
        </w:trPr>
        <w:tc>
          <w:tcPr>
            <w:tcW w:w="322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401 Theodore Fremd Ave</w:t>
            </w:r>
          </w:p>
        </w:tc>
      </w:tr>
      <w:tr>
        <w:trPr>
          <w:trHeight w:val="203"/>
        </w:trPr>
        <w:tc>
          <w:tcPr>
            <w:tcW w:w="322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Rye, NY 10580</w:t>
            </w:r>
          </w:p>
        </w:tc>
        <w:tc>
          <w:tcPr>
            <w:tcW w:w="1700" w:type="dxa"/>
            <w:vAlign w:val="bottom"/>
          </w:tcPr>
          <w:p>
            <w:pPr>
              <w:spacing w:after="0"/>
              <w:rPr>
                <w:sz w:val="17"/>
                <w:szCs w:val="17"/>
                <w:color w:val="auto"/>
              </w:rPr>
            </w:pPr>
          </w:p>
        </w:tc>
      </w:tr>
      <w:tr>
        <w:trPr>
          <w:trHeight w:val="608"/>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David C. Mitchell</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Business Consultant</w:t>
            </w:r>
          </w:p>
        </w:tc>
      </w:tr>
      <w:tr>
        <w:trPr>
          <w:trHeight w:val="203"/>
        </w:trPr>
        <w:tc>
          <w:tcPr>
            <w:tcW w:w="322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c/o Lynch Corporation</w:t>
            </w:r>
          </w:p>
        </w:tc>
      </w:tr>
      <w:tr>
        <w:trPr>
          <w:trHeight w:val="203"/>
        </w:trPr>
        <w:tc>
          <w:tcPr>
            <w:tcW w:w="322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401 Theodore Fremd Ave</w:t>
            </w:r>
          </w:p>
        </w:tc>
      </w:tr>
      <w:tr>
        <w:trPr>
          <w:trHeight w:val="203"/>
        </w:trPr>
        <w:tc>
          <w:tcPr>
            <w:tcW w:w="322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Rye, NY 10580</w:t>
            </w:r>
          </w:p>
        </w:tc>
        <w:tc>
          <w:tcPr>
            <w:tcW w:w="170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9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Chairman and Chief Executive</w:t>
            </w:r>
          </w:p>
        </w:tc>
      </w:tr>
      <w:tr>
        <w:trPr>
          <w:trHeight w:val="203"/>
        </w:trPr>
        <w:tc>
          <w:tcPr>
            <w:tcW w:w="322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Officer</w:t>
            </w:r>
          </w:p>
        </w:tc>
        <w:tc>
          <w:tcPr>
            <w:tcW w:w="1700" w:type="dxa"/>
            <w:vAlign w:val="bottom"/>
          </w:tcPr>
          <w:p>
            <w:pPr>
              <w:spacing w:after="0"/>
              <w:rPr>
                <w:sz w:val="17"/>
                <w:szCs w:val="17"/>
                <w:color w:val="auto"/>
              </w:rPr>
            </w:pP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Robert E. Dolan</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Chief Financial Officer</w:t>
            </w: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Carmine Ceraolo</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Assistant Controller</w:t>
            </w: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6"/>
              </w:rPr>
              <w:t>Vice President-Administration,</w:t>
            </w:r>
          </w:p>
        </w:tc>
      </w:tr>
      <w:tr>
        <w:trPr>
          <w:trHeight w:val="203"/>
        </w:trPr>
        <w:tc>
          <w:tcPr>
            <w:tcW w:w="322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Secretary and General Counsel</w:t>
            </w:r>
          </w:p>
        </w:tc>
      </w:tr>
      <w:tr>
        <w:trPr>
          <w:trHeight w:val="810"/>
        </w:trPr>
        <w:tc>
          <w:tcPr>
            <w:tcW w:w="3220" w:type="dxa"/>
            <w:vAlign w:val="bottom"/>
          </w:tcPr>
          <w:p>
            <w:pPr>
              <w:spacing w:after="0"/>
              <w:rPr>
                <w:sz w:val="20"/>
                <w:szCs w:val="20"/>
                <w:color w:val="auto"/>
              </w:rPr>
            </w:pPr>
            <w:r>
              <w:rPr>
                <w:rFonts w:ascii="Courier New" w:cs="Courier New" w:eastAsia="Courier New" w:hAnsi="Courier New"/>
                <w:sz w:val="18"/>
                <w:szCs w:val="18"/>
                <w:color w:val="auto"/>
              </w:rPr>
              <w:t>Spinnaker Industries, Inc.</w:t>
            </w:r>
          </w:p>
        </w:tc>
        <w:tc>
          <w:tcPr>
            <w:tcW w:w="19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600 N. Pearl Street</w:t>
            </w:r>
          </w:p>
        </w:tc>
        <w:tc>
          <w:tcPr>
            <w:tcW w:w="19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2160</w:t>
            </w:r>
          </w:p>
        </w:tc>
        <w:tc>
          <w:tcPr>
            <w:tcW w:w="19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Dallas, TX  75201</w:t>
            </w:r>
          </w:p>
        </w:tc>
        <w:tc>
          <w:tcPr>
            <w:tcW w:w="19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9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Joseph P. Rhein</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5003 Central Avenue</w:t>
            </w:r>
          </w:p>
        </w:tc>
      </w:tr>
      <w:tr>
        <w:trPr>
          <w:trHeight w:val="203"/>
        </w:trPr>
        <w:tc>
          <w:tcPr>
            <w:tcW w:w="322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5"/>
              </w:rPr>
              <w:t>Ocean City, NJ</w:t>
            </w:r>
          </w:p>
        </w:tc>
        <w:tc>
          <w:tcPr>
            <w:tcW w:w="17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08226</w:t>
            </w: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Richard J. Boyle</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The Boyle Group, Inc.</w:t>
            </w:r>
          </w:p>
        </w:tc>
      </w:tr>
      <w:tr>
        <w:trPr>
          <w:trHeight w:val="203"/>
        </w:trPr>
        <w:tc>
          <w:tcPr>
            <w:tcW w:w="322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6110 Blue Circle Drive</w:t>
            </w:r>
          </w:p>
        </w:tc>
      </w:tr>
      <w:tr>
        <w:trPr>
          <w:trHeight w:val="203"/>
        </w:trPr>
        <w:tc>
          <w:tcPr>
            <w:tcW w:w="322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Suite 250</w:t>
            </w:r>
          </w:p>
        </w:tc>
        <w:tc>
          <w:tcPr>
            <w:tcW w:w="17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5"/>
              </w:rPr>
              <w:t>Minnetonka, MN</w:t>
            </w:r>
          </w:p>
        </w:tc>
        <w:tc>
          <w:tcPr>
            <w:tcW w:w="17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55343</w:t>
            </w: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Ned N. Fleming, III</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Boyle, Fleming,</w:t>
            </w:r>
          </w:p>
        </w:tc>
      </w:tr>
      <w:tr>
        <w:trPr>
          <w:trHeight w:val="203"/>
        </w:trPr>
        <w:tc>
          <w:tcPr>
            <w:tcW w:w="322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&amp; Co., Inc.</w:t>
            </w:r>
          </w:p>
        </w:tc>
        <w:tc>
          <w:tcPr>
            <w:tcW w:w="17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600 N. Pearl Street</w:t>
            </w:r>
          </w:p>
        </w:tc>
      </w:tr>
      <w:tr>
        <w:trPr>
          <w:trHeight w:val="203"/>
        </w:trPr>
        <w:tc>
          <w:tcPr>
            <w:tcW w:w="322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Suite 2160</w:t>
            </w:r>
          </w:p>
        </w:tc>
        <w:tc>
          <w:tcPr>
            <w:tcW w:w="17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Dallas, TX  75201</w:t>
            </w:r>
          </w:p>
        </w:tc>
      </w:tr>
      <w:tr>
        <w:trPr>
          <w:trHeight w:val="608"/>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Robert E. Dolan</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See above Lynch Corporation</w:t>
            </w:r>
          </w:p>
        </w:tc>
      </w:tr>
      <w:tr>
        <w:trPr>
          <w:trHeight w:val="608"/>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Anthonie C. van Ekris</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Chairman and Chief</w:t>
            </w:r>
          </w:p>
        </w:tc>
      </w:tr>
      <w:tr>
        <w:trPr>
          <w:trHeight w:val="203"/>
        </w:trPr>
        <w:tc>
          <w:tcPr>
            <w:tcW w:w="322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Executive Officer</w:t>
            </w:r>
          </w:p>
        </w:tc>
      </w:tr>
      <w:tr>
        <w:trPr>
          <w:trHeight w:val="203"/>
        </w:trPr>
        <w:tc>
          <w:tcPr>
            <w:tcW w:w="322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Balmac International, Inc.</w:t>
            </w:r>
          </w:p>
        </w:tc>
      </w:tr>
      <w:tr>
        <w:trPr>
          <w:trHeight w:val="203"/>
        </w:trPr>
        <w:tc>
          <w:tcPr>
            <w:tcW w:w="322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61 Broadway</w:t>
            </w:r>
          </w:p>
        </w:tc>
        <w:tc>
          <w:tcPr>
            <w:tcW w:w="17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Suite 1900</w:t>
            </w:r>
          </w:p>
        </w:tc>
        <w:tc>
          <w:tcPr>
            <w:tcW w:w="17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New York, NY</w:t>
            </w:r>
          </w:p>
        </w:tc>
        <w:tc>
          <w:tcPr>
            <w:tcW w:w="17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6"/>
              </w:rPr>
              <w:t>10006</w:t>
            </w: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Frank E. Grzelecki</w:t>
            </w: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rPr>
              <w:t>President</w:t>
            </w:r>
          </w:p>
        </w:tc>
        <w:tc>
          <w:tcPr>
            <w:tcW w:w="1700" w:type="dxa"/>
            <w:vAlign w:val="bottom"/>
          </w:tcPr>
          <w:p>
            <w:pPr>
              <w:spacing w:after="0"/>
              <w:rPr>
                <w:sz w:val="24"/>
                <w:szCs w:val="24"/>
                <w:color w:val="auto"/>
              </w:rPr>
            </w:pPr>
          </w:p>
        </w:tc>
      </w:tr>
      <w:tr>
        <w:trPr>
          <w:trHeight w:val="203"/>
        </w:trPr>
        <w:tc>
          <w:tcPr>
            <w:tcW w:w="322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Saugatuck</w:t>
            </w:r>
          </w:p>
        </w:tc>
        <w:tc>
          <w:tcPr>
            <w:tcW w:w="17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1 Canterbury Green</w:t>
            </w:r>
          </w:p>
        </w:tc>
      </w:tr>
      <w:tr>
        <w:trPr>
          <w:trHeight w:val="203"/>
        </w:trPr>
        <w:tc>
          <w:tcPr>
            <w:tcW w:w="322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Stamford, CT 06901</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Officers:</w:t>
            </w:r>
          </w:p>
        </w:tc>
        <w:tc>
          <w:tcPr>
            <w:tcW w:w="19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Ned N. Fleming, III</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President and Chief Operating</w:t>
            </w:r>
          </w:p>
        </w:tc>
      </w:tr>
      <w:tr>
        <w:trPr>
          <w:trHeight w:val="203"/>
        </w:trPr>
        <w:tc>
          <w:tcPr>
            <w:tcW w:w="322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Officer</w:t>
            </w:r>
          </w:p>
        </w:tc>
        <w:tc>
          <w:tcPr>
            <w:tcW w:w="1700" w:type="dxa"/>
            <w:vAlign w:val="bottom"/>
          </w:tcPr>
          <w:p>
            <w:pPr>
              <w:spacing w:after="0"/>
              <w:rPr>
                <w:sz w:val="17"/>
                <w:szCs w:val="17"/>
                <w:color w:val="auto"/>
              </w:rPr>
            </w:pP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Richard J. Boyle</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Chairman and Chief Executive</w:t>
            </w:r>
          </w:p>
        </w:tc>
      </w:tr>
      <w:tr>
        <w:trPr>
          <w:trHeight w:val="203"/>
        </w:trPr>
        <w:tc>
          <w:tcPr>
            <w:tcW w:w="322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Officer</w:t>
            </w:r>
          </w:p>
        </w:tc>
        <w:tc>
          <w:tcPr>
            <w:tcW w:w="1700" w:type="dxa"/>
            <w:vAlign w:val="bottom"/>
          </w:tcPr>
          <w:p>
            <w:pPr>
              <w:spacing w:after="0"/>
              <w:rPr>
                <w:sz w:val="17"/>
                <w:szCs w:val="17"/>
                <w:color w:val="auto"/>
              </w:rPr>
            </w:pP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rPr>
              <w:t>Secretary</w:t>
            </w:r>
          </w:p>
        </w:tc>
        <w:tc>
          <w:tcPr>
            <w:tcW w:w="1700" w:type="dxa"/>
            <w:vAlign w:val="bottom"/>
          </w:tcPr>
          <w:p>
            <w:pPr>
              <w:spacing w:after="0"/>
              <w:rPr>
                <w:sz w:val="24"/>
                <w:szCs w:val="24"/>
                <w:color w:val="auto"/>
              </w:rPr>
            </w:pP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Mark A. Matteson</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Vice President, Corporate</w:t>
            </w:r>
          </w:p>
        </w:tc>
      </w:tr>
      <w:tr>
        <w:trPr>
          <w:trHeight w:val="203"/>
        </w:trPr>
        <w:tc>
          <w:tcPr>
            <w:tcW w:w="322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Development</w:t>
            </w:r>
          </w:p>
        </w:tc>
        <w:tc>
          <w:tcPr>
            <w:tcW w:w="1700" w:type="dxa"/>
            <w:vAlign w:val="bottom"/>
          </w:tcPr>
          <w:p>
            <w:pPr>
              <w:spacing w:after="0"/>
              <w:rPr>
                <w:sz w:val="17"/>
                <w:szCs w:val="17"/>
                <w:color w:val="auto"/>
              </w:rPr>
            </w:pP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Craig Jennings</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Vice President, Finance and</w:t>
            </w:r>
          </w:p>
        </w:tc>
      </w:tr>
      <w:tr>
        <w:trPr>
          <w:trHeight w:val="203"/>
        </w:trPr>
        <w:tc>
          <w:tcPr>
            <w:tcW w:w="322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Treasurer</w:t>
            </w:r>
          </w:p>
        </w:tc>
        <w:tc>
          <w:tcPr>
            <w:tcW w:w="17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Entoleter, Inc.</w:t>
      </w:r>
    </w:p>
    <w:p>
      <w:pPr>
        <w:spacing w:after="0" w:line="238" w:lineRule="auto"/>
        <w:rPr>
          <w:sz w:val="20"/>
          <w:szCs w:val="20"/>
          <w:color w:val="auto"/>
        </w:rPr>
      </w:pPr>
      <w:r>
        <w:rPr>
          <w:rFonts w:ascii="Courier New" w:cs="Courier New" w:eastAsia="Courier New" w:hAnsi="Courier New"/>
          <w:sz w:val="18"/>
          <w:szCs w:val="18"/>
          <w:color w:val="auto"/>
        </w:rPr>
        <w:t>251 Welton Street</w:t>
      </w:r>
    </w:p>
    <w:p>
      <w:pPr>
        <w:sectPr>
          <w:pgSz w:w="11900" w:h="16838" w:orient="portrait"/>
          <w:cols w:equalWidth="0" w:num="1">
            <w:col w:w="10219"/>
          </w:cols>
          <w:pgMar w:left="240" w:top="136" w:right="1440"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Hamden, CT</w:t>
            </w:r>
          </w:p>
        </w:tc>
        <w:tc>
          <w:tcPr>
            <w:tcW w:w="252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06517</w:t>
            </w:r>
          </w:p>
        </w:tc>
        <w:tc>
          <w:tcPr>
            <w:tcW w:w="14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Directors:</w:t>
            </w:r>
          </w:p>
        </w:tc>
        <w:tc>
          <w:tcPr>
            <w:tcW w:w="2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Ned N. Fleming, III</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above-Spinnaker</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Mark A. Matteson</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above-Spinnaker</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Robert P. Wentzel</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 Entoleter</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James Fleming</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w w:val="95"/>
              </w:rPr>
              <w:t>230 Saugatuck</w:t>
            </w:r>
          </w:p>
        </w:tc>
        <w:tc>
          <w:tcPr>
            <w:tcW w:w="2220" w:type="dxa"/>
            <w:vAlign w:val="bottom"/>
          </w:tcPr>
          <w:p>
            <w:pPr>
              <w:ind w:left="100"/>
              <w:spacing w:after="0"/>
              <w:rPr>
                <w:sz w:val="20"/>
                <w:szCs w:val="20"/>
                <w:color w:val="auto"/>
              </w:rPr>
            </w:pPr>
            <w:r>
              <w:rPr>
                <w:rFonts w:ascii="Courier New" w:cs="Courier New" w:eastAsia="Courier New" w:hAnsi="Courier New"/>
                <w:sz w:val="18"/>
                <w:szCs w:val="18"/>
                <w:color w:val="auto"/>
              </w:rPr>
              <w:t>Avenue, Unit 8</w:t>
            </w:r>
          </w:p>
        </w:tc>
      </w:tr>
      <w:tr>
        <w:trPr>
          <w:trHeight w:val="203"/>
        </w:trPr>
        <w:tc>
          <w:tcPr>
            <w:tcW w:w="10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Westport, CT</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06880</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Officers:</w:t>
            </w:r>
          </w:p>
        </w:tc>
        <w:tc>
          <w:tcPr>
            <w:tcW w:w="2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Robert P. Wentzel</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President</w:t>
            </w:r>
          </w:p>
        </w:tc>
        <w:tc>
          <w:tcPr>
            <w:tcW w:w="2220" w:type="dxa"/>
            <w:vAlign w:val="bottom"/>
          </w:tcPr>
          <w:p>
            <w:pPr>
              <w:spacing w:after="0"/>
              <w:rPr>
                <w:sz w:val="24"/>
                <w:szCs w:val="24"/>
                <w:color w:val="auto"/>
              </w:rPr>
            </w:pP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Mark R. Matteson</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Charles DeMarino</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Controller &amp; Secretary</w:t>
            </w:r>
          </w:p>
        </w:tc>
      </w:tr>
      <w:tr>
        <w:trPr>
          <w:trHeight w:val="405"/>
        </w:trPr>
        <w:tc>
          <w:tcPr>
            <w:tcW w:w="5060" w:type="dxa"/>
            <w:vAlign w:val="bottom"/>
            <w:gridSpan w:val="3"/>
          </w:tcPr>
          <w:p>
            <w:pPr>
              <w:spacing w:after="0"/>
              <w:rPr>
                <w:sz w:val="20"/>
                <w:szCs w:val="20"/>
                <w:color w:val="auto"/>
              </w:rPr>
            </w:pPr>
            <w:r>
              <w:rPr>
                <w:rFonts w:ascii="Courier New" w:cs="Courier New" w:eastAsia="Courier New" w:hAnsi="Courier New"/>
                <w:sz w:val="18"/>
                <w:szCs w:val="18"/>
                <w:color w:val="auto"/>
              </w:rPr>
              <w:t>Western New Mexico Telephone Company</w:t>
            </w:r>
          </w:p>
        </w:tc>
        <w:tc>
          <w:tcPr>
            <w:tcW w:w="2220" w:type="dxa"/>
            <w:vAlign w:val="bottom"/>
          </w:tcPr>
          <w:p>
            <w:pPr>
              <w:spacing w:after="0"/>
              <w:rPr>
                <w:sz w:val="24"/>
                <w:szCs w:val="24"/>
                <w:color w:val="auto"/>
              </w:rPr>
            </w:pP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314 Yankee Street</w:t>
            </w:r>
          </w:p>
        </w:tc>
        <w:tc>
          <w:tcPr>
            <w:tcW w:w="14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Silver City, NM  88062</w:t>
            </w:r>
          </w:p>
        </w:tc>
        <w:tc>
          <w:tcPr>
            <w:tcW w:w="14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Directors:</w:t>
            </w:r>
          </w:p>
        </w:tc>
        <w:tc>
          <w:tcPr>
            <w:tcW w:w="2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Jack W. Keen</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Chairman and President</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Dr. Brian E. Gordon</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Mary Beth Baxter</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Secretary &amp; Treasurer</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John Clay Keen</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Route 6</w:t>
            </w:r>
          </w:p>
        </w:tc>
        <w:tc>
          <w:tcPr>
            <w:tcW w:w="222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Box 270</w:t>
            </w:r>
          </w:p>
        </w:tc>
        <w:tc>
          <w:tcPr>
            <w:tcW w:w="222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Greenville, TX 75401</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Robert E. Dolan</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Carmine Ceraolo</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Mary J. Carroll</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Eugene P. Connell</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above-Lynch Corporation</w:t>
            </w:r>
          </w:p>
        </w:tc>
      </w:tr>
      <w:tr>
        <w:trPr>
          <w:trHeight w:val="608"/>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Michael F. Mangan</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6"/>
              </w:rPr>
              <w:t>See below-Lynch Telecommunications</w:t>
            </w:r>
          </w:p>
        </w:tc>
      </w:tr>
      <w:tr>
        <w:trPr>
          <w:trHeight w:val="203"/>
        </w:trPr>
        <w:tc>
          <w:tcPr>
            <w:tcW w:w="10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222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Officers:</w:t>
            </w:r>
          </w:p>
        </w:tc>
        <w:tc>
          <w:tcPr>
            <w:tcW w:w="2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Jack W. Keen</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Chairman and President</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Dr. Brian E. Gordon</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Charles M. Baxter</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Sr. Vice President-Operations</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Mary Beth Baxter</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Secretary &amp; Treasurer</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Assistant Treasurer</w:t>
            </w: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w w:val="99"/>
              </w:rPr>
              <w:t>Inter-Community Telephone Company</w:t>
            </w:r>
          </w:p>
        </w:tc>
        <w:tc>
          <w:tcPr>
            <w:tcW w:w="14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P.O. Box A</w:t>
            </w:r>
          </w:p>
        </w:tc>
        <w:tc>
          <w:tcPr>
            <w:tcW w:w="2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Nome, ND</w:t>
            </w:r>
          </w:p>
        </w:tc>
        <w:tc>
          <w:tcPr>
            <w:tcW w:w="252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w w:val="92"/>
              </w:rPr>
              <w:t>58062</w:t>
            </w:r>
          </w:p>
        </w:tc>
        <w:tc>
          <w:tcPr>
            <w:tcW w:w="14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Directors:</w:t>
            </w:r>
          </w:p>
        </w:tc>
        <w:tc>
          <w:tcPr>
            <w:tcW w:w="2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Mary J. Carroll</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Robert E. Dolan</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Eugene P. Connell</w:t>
            </w:r>
          </w:p>
        </w:tc>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Harry B. Snyder</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P.O. Box 131</w:t>
            </w:r>
          </w:p>
        </w:tc>
        <w:tc>
          <w:tcPr>
            <w:tcW w:w="222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Buffalo, ND</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58011</w:t>
            </w:r>
          </w:p>
        </w:tc>
      </w:tr>
      <w:tr>
        <w:trPr>
          <w:trHeight w:val="405"/>
        </w:trPr>
        <w:tc>
          <w:tcPr>
            <w:tcW w:w="35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Robert Snyder</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200 Broadway</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South</w:t>
            </w:r>
          </w:p>
        </w:tc>
      </w:tr>
      <w:tr>
        <w:trPr>
          <w:trHeight w:val="203"/>
        </w:trPr>
        <w:tc>
          <w:tcPr>
            <w:tcW w:w="10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Buffalo, ND</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58011</w:t>
            </w:r>
          </w:p>
        </w:tc>
      </w:tr>
    </w:tbl>
    <w:p>
      <w:pPr>
        <w:sectPr>
          <w:pgSz w:w="11900" w:h="16838" w:orient="portrait"/>
          <w:cols w:equalWidth="0" w:num="1">
            <w:col w:w="10219"/>
          </w:cols>
          <w:pgMar w:left="240" w:top="136" w:right="1440" w:bottom="0" w:gutter="0" w:footer="0" w:header="0"/>
        </w:sectPr>
      </w:pPr>
    </w:p>
    <w:bookmarkStart w:id="21" w:name="page22"/>
    <w:bookmarkEnd w:id="21"/>
    <w:p>
      <w:pPr>
        <w:ind w:left="540"/>
        <w:spacing w:after="0"/>
        <w:rPr>
          <w:sz w:val="20"/>
          <w:szCs w:val="20"/>
          <w:color w:val="auto"/>
        </w:rPr>
      </w:pPr>
      <w:r>
        <w:rPr>
          <w:rFonts w:ascii="Courier New" w:cs="Courier New" w:eastAsia="Courier New" w:hAnsi="Courier New"/>
          <w:sz w:val="16"/>
          <w:szCs w:val="16"/>
          <w:color w:val="auto"/>
        </w:rPr>
        <w:t>Keith S. Andersen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above-Inter-Community Telephone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Reff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above-Inter-Community Telephone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Michael F. Mangan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below-Lynch Telecommunications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Jack Bently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1210 E. Washington Ave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Gilbert, AZ 85234</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Snyder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Keith S. Andersen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Harry B. Snyder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A. Hurwich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Secretary</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Lynch Telecommunications Corporation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 Theodore Fremd Avenue</w:t>
      </w:r>
    </w:p>
    <w:p>
      <w:pPr>
        <w:spacing w:after="0" w:line="238" w:lineRule="auto"/>
        <w:rPr>
          <w:sz w:val="20"/>
          <w:szCs w:val="20"/>
          <w:color w:val="auto"/>
        </w:rPr>
      </w:pPr>
      <w:r>
        <w:rPr>
          <w:rFonts w:ascii="Courier New" w:cs="Courier New" w:eastAsia="Courier New" w:hAnsi="Courier New"/>
          <w:sz w:val="18"/>
          <w:szCs w:val="18"/>
          <w:color w:val="auto"/>
        </w:rPr>
        <w:t>Rye, NY 10580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Richard A. Kiesling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2801 International Lane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Suite 207</w:t>
      </w:r>
    </w:p>
    <w:p>
      <w:pPr>
        <w:spacing w:after="0" w:line="238" w:lineRule="auto"/>
        <w:tabs>
          <w:tab w:leader="none" w:pos="1340" w:val="left"/>
        </w:tabs>
        <w:rPr>
          <w:sz w:val="20"/>
          <w:szCs w:val="20"/>
          <w:color w:val="auto"/>
        </w:rPr>
      </w:pPr>
      <w:r>
        <w:rPr>
          <w:rFonts w:ascii="Courier New" w:cs="Courier New" w:eastAsia="Courier New" w:hAnsi="Courier New"/>
          <w:sz w:val="18"/>
          <w:szCs w:val="18"/>
          <w:color w:val="auto"/>
        </w:rPr>
        <w:t>Madison, WI</w:t>
        <w:tab/>
        <w:t>53740</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E. Dolan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above-Lynch Corporation</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Jack W. Keen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above-Lynch Corporation</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A. Snyder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above-Inter-Community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Telephone Company</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Michael F. Mangan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above-Lynch Corporation</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A. Hurwich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Michael F. Mangan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Treasurer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Secretary</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2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E. Dolan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Controller, Assistant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and Assistant Secretary</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Lynch Telephone Corporation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 Theodore Fremd Avenue</w:t>
      </w:r>
    </w:p>
    <w:p>
      <w:pPr>
        <w:spacing w:after="0" w:line="238" w:lineRule="auto"/>
        <w:rPr>
          <w:sz w:val="20"/>
          <w:szCs w:val="20"/>
          <w:color w:val="auto"/>
        </w:rPr>
      </w:pPr>
      <w:r>
        <w:rPr>
          <w:rFonts w:ascii="Courier New" w:cs="Courier New" w:eastAsia="Courier New" w:hAnsi="Courier New"/>
          <w:sz w:val="18"/>
          <w:szCs w:val="18"/>
          <w:color w:val="auto"/>
        </w:rPr>
        <w:t>Rye, NY 10580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E. Dolan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Controller</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Jack W. Keen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A. Hurwich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above-Lynch Corporation</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Michael F. Mangan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above-Lynch Telecommunications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Jack W. Keen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A. Hurwich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Mary Beth Baxter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Treasurer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Secretary</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E. Dolan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Controller</w:t>
      </w:r>
    </w:p>
    <w:p>
      <w:pPr>
        <w:sectPr>
          <w:pgSz w:w="11900" w:h="16838" w:orient="portrait"/>
          <w:cols w:equalWidth="0" w:num="2">
            <w:col w:w="2980" w:space="720"/>
            <w:col w:w="6519"/>
          </w:cols>
          <w:pgMar w:left="240" w:top="142" w:right="1440" w:bottom="0" w:gutter="0" w:footer="0" w:header="0"/>
          <w:type w:val="continuous"/>
        </w:sectPr>
      </w:pPr>
    </w:p>
    <w:bookmarkStart w:id="22" w:name="page23"/>
    <w:bookmarkEnd w:id="22"/>
    <w:p>
      <w:pPr>
        <w:ind w:left="425" w:hanging="425"/>
        <w:spacing w:after="0"/>
        <w:tabs>
          <w:tab w:leader="none" w:pos="425"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Germany</w:t>
      </w:r>
    </w:p>
    <w:p>
      <w:pPr>
        <w:spacing w:after="0" w:line="4" w:lineRule="exact"/>
        <w:rPr>
          <w:rFonts w:ascii="Courier New" w:cs="Courier New" w:eastAsia="Courier New" w:hAnsi="Courier New"/>
          <w:sz w:val="18"/>
          <w:szCs w:val="18"/>
          <w:color w:val="auto"/>
        </w:rPr>
      </w:pPr>
    </w:p>
    <w:p>
      <w:pPr>
        <w:ind w:left="425" w:hanging="425"/>
        <w:spacing w:after="0"/>
        <w:tabs>
          <w:tab w:leader="none" w:pos="425"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of the Cayman Islands</w:t>
      </w:r>
    </w:p>
    <w:p>
      <w:pPr>
        <w:spacing w:after="0" w:line="16" w:lineRule="exact"/>
        <w:rPr>
          <w:rFonts w:ascii="Courier New" w:cs="Courier New" w:eastAsia="Courier New" w:hAnsi="Courier New"/>
          <w:sz w:val="16"/>
          <w:szCs w:val="16"/>
          <w:color w:val="auto"/>
        </w:rPr>
      </w:pPr>
    </w:p>
    <w:p>
      <w:pPr>
        <w:ind w:left="425" w:hanging="425"/>
        <w:spacing w:after="0" w:line="238" w:lineRule="auto"/>
        <w:tabs>
          <w:tab w:leader="none" w:pos="425"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Bermuda</w:t>
      </w:r>
    </w:p>
    <w:p>
      <w:pPr>
        <w:spacing w:after="0" w:line="4" w:lineRule="exact"/>
        <w:rPr>
          <w:rFonts w:ascii="Courier New" w:cs="Courier New" w:eastAsia="Courier New" w:hAnsi="Courier New"/>
          <w:sz w:val="18"/>
          <w:szCs w:val="18"/>
          <w:color w:val="auto"/>
        </w:rPr>
      </w:pPr>
    </w:p>
    <w:p>
      <w:pPr>
        <w:ind w:left="425" w:hanging="425"/>
        <w:spacing w:after="0"/>
        <w:tabs>
          <w:tab w:leader="none" w:pos="425"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of Bermuda and Canada</w:t>
      </w:r>
    </w:p>
    <w:p>
      <w:pPr>
        <w:spacing w:after="0" w:line="16" w:lineRule="exact"/>
        <w:rPr>
          <w:rFonts w:ascii="Courier New" w:cs="Courier New" w:eastAsia="Courier New" w:hAnsi="Courier New"/>
          <w:sz w:val="16"/>
          <w:szCs w:val="16"/>
          <w:color w:val="auto"/>
        </w:rPr>
      </w:pPr>
    </w:p>
    <w:p>
      <w:pPr>
        <w:ind w:left="425" w:hanging="425"/>
        <w:spacing w:after="0" w:line="238" w:lineRule="auto"/>
        <w:tabs>
          <w:tab w:leader="none" w:pos="425"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the UK</w:t>
      </w:r>
    </w:p>
    <w:p>
      <w:pPr>
        <w:sectPr>
          <w:pgSz w:w="11900" w:h="16838" w:orient="portrait"/>
          <w:cols w:equalWidth="0" w:num="1">
            <w:col w:w="9684"/>
          </w:cols>
          <w:pgMar w:left="775" w:top="1149"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24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SCHEDULE II</w:t>
            </w:r>
          </w:p>
        </w:tc>
        <w:tc>
          <w:tcPr>
            <w:tcW w:w="1160" w:type="dxa"/>
            <w:vAlign w:val="bottom"/>
          </w:tcPr>
          <w:p>
            <w:pPr>
              <w:spacing w:after="0"/>
              <w:rPr>
                <w:sz w:val="17"/>
                <w:szCs w:val="17"/>
                <w:color w:val="auto"/>
              </w:rPr>
            </w:pPr>
          </w:p>
        </w:tc>
      </w:tr>
      <w:tr>
        <w:trPr>
          <w:trHeight w:val="405"/>
        </w:trPr>
        <w:tc>
          <w:tcPr>
            <w:tcW w:w="60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INFORMATION WITH RESPECT TO</w:t>
            </w:r>
          </w:p>
        </w:tc>
        <w:tc>
          <w:tcPr>
            <w:tcW w:w="1160" w:type="dxa"/>
            <w:vAlign w:val="bottom"/>
          </w:tcPr>
          <w:p>
            <w:pPr>
              <w:spacing w:after="0"/>
              <w:rPr>
                <w:sz w:val="24"/>
                <w:szCs w:val="24"/>
                <w:color w:val="auto"/>
              </w:rPr>
            </w:pPr>
          </w:p>
        </w:tc>
      </w:tr>
      <w:tr>
        <w:trPr>
          <w:trHeight w:val="203"/>
        </w:trPr>
        <w:tc>
          <w:tcPr>
            <w:tcW w:w="7160" w:type="dxa"/>
            <w:vAlign w:val="bottom"/>
            <w:gridSpan w:val="3"/>
          </w:tcPr>
          <w:p>
            <w:pPr>
              <w:ind w:left="1800"/>
              <w:spacing w:after="0" w:line="203" w:lineRule="exact"/>
              <w:rPr>
                <w:sz w:val="20"/>
                <w:szCs w:val="20"/>
                <w:color w:val="auto"/>
              </w:rPr>
            </w:pPr>
            <w:r>
              <w:rPr>
                <w:rFonts w:ascii="Courier New" w:cs="Courier New" w:eastAsia="Courier New" w:hAnsi="Courier New"/>
                <w:sz w:val="18"/>
                <w:szCs w:val="18"/>
                <w:color w:val="auto"/>
                <w:w w:val="96"/>
              </w:rPr>
              <w:t>TRANSACTIONS EFFECTED DURING THE PAST SIXTY DAYS OR</w:t>
            </w:r>
          </w:p>
        </w:tc>
      </w:tr>
      <w:tr>
        <w:trPr>
          <w:trHeight w:val="203"/>
        </w:trPr>
        <w:tc>
          <w:tcPr>
            <w:tcW w:w="7160" w:type="dxa"/>
            <w:vAlign w:val="bottom"/>
            <w:gridSpan w:val="3"/>
          </w:tcPr>
          <w:p>
            <w:pPr>
              <w:ind w:left="1800"/>
              <w:spacing w:after="0" w:line="203" w:lineRule="exact"/>
              <w:rPr>
                <w:sz w:val="20"/>
                <w:szCs w:val="20"/>
                <w:color w:val="auto"/>
              </w:rPr>
            </w:pPr>
            <w:r>
              <w:rPr>
                <w:rFonts w:ascii="Courier New" w:cs="Courier New" w:eastAsia="Courier New" w:hAnsi="Courier New"/>
                <w:sz w:val="18"/>
                <w:szCs w:val="18"/>
                <w:color w:val="auto"/>
              </w:rPr>
              <w:t>SINCE THE MOST RECENT FILING ON SCHEDULE 13D (1)</w:t>
            </w:r>
          </w:p>
        </w:tc>
      </w:tr>
      <w:tr>
        <w:trPr>
          <w:trHeight w:val="405"/>
        </w:trPr>
        <w:tc>
          <w:tcPr>
            <w:tcW w:w="3540" w:type="dxa"/>
            <w:vAlign w:val="bottom"/>
          </w:tcPr>
          <w:p>
            <w:pPr>
              <w:spacing w:after="0"/>
              <w:rPr>
                <w:sz w:val="24"/>
                <w:szCs w:val="24"/>
                <w:color w:val="auto"/>
              </w:rPr>
            </w:pPr>
          </w:p>
        </w:tc>
        <w:tc>
          <w:tcPr>
            <w:tcW w:w="2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SHARES PURCHASED</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AVERAGE</w:t>
            </w:r>
          </w:p>
        </w:tc>
      </w:tr>
      <w:tr>
        <w:trPr>
          <w:trHeight w:val="203"/>
        </w:trPr>
        <w:tc>
          <w:tcPr>
            <w:tcW w:w="3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DATE</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SOLD(-)</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PRICE(2)</w:t>
            </w:r>
          </w:p>
        </w:tc>
      </w:tr>
      <w:tr>
        <w:trPr>
          <w:trHeight w:val="405"/>
        </w:trPr>
        <w:tc>
          <w:tcPr>
            <w:tcW w:w="3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COMMON STOCK-SOUTHWEST GAS CORP</w:t>
            </w:r>
          </w:p>
        </w:tc>
        <w:tc>
          <w:tcPr>
            <w:tcW w:w="2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GAMCO INVESTORS, INC.</w:t>
            </w:r>
          </w:p>
        </w:tc>
        <w:tc>
          <w:tcPr>
            <w:tcW w:w="2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7/21/99</w:t>
            </w:r>
          </w:p>
        </w:tc>
        <w:tc>
          <w:tcPr>
            <w:tcW w:w="24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17,000-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28.8750</w:t>
            </w:r>
          </w:p>
        </w:tc>
      </w:tr>
      <w:tr>
        <w:trPr>
          <w:trHeight w:val="203"/>
        </w:trPr>
        <w:tc>
          <w:tcPr>
            <w:tcW w:w="3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7/09/99</w:t>
            </w:r>
          </w:p>
        </w:tc>
        <w:tc>
          <w:tcPr>
            <w:tcW w:w="24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800-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28.7500</w:t>
            </w:r>
          </w:p>
        </w:tc>
      </w:tr>
      <w:tr>
        <w:trPr>
          <w:trHeight w:val="203"/>
        </w:trPr>
        <w:tc>
          <w:tcPr>
            <w:tcW w:w="3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6/30/99</w:t>
            </w:r>
          </w:p>
        </w:tc>
        <w:tc>
          <w:tcPr>
            <w:tcW w:w="24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28.4375</w:t>
            </w:r>
          </w:p>
        </w:tc>
      </w:tr>
      <w:tr>
        <w:trPr>
          <w:trHeight w:val="203"/>
        </w:trPr>
        <w:tc>
          <w:tcPr>
            <w:tcW w:w="3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6/22/99</w:t>
            </w:r>
          </w:p>
        </w:tc>
        <w:tc>
          <w:tcPr>
            <w:tcW w:w="24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2,500-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*DO</w:t>
            </w:r>
          </w:p>
        </w:tc>
      </w:tr>
      <w:tr>
        <w:trPr>
          <w:trHeight w:val="203"/>
        </w:trPr>
        <w:tc>
          <w:tcPr>
            <w:tcW w:w="3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6/21/99</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28.2500</w:t>
            </w:r>
          </w:p>
        </w:tc>
      </w:tr>
      <w:tr>
        <w:trPr>
          <w:trHeight w:val="203"/>
        </w:trPr>
        <w:tc>
          <w:tcPr>
            <w:tcW w:w="3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6/11/99</w:t>
            </w:r>
          </w:p>
        </w:tc>
        <w:tc>
          <w:tcPr>
            <w:tcW w:w="24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28.2500</w:t>
            </w:r>
          </w:p>
        </w:tc>
      </w:tr>
      <w:tr>
        <w:trPr>
          <w:trHeight w:val="203"/>
        </w:trPr>
        <w:tc>
          <w:tcPr>
            <w:tcW w:w="3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6/10/99</w:t>
            </w:r>
          </w:p>
        </w:tc>
        <w:tc>
          <w:tcPr>
            <w:tcW w:w="24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600-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*DO</w:t>
            </w:r>
          </w:p>
        </w:tc>
      </w:tr>
      <w:tr>
        <w:trPr>
          <w:trHeight w:val="203"/>
        </w:trPr>
        <w:tc>
          <w:tcPr>
            <w:tcW w:w="3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6/08/99</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28.3750</w:t>
            </w:r>
          </w:p>
        </w:tc>
      </w:tr>
      <w:tr>
        <w:trPr>
          <w:trHeight w:val="203"/>
        </w:trPr>
        <w:tc>
          <w:tcPr>
            <w:tcW w:w="3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6/08/99</w:t>
            </w:r>
          </w:p>
        </w:tc>
        <w:tc>
          <w:tcPr>
            <w:tcW w:w="24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28.3750</w:t>
            </w:r>
          </w:p>
        </w:tc>
      </w:tr>
      <w:tr>
        <w:trPr>
          <w:trHeight w:val="203"/>
        </w:trPr>
        <w:tc>
          <w:tcPr>
            <w:tcW w:w="3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6/07/99</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2,900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28.3750</w:t>
            </w:r>
          </w:p>
        </w:tc>
      </w:tr>
      <w:tr>
        <w:trPr>
          <w:trHeight w:val="203"/>
        </w:trPr>
        <w:tc>
          <w:tcPr>
            <w:tcW w:w="3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6/07/99</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28.5000</w:t>
            </w:r>
          </w:p>
        </w:tc>
      </w:tr>
      <w:tr>
        <w:trPr>
          <w:trHeight w:val="203"/>
        </w:trPr>
        <w:tc>
          <w:tcPr>
            <w:tcW w:w="3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6/07/99</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15,000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28.4375</w:t>
            </w:r>
          </w:p>
        </w:tc>
      </w:tr>
      <w:tr>
        <w:trPr>
          <w:trHeight w:val="203"/>
        </w:trPr>
        <w:tc>
          <w:tcPr>
            <w:tcW w:w="3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6/04/99</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2,100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28.5000</w:t>
            </w:r>
          </w:p>
        </w:tc>
      </w:tr>
      <w:tr>
        <w:trPr>
          <w:trHeight w:val="203"/>
        </w:trPr>
        <w:tc>
          <w:tcPr>
            <w:tcW w:w="3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6/04/99</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10,600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28.5035</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GABELLI ASSOCIATES LTD</w:t>
            </w:r>
          </w:p>
        </w:tc>
        <w:tc>
          <w:tcPr>
            <w:tcW w:w="2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6/29/99</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7,000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28.4375</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GABELLI FUNDS, LLC.</w:t>
            </w:r>
          </w:p>
        </w:tc>
        <w:tc>
          <w:tcPr>
            <w:tcW w:w="2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GABELLI ASSOCIATES LTD</w:t>
            </w:r>
          </w:p>
        </w:tc>
        <w:tc>
          <w:tcPr>
            <w:tcW w:w="2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7/21/99</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17,000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28.9250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0" w:right="2619" w:hanging="419"/>
        <w:spacing w:after="0" w:line="235" w:lineRule="auto"/>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ALL TRANSACTIONS WERE EFFECTED ON THE NYSE.</w:t>
      </w:r>
    </w:p>
    <w:p>
      <w:pPr>
        <w:spacing w:after="0" w:line="202" w:lineRule="exact"/>
        <w:rPr>
          <w:rFonts w:ascii="Courier New" w:cs="Courier New" w:eastAsia="Courier New" w:hAnsi="Courier New"/>
          <w:sz w:val="18"/>
          <w:szCs w:val="18"/>
          <w:color w:val="auto"/>
        </w:rPr>
      </w:pPr>
    </w:p>
    <w:p>
      <w:pPr>
        <w:ind w:left="420" w:hanging="419"/>
        <w:spacing w:after="0"/>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EXCLUDES COMMISSION.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RESULTS IN CHANGE OF DISPOSITIVE POWER AND BENEFICIAL OWNERSHIP.</w:t>
      </w:r>
    </w:p>
    <w:sectPr>
      <w:pgSz w:w="11900" w:h="16838" w:orient="portrait"/>
      <w:cols w:equalWidth="0" w:num="1">
        <w:col w:w="9159"/>
      </w:cols>
      <w:pgMar w:left="130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1)"/>
      <w:numFmt w:val="decimal"/>
      <w:start w:val="1"/>
    </w:lvl>
  </w:abstractNum>
  <w:abstractNum w:abstractNumId="1">
    <w:nsid w:val="51EAD36B"/>
    <w:multiLevelType w:val="hybridMultilevel"/>
    <w:lvl w:ilvl="0">
      <w:lvlJc w:val="left"/>
      <w:lvlText w:val="(%1)"/>
      <w:numFmt w:val="decimal"/>
      <w:start w:val="3"/>
    </w:lvl>
  </w:abstractNum>
  <w:abstractNum w:abstractNumId="2">
    <w:nsid w:val="2D517796"/>
    <w:multiLevelType w:val="hybridMultilevel"/>
    <w:lvl w:ilvl="0">
      <w:lvlJc w:val="left"/>
      <w:lvlText w:val="(%1)"/>
      <w:numFmt w:val="decimal"/>
      <w:start w:val="6"/>
    </w:lvl>
  </w:abstractNum>
  <w:abstractNum w:abstractNumId="3">
    <w:nsid w:val="580BD78F"/>
    <w:multiLevelType w:val="hybridMultilevel"/>
    <w:lvl w:ilvl="0">
      <w:lvlJc w:val="left"/>
      <w:lvlText w:val="(%1)"/>
      <w:numFmt w:val="decimal"/>
      <w:start w:val="11"/>
    </w:lvl>
  </w:abstractNum>
  <w:abstractNum w:abstractNumId="4">
    <w:nsid w:val="153EA438"/>
    <w:multiLevelType w:val="hybridMultilevel"/>
    <w:lvl w:ilvl="0">
      <w:lvlJc w:val="left"/>
      <w:lvlText w:val="(%1)"/>
      <w:numFmt w:val="decimal"/>
      <w:start w:val="13"/>
    </w:lvl>
  </w:abstractNum>
  <w:abstractNum w:abstractNumId="5">
    <w:nsid w:val="3855585C"/>
    <w:multiLevelType w:val="hybridMultilevel"/>
    <w:lvl w:ilvl="0">
      <w:lvlJc w:val="left"/>
      <w:lvlText w:val="(%1)"/>
      <w:numFmt w:val="decimal"/>
      <w:start w:val="14"/>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1)"/>
      <w:numFmt w:val="decimal"/>
      <w:start w:val="3"/>
    </w:lvl>
  </w:abstractNum>
  <w:abstractNum w:abstractNumId="8">
    <w:nsid w:val="2A487CB0"/>
    <w:multiLevelType w:val="hybridMultilevel"/>
    <w:lvl w:ilvl="0">
      <w:lvlJc w:val="left"/>
      <w:lvlText w:val="(%1)"/>
      <w:numFmt w:val="decimal"/>
      <w:start w:val="5"/>
    </w:lvl>
  </w:abstractNum>
  <w:abstractNum w:abstractNumId="9">
    <w:nsid w:val="1D4ED43B"/>
    <w:multiLevelType w:val="hybridMultilevel"/>
    <w:lvl w:ilvl="0">
      <w:lvlJc w:val="left"/>
      <w:lvlText w:val="(%1)"/>
      <w:numFmt w:val="decimal"/>
      <w:start w:val="6"/>
    </w:lvl>
  </w:abstractNum>
  <w:abstractNum w:abstractNumId="10">
    <w:nsid w:val="725A06FB"/>
    <w:multiLevelType w:val="hybridMultilevel"/>
    <w:lvl w:ilvl="0">
      <w:lvlJc w:val="left"/>
      <w:lvlText w:val="(%1)"/>
      <w:numFmt w:val="decimal"/>
      <w:start w:val="11"/>
    </w:lvl>
  </w:abstractNum>
  <w:abstractNum w:abstractNumId="11">
    <w:nsid w:val="2CD89A32"/>
    <w:multiLevelType w:val="hybridMultilevel"/>
    <w:lvl w:ilvl="0">
      <w:lvlJc w:val="left"/>
      <w:lvlText w:val="(%1)"/>
      <w:numFmt w:val="decimal"/>
      <w:start w:val="13"/>
    </w:lvl>
  </w:abstractNum>
  <w:abstractNum w:abstractNumId="12">
    <w:nsid w:val="57E4CCAF"/>
    <w:multiLevelType w:val="hybridMultilevel"/>
    <w:lvl w:ilvl="0">
      <w:lvlJc w:val="left"/>
      <w:lvlText w:val="(%1)"/>
      <w:numFmt w:val="decimal"/>
      <w:start w:val="14"/>
    </w:lvl>
  </w:abstractNum>
  <w:abstractNum w:abstractNumId="13">
    <w:nsid w:val="7A6D8D3C"/>
    <w:multiLevelType w:val="hybridMultilevel"/>
    <w:lvl w:ilvl="0">
      <w:lvlJc w:val="left"/>
      <w:lvlText w:val="(%1)"/>
      <w:numFmt w:val="decimal"/>
      <w:start w:val="1"/>
    </w:lvl>
  </w:abstractNum>
  <w:abstractNum w:abstractNumId="14">
    <w:nsid w:val="4B588F54"/>
    <w:multiLevelType w:val="hybridMultilevel"/>
    <w:lvl w:ilvl="0">
      <w:lvlJc w:val="left"/>
      <w:lvlText w:val="(%1)"/>
      <w:numFmt w:val="decimal"/>
      <w:start w:val="3"/>
    </w:lvl>
  </w:abstractNum>
  <w:abstractNum w:abstractNumId="15">
    <w:nsid w:val="542289EC"/>
    <w:multiLevelType w:val="hybridMultilevel"/>
    <w:lvl w:ilvl="0">
      <w:lvlJc w:val="left"/>
      <w:lvlText w:val="(%1)"/>
      <w:numFmt w:val="decimal"/>
      <w:start w:val="5"/>
    </w:lvl>
  </w:abstractNum>
  <w:abstractNum w:abstractNumId="16">
    <w:nsid w:val="6DE91B18"/>
    <w:multiLevelType w:val="hybridMultilevel"/>
    <w:lvl w:ilvl="0">
      <w:lvlJc w:val="left"/>
      <w:lvlText w:val="(%1)"/>
      <w:numFmt w:val="decimal"/>
      <w:start w:val="6"/>
    </w:lvl>
  </w:abstractNum>
  <w:abstractNum w:abstractNumId="17">
    <w:nsid w:val="38437FDB"/>
    <w:multiLevelType w:val="hybridMultilevel"/>
    <w:lvl w:ilvl="0">
      <w:lvlJc w:val="left"/>
      <w:lvlText w:val="(%1)"/>
      <w:numFmt w:val="decimal"/>
      <w:start w:val="11"/>
    </w:lvl>
  </w:abstractNum>
  <w:abstractNum w:abstractNumId="18">
    <w:nsid w:val="7644A45C"/>
    <w:multiLevelType w:val="hybridMultilevel"/>
    <w:lvl w:ilvl="0">
      <w:lvlJc w:val="left"/>
      <w:lvlText w:val="(%1)"/>
      <w:numFmt w:val="decimal"/>
      <w:start w:val="13"/>
    </w:lvl>
  </w:abstractNum>
  <w:abstractNum w:abstractNumId="19">
    <w:nsid w:val="32FFF902"/>
    <w:multiLevelType w:val="hybridMultilevel"/>
    <w:lvl w:ilvl="0">
      <w:lvlJc w:val="left"/>
      <w:lvlText w:val="(%1)"/>
      <w:numFmt w:val="decimal"/>
      <w:start w:val="14"/>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1)"/>
      <w:numFmt w:val="decimal"/>
      <w:start w:val="3"/>
    </w:lvl>
  </w:abstractNum>
  <w:abstractNum w:abstractNumId="22">
    <w:nsid w:val="749ABB43"/>
    <w:multiLevelType w:val="hybridMultilevel"/>
    <w:lvl w:ilvl="0">
      <w:lvlJc w:val="left"/>
      <w:lvlText w:val="(%1)"/>
      <w:numFmt w:val="decimal"/>
      <w:start w:val="5"/>
    </w:lvl>
  </w:abstractNum>
  <w:abstractNum w:abstractNumId="23">
    <w:nsid w:val="3DC240FB"/>
    <w:multiLevelType w:val="hybridMultilevel"/>
    <w:lvl w:ilvl="0">
      <w:lvlJc w:val="left"/>
      <w:lvlText w:val="(%1)"/>
      <w:numFmt w:val="decimal"/>
      <w:start w:val="6"/>
    </w:lvl>
  </w:abstractNum>
  <w:abstractNum w:abstractNumId="24">
    <w:nsid w:val="1BA026FA"/>
    <w:multiLevelType w:val="hybridMultilevel"/>
    <w:lvl w:ilvl="0">
      <w:lvlJc w:val="left"/>
      <w:lvlText w:val="(%1)"/>
      <w:numFmt w:val="decimal"/>
      <w:start w:val="13"/>
    </w:lvl>
  </w:abstractNum>
  <w:abstractNum w:abstractNumId="25">
    <w:nsid w:val="79A1DEAA"/>
    <w:multiLevelType w:val="hybridMultilevel"/>
    <w:lvl w:ilvl="0">
      <w:lvlJc w:val="left"/>
      <w:lvlText w:val="(%1)"/>
      <w:numFmt w:val="decimal"/>
      <w:start w:val="14"/>
    </w:lvl>
  </w:abstractNum>
  <w:abstractNum w:abstractNumId="26">
    <w:nsid w:val="75C6C33A"/>
    <w:multiLevelType w:val="hybridMultilevel"/>
    <w:lvl w:ilvl="0">
      <w:lvlJc w:val="left"/>
      <w:lvlText w:val="(%1)"/>
      <w:numFmt w:val="decimal"/>
      <w:start w:val="1"/>
    </w:lvl>
  </w:abstractNum>
  <w:abstractNum w:abstractNumId="27">
    <w:nsid w:val="12E685FB"/>
    <w:multiLevelType w:val="hybridMultilevel"/>
    <w:lvl w:ilvl="0">
      <w:lvlJc w:val="left"/>
      <w:lvlText w:val="(%1)"/>
      <w:numFmt w:val="decimal"/>
      <w:start w:val="3"/>
    </w:lvl>
  </w:abstractNum>
  <w:abstractNum w:abstractNumId="28">
    <w:nsid w:val="70C6A529"/>
    <w:multiLevelType w:val="hybridMultilevel"/>
    <w:lvl w:ilvl="0">
      <w:lvlJc w:val="left"/>
      <w:lvlText w:val="(%1)"/>
      <w:numFmt w:val="decimal"/>
      <w:start w:val="5"/>
    </w:lvl>
  </w:abstractNum>
  <w:abstractNum w:abstractNumId="29">
    <w:nsid w:val="520EEDD1"/>
    <w:multiLevelType w:val="hybridMultilevel"/>
    <w:lvl w:ilvl="0">
      <w:lvlJc w:val="left"/>
      <w:lvlText w:val="(%1)"/>
      <w:numFmt w:val="decimal"/>
      <w:start w:val="6"/>
    </w:lvl>
  </w:abstractNum>
  <w:abstractNum w:abstractNumId="30">
    <w:nsid w:val="374A3FE6"/>
    <w:multiLevelType w:val="hybridMultilevel"/>
    <w:lvl w:ilvl="0">
      <w:lvlJc w:val="left"/>
      <w:lvlText w:val="(%1)"/>
      <w:numFmt w:val="decimal"/>
      <w:start w:val="11"/>
    </w:lvl>
  </w:abstractNum>
  <w:abstractNum w:abstractNumId="31">
    <w:nsid w:val="4F4EF005"/>
    <w:multiLevelType w:val="hybridMultilevel"/>
    <w:lvl w:ilvl="0">
      <w:lvlJc w:val="left"/>
      <w:lvlText w:val="(%1)"/>
      <w:numFmt w:val="decimal"/>
      <w:start w:val="13"/>
    </w:lvl>
  </w:abstractNum>
  <w:abstractNum w:abstractNumId="32">
    <w:nsid w:val="23F9C13C"/>
    <w:multiLevelType w:val="hybridMultilevel"/>
    <w:lvl w:ilvl="0">
      <w:lvlJc w:val="left"/>
      <w:lvlText w:val="(%1)"/>
      <w:numFmt w:val="decimal"/>
      <w:start w:val="14"/>
    </w:lvl>
  </w:abstractNum>
  <w:abstractNum w:abstractNumId="33">
    <w:nsid w:val="649BB77C"/>
    <w:multiLevelType w:val="hybridMultilevel"/>
    <w:lvl w:ilvl="0">
      <w:lvlJc w:val="left"/>
      <w:lvlText w:val="(%1)"/>
      <w:numFmt w:val="decimal"/>
      <w:start w:val="1"/>
    </w:lvl>
  </w:abstractNum>
  <w:abstractNum w:abstractNumId="34">
    <w:nsid w:val="275AC794"/>
    <w:multiLevelType w:val="hybridMultilevel"/>
    <w:lvl w:ilvl="0">
      <w:lvlJc w:val="left"/>
      <w:lvlText w:val="(%1)"/>
      <w:numFmt w:val="decimal"/>
      <w:start w:val="3"/>
    </w:lvl>
  </w:abstractNum>
  <w:abstractNum w:abstractNumId="35">
    <w:nsid w:val="39386575"/>
    <w:multiLevelType w:val="hybridMultilevel"/>
    <w:lvl w:ilvl="0">
      <w:lvlJc w:val="left"/>
      <w:lvlText w:val="(%1)"/>
      <w:numFmt w:val="decimal"/>
      <w:start w:val="5"/>
    </w:lvl>
  </w:abstractNum>
  <w:abstractNum w:abstractNumId="36">
    <w:nsid w:val="1CF10FD8"/>
    <w:multiLevelType w:val="hybridMultilevel"/>
    <w:lvl w:ilvl="0">
      <w:lvlJc w:val="left"/>
      <w:lvlText w:val="(%1)"/>
      <w:numFmt w:val="decimal"/>
      <w:start w:val="6"/>
    </w:lvl>
  </w:abstractNum>
  <w:abstractNum w:abstractNumId="37">
    <w:nsid w:val="180115BE"/>
    <w:multiLevelType w:val="hybridMultilevel"/>
    <w:lvl w:ilvl="0">
      <w:lvlJc w:val="left"/>
      <w:lvlText w:val="(%1)"/>
      <w:numFmt w:val="decimal"/>
      <w:start w:val="13"/>
    </w:lvl>
  </w:abstractNum>
  <w:abstractNum w:abstractNumId="38">
    <w:nsid w:val="235BA861"/>
    <w:multiLevelType w:val="hybridMultilevel"/>
    <w:lvl w:ilvl="0">
      <w:lvlJc w:val="left"/>
      <w:lvlText w:val="(%1)"/>
      <w:numFmt w:val="decimal"/>
      <w:start w:val="14"/>
    </w:lvl>
  </w:abstractNum>
  <w:abstractNum w:abstractNumId="39">
    <w:nsid w:val="47398C89"/>
    <w:multiLevelType w:val="hybridMultilevel"/>
    <w:lvl w:ilvl="0">
      <w:lvlJc w:val="left"/>
      <w:lvlText w:val="(%1)"/>
      <w:numFmt w:val="decimal"/>
      <w:start w:val="1"/>
    </w:lvl>
  </w:abstractNum>
  <w:abstractNum w:abstractNumId="40">
    <w:nsid w:val="354FE9F9"/>
    <w:multiLevelType w:val="hybridMultilevel"/>
    <w:lvl w:ilvl="0">
      <w:lvlJc w:val="left"/>
      <w:lvlText w:val="(%1)"/>
      <w:numFmt w:val="decimal"/>
      <w:start w:val="3"/>
    </w:lvl>
  </w:abstractNum>
  <w:abstractNum w:abstractNumId="41">
    <w:nsid w:val="15B5AF5C"/>
    <w:multiLevelType w:val="hybridMultilevel"/>
    <w:lvl w:ilvl="0">
      <w:lvlJc w:val="left"/>
      <w:lvlText w:val="(%1)"/>
      <w:numFmt w:val="decimal"/>
      <w:start w:val="5"/>
    </w:lvl>
  </w:abstractNum>
  <w:abstractNum w:abstractNumId="42">
    <w:nsid w:val="741226BB"/>
    <w:multiLevelType w:val="hybridMultilevel"/>
    <w:lvl w:ilvl="0">
      <w:lvlJc w:val="left"/>
      <w:lvlText w:val="(%1)"/>
      <w:numFmt w:val="decimal"/>
      <w:start w:val="6"/>
    </w:lvl>
  </w:abstractNum>
  <w:abstractNum w:abstractNumId="43">
    <w:nsid w:val="D34B6A8"/>
    <w:multiLevelType w:val="hybridMultilevel"/>
    <w:lvl w:ilvl="0">
      <w:lvlJc w:val="left"/>
      <w:lvlText w:val="(%1)"/>
      <w:numFmt w:val="decimal"/>
      <w:start w:val="11"/>
    </w:lvl>
  </w:abstractNum>
  <w:abstractNum w:abstractNumId="44">
    <w:nsid w:val="10233C99"/>
    <w:multiLevelType w:val="hybridMultilevel"/>
    <w:lvl w:ilvl="0">
      <w:lvlJc w:val="left"/>
      <w:lvlText w:val="(%1)"/>
      <w:numFmt w:val="decimal"/>
      <w:start w:val="13"/>
    </w:lvl>
  </w:abstractNum>
  <w:abstractNum w:abstractNumId="45">
    <w:nsid w:val="3F6AB60F"/>
    <w:multiLevelType w:val="hybridMultilevel"/>
    <w:lvl w:ilvl="0">
      <w:lvlJc w:val="left"/>
      <w:lvlText w:val="(%1)"/>
      <w:numFmt w:val="decimal"/>
      <w:start w:val="14"/>
    </w:lvl>
  </w:abstractNum>
  <w:abstractNum w:abstractNumId="46">
    <w:nsid w:val="61574095"/>
    <w:multiLevelType w:val="hybridMultilevel"/>
    <w:lvl w:ilvl="0">
      <w:lvlJc w:val="left"/>
      <w:lvlText w:val="(%1)"/>
      <w:numFmt w:val="decimal"/>
      <w:start w:val="1"/>
    </w:lvl>
  </w:abstractNum>
  <w:abstractNum w:abstractNumId="47">
    <w:nsid w:val="7E0C57B1"/>
    <w:multiLevelType w:val="hybridMultilevel"/>
    <w:lvl w:ilvl="0">
      <w:lvlJc w:val="left"/>
      <w:lvlText w:val="(%1)"/>
      <w:numFmt w:val="decimal"/>
      <w:start w:val="3"/>
    </w:lvl>
  </w:abstractNum>
  <w:abstractNum w:abstractNumId="48">
    <w:nsid w:val="77AE35EB"/>
    <w:multiLevelType w:val="hybridMultilevel"/>
    <w:lvl w:ilvl="0">
      <w:lvlJc w:val="left"/>
      <w:lvlText w:val="(%1)"/>
      <w:numFmt w:val="decimal"/>
      <w:start w:val="5"/>
    </w:lvl>
  </w:abstractNum>
  <w:abstractNum w:abstractNumId="49">
    <w:nsid w:val="579BE4F1"/>
    <w:multiLevelType w:val="hybridMultilevel"/>
    <w:lvl w:ilvl="0">
      <w:lvlJc w:val="left"/>
      <w:lvlText w:val="(%1)"/>
      <w:numFmt w:val="decimal"/>
      <w:start w:val="6"/>
    </w:lvl>
  </w:abstractNum>
  <w:abstractNum w:abstractNumId="50">
    <w:nsid w:val="310C50B3"/>
    <w:multiLevelType w:val="hybridMultilevel"/>
    <w:lvl w:ilvl="0">
      <w:lvlJc w:val="left"/>
      <w:lvlText w:val="(%1)"/>
      <w:numFmt w:val="decimal"/>
      <w:start w:val="11"/>
    </w:lvl>
  </w:abstractNum>
  <w:abstractNum w:abstractNumId="51">
    <w:nsid w:val="5FF87E05"/>
    <w:multiLevelType w:val="hybridMultilevel"/>
    <w:lvl w:ilvl="0">
      <w:lvlJc w:val="left"/>
      <w:lvlText w:val="(%1)"/>
      <w:numFmt w:val="decimal"/>
      <w:start w:val="13"/>
    </w:lvl>
  </w:abstractNum>
  <w:abstractNum w:abstractNumId="52">
    <w:nsid w:val="2F305DEF"/>
    <w:multiLevelType w:val="hybridMultilevel"/>
    <w:lvl w:ilvl="0">
      <w:lvlJc w:val="left"/>
      <w:lvlText w:val="(%1)"/>
      <w:numFmt w:val="decimal"/>
      <w:start w:val="14"/>
    </w:lvl>
  </w:abstractNum>
  <w:abstractNum w:abstractNumId="53">
    <w:nsid w:val="25A70BF7"/>
    <w:multiLevelType w:val="hybridMultilevel"/>
    <w:lvl w:ilvl="0">
      <w:lvlJc w:val="left"/>
      <w:lvlText w:val="(%1)"/>
      <w:numFmt w:val="decimal"/>
      <w:start w:val="3"/>
    </w:lvl>
  </w:abstractNum>
  <w:abstractNum w:abstractNumId="54">
    <w:nsid w:val="1DBABF00"/>
    <w:multiLevelType w:val="hybridMultilevel"/>
    <w:lvl w:ilvl="0">
      <w:lvlJc w:val="left"/>
      <w:lvlText w:val="(%1)"/>
      <w:numFmt w:val="decimal"/>
      <w:start w:val="5"/>
    </w:lvl>
  </w:abstractNum>
  <w:abstractNum w:abstractNumId="55">
    <w:nsid w:val="4AD084E9"/>
    <w:multiLevelType w:val="hybridMultilevel"/>
    <w:lvl w:ilvl="0">
      <w:lvlJc w:val="left"/>
      <w:lvlText w:val="(%1)"/>
      <w:numFmt w:val="decimal"/>
      <w:start w:val="6"/>
    </w:lvl>
  </w:abstractNum>
  <w:abstractNum w:abstractNumId="56">
    <w:nsid w:val="1F48EAA1"/>
    <w:multiLevelType w:val="hybridMultilevel"/>
    <w:lvl w:ilvl="0">
      <w:lvlJc w:val="left"/>
      <w:lvlText w:val="(%1)"/>
      <w:numFmt w:val="decimal"/>
      <w:start w:val="11"/>
    </w:lvl>
  </w:abstractNum>
  <w:abstractNum w:abstractNumId="57">
    <w:nsid w:val="1381823A"/>
    <w:multiLevelType w:val="hybridMultilevel"/>
    <w:lvl w:ilvl="0">
      <w:lvlJc w:val="left"/>
      <w:lvlText w:val="(%1)"/>
      <w:numFmt w:val="decimal"/>
      <w:start w:val="14"/>
    </w:lvl>
  </w:abstractNum>
  <w:abstractNum w:abstractNumId="58">
    <w:nsid w:val="5DB70AE5"/>
    <w:multiLevelType w:val="hybridMultilevel"/>
    <w:lvl w:ilvl="0">
      <w:lvlJc w:val="left"/>
      <w:lvlText w:val="(%1)"/>
      <w:numFmt w:val="decimal"/>
      <w:start w:val="1"/>
    </w:lvl>
  </w:abstractNum>
  <w:abstractNum w:abstractNumId="59">
    <w:nsid w:val="100F8FCA"/>
    <w:multiLevelType w:val="hybridMultilevel"/>
    <w:lvl w:ilvl="0">
      <w:lvlJc w:val="left"/>
      <w:lvlText w:val="(%1)"/>
      <w:numFmt w:val="decimal"/>
      <w:start w:val="3"/>
    </w:lvl>
  </w:abstractNum>
  <w:abstractNum w:abstractNumId="60">
    <w:nsid w:val="6590700B"/>
    <w:multiLevelType w:val="hybridMultilevel"/>
    <w:lvl w:ilvl="0">
      <w:lvlJc w:val="left"/>
      <w:lvlText w:val="(%1)"/>
      <w:numFmt w:val="decimal"/>
      <w:start w:val="5"/>
    </w:lvl>
  </w:abstractNum>
  <w:abstractNum w:abstractNumId="61">
    <w:nsid w:val="15014ACB"/>
    <w:multiLevelType w:val="hybridMultilevel"/>
    <w:lvl w:ilvl="0">
      <w:lvlJc w:val="left"/>
      <w:lvlText w:val="(%1)"/>
      <w:numFmt w:val="decimal"/>
      <w:start w:val="6"/>
    </w:lvl>
  </w:abstractNum>
  <w:abstractNum w:abstractNumId="62">
    <w:nsid w:val="5F5E7FD0"/>
    <w:multiLevelType w:val="hybridMultilevel"/>
    <w:lvl w:ilvl="0">
      <w:lvlJc w:val="left"/>
      <w:lvlText w:val="(%1)"/>
      <w:numFmt w:val="decimal"/>
      <w:start w:val="11"/>
    </w:lvl>
  </w:abstractNum>
  <w:abstractNum w:abstractNumId="63">
    <w:nsid w:val="98A3148"/>
    <w:multiLevelType w:val="hybridMultilevel"/>
    <w:lvl w:ilvl="0">
      <w:lvlJc w:val="left"/>
      <w:lvlText w:val="(%1)"/>
      <w:numFmt w:val="decimal"/>
      <w:start w:val="13"/>
    </w:lvl>
  </w:abstractNum>
  <w:abstractNum w:abstractNumId="64">
    <w:nsid w:val="799D0247"/>
    <w:multiLevelType w:val="hybridMultilevel"/>
    <w:lvl w:ilvl="0">
      <w:lvlJc w:val="left"/>
      <w:lvlText w:val="(%1)"/>
      <w:numFmt w:val="decimal"/>
      <w:start w:val="14"/>
    </w:lvl>
  </w:abstractNum>
  <w:abstractNum w:abstractNumId="65">
    <w:nsid w:val="6B94764"/>
    <w:multiLevelType w:val="hybridMultilevel"/>
    <w:lvl w:ilvl="0">
      <w:lvlJc w:val="left"/>
      <w:lvlText w:val="(%1)"/>
      <w:numFmt w:val="decimal"/>
      <w:start w:val="1"/>
    </w:lvl>
  </w:abstractNum>
  <w:abstractNum w:abstractNumId="66">
    <w:nsid w:val="42C296BD"/>
    <w:multiLevelType w:val="hybridMultilevel"/>
    <w:lvl w:ilvl="0">
      <w:lvlJc w:val="left"/>
      <w:lvlText w:val="(%1)"/>
      <w:numFmt w:val="decimal"/>
      <w:start w:val="3"/>
    </w:lvl>
  </w:abstractNum>
  <w:abstractNum w:abstractNumId="67">
    <w:nsid w:val="168E121F"/>
    <w:multiLevelType w:val="hybridMultilevel"/>
    <w:lvl w:ilvl="0">
      <w:lvlJc w:val="left"/>
      <w:lvlText w:val="(%1)"/>
      <w:numFmt w:val="decimal"/>
      <w:start w:val="6"/>
    </w:lvl>
  </w:abstractNum>
  <w:abstractNum w:abstractNumId="68">
    <w:nsid w:val="1EBA5D23"/>
    <w:multiLevelType w:val="hybridMultilevel"/>
    <w:lvl w:ilvl="0">
      <w:lvlJc w:val="left"/>
      <w:lvlText w:val="(%1)"/>
      <w:numFmt w:val="decimal"/>
      <w:start w:val="11"/>
    </w:lvl>
  </w:abstractNum>
  <w:abstractNum w:abstractNumId="69">
    <w:nsid w:val="661E3F1E"/>
    <w:multiLevelType w:val="hybridMultilevel"/>
    <w:lvl w:ilvl="0">
      <w:lvlJc w:val="left"/>
      <w:lvlText w:val="(%1)"/>
      <w:numFmt w:val="decimal"/>
      <w:start w:val="14"/>
    </w:lvl>
  </w:abstractNum>
  <w:abstractNum w:abstractNumId="70">
    <w:nsid w:val="5DC79EA8"/>
    <w:multiLevelType w:val="hybridMultilevel"/>
    <w:lvl w:ilvl="0">
      <w:lvlJc w:val="left"/>
      <w:lvlText w:val="%1"/>
      <w:numFmt w:val="lowerLetter"/>
      <w:start w:val="1"/>
    </w:lvl>
    <w:lvl w:ilvl="1">
      <w:lvlJc w:val="left"/>
      <w:lvlText w:val="(%2)"/>
      <w:numFmt w:val="lowerLetter"/>
      <w:start w:val="4"/>
    </w:lvl>
  </w:abstractNum>
  <w:abstractNum w:abstractNumId="71">
    <w:nsid w:val="540A471C"/>
    <w:multiLevelType w:val="hybridMultilevel"/>
    <w:lvl w:ilvl="0">
      <w:lvlJc w:val="left"/>
      <w:lvlText w:val="(%1)"/>
      <w:numFmt w:val="lowerLetter"/>
      <w:start w:val="6"/>
    </w:lvl>
    <w:lvl w:ilvl="1">
      <w:lvlJc w:val="left"/>
      <w:lvlText w:val="%2"/>
      <w:numFmt w:val="lowerLetter"/>
      <w:start w:val="1"/>
    </w:lvl>
  </w:abstractNum>
  <w:abstractNum w:abstractNumId="72">
    <w:nsid w:val="7BD3EE7B"/>
    <w:multiLevelType w:val="hybridMultilevel"/>
    <w:lvl w:ilvl="0">
      <w:lvlJc w:val="left"/>
      <w:lvlText w:val="(%1)"/>
      <w:numFmt w:val="lowerLetter"/>
      <w:start w:val="1"/>
    </w:lvl>
  </w:abstractNum>
  <w:abstractNum w:abstractNumId="73">
    <w:nsid w:val="51D9C564"/>
    <w:multiLevelType w:val="hybridMultilevel"/>
    <w:lvl w:ilvl="0">
      <w:lvlJc w:val="left"/>
      <w:lvlText w:val="(%1)"/>
      <w:numFmt w:val="lowerLetter"/>
      <w:start w:val="2"/>
    </w:lvl>
  </w:abstractNum>
  <w:abstractNum w:abstractNumId="74">
    <w:nsid w:val="613EFDC5"/>
    <w:multiLevelType w:val="hybridMultilevel"/>
    <w:lvl w:ilvl="0">
      <w:lvlJc w:val="left"/>
      <w:lvlText w:val="*"/>
      <w:numFmt w:val="bullet"/>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2020-02-22T14:08:15Z</dcterms:created>
  <dcterms:modified xsi:type="dcterms:W3CDTF">2020-02-22T14:08:15Z</dcterms:modified>
</cp:coreProperties>
</file>